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23" w:rsidRPr="00B87C7F" w:rsidRDefault="00902923" w:rsidP="00902923">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沪港深价值精选灵活配置混合型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902923" w:rsidRDefault="00902923" w:rsidP="00902923">
      <w:pPr>
        <w:widowControl/>
        <w:jc w:val="left"/>
        <w:rPr>
          <w:rFonts w:ascii="Times New Roman" w:eastAsia="宋体" w:hAnsi="Times New Roman" w:cs="Times New Roman"/>
          <w:b/>
          <w:sz w:val="24"/>
          <w:szCs w:val="23"/>
        </w:rPr>
      </w:pPr>
    </w:p>
    <w:p w:rsidR="00902923" w:rsidRDefault="00902923" w:rsidP="00902923">
      <w:pPr>
        <w:widowControl/>
        <w:jc w:val="left"/>
        <w:rPr>
          <w:rFonts w:ascii="Times New Roman" w:eastAsia="宋体" w:hAnsi="Times New Roman" w:cs="Times New Roman"/>
          <w:b/>
          <w:sz w:val="24"/>
          <w:szCs w:val="23"/>
        </w:rPr>
      </w:pPr>
    </w:p>
    <w:p w:rsidR="00902923" w:rsidRPr="00E45F39" w:rsidRDefault="00902923" w:rsidP="00902923">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沪港深价值精选灵活配置混合型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902923" w:rsidRDefault="00902923" w:rsidP="00902923">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902923" w:rsidRPr="001A6EE1" w:rsidRDefault="00902923" w:rsidP="00902923">
      <w:pPr>
        <w:adjustRightInd w:val="0"/>
        <w:snapToGrid w:val="0"/>
        <w:spacing w:line="360" w:lineRule="auto"/>
        <w:ind w:firstLine="480"/>
        <w:jc w:val="left"/>
        <w:rPr>
          <w:rFonts w:ascii="Times New Roman" w:hAnsi="宋体"/>
          <w:sz w:val="24"/>
          <w:szCs w:val="24"/>
        </w:rPr>
      </w:pPr>
    </w:p>
    <w:p w:rsidR="00902923" w:rsidRPr="00E45F39" w:rsidRDefault="00902923" w:rsidP="0090292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902923" w:rsidRDefault="00902923" w:rsidP="0090292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沪港深价值精选灵活配置混合型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902923" w:rsidRPr="00E45F39" w:rsidRDefault="00902923" w:rsidP="0090292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902923" w:rsidRDefault="00902923" w:rsidP="0090292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902923" w:rsidRPr="001674F7" w:rsidRDefault="00902923" w:rsidP="00902923">
      <w:pPr>
        <w:adjustRightInd w:val="0"/>
        <w:snapToGrid w:val="0"/>
        <w:spacing w:line="360" w:lineRule="auto"/>
        <w:ind w:firstLine="480"/>
        <w:jc w:val="left"/>
        <w:rPr>
          <w:rFonts w:ascii="Times New Roman" w:hAnsi="宋体"/>
          <w:sz w:val="24"/>
          <w:szCs w:val="24"/>
        </w:rPr>
      </w:pPr>
    </w:p>
    <w:p w:rsidR="00902923" w:rsidRPr="00E45F39" w:rsidRDefault="00902923" w:rsidP="0090292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02923" w:rsidRDefault="00902923" w:rsidP="0090292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902923" w:rsidRDefault="00902923" w:rsidP="0090292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902923" w:rsidRPr="00E45F39" w:rsidRDefault="00902923" w:rsidP="00902923">
      <w:pPr>
        <w:adjustRightInd w:val="0"/>
        <w:snapToGrid w:val="0"/>
        <w:spacing w:line="360" w:lineRule="auto"/>
        <w:ind w:firstLine="480"/>
        <w:jc w:val="left"/>
        <w:rPr>
          <w:rFonts w:ascii="Times New Roman" w:hAnsi="宋体"/>
          <w:sz w:val="24"/>
          <w:szCs w:val="24"/>
        </w:rPr>
      </w:pPr>
    </w:p>
    <w:p w:rsidR="00902923" w:rsidRPr="00E45F39" w:rsidRDefault="00902923" w:rsidP="00902923">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902923" w:rsidRDefault="00902923" w:rsidP="00902923">
      <w:pPr>
        <w:adjustRightInd w:val="0"/>
        <w:snapToGrid w:val="0"/>
        <w:spacing w:line="360" w:lineRule="auto"/>
        <w:ind w:firstLine="480"/>
        <w:jc w:val="right"/>
        <w:rPr>
          <w:rFonts w:ascii="Times New Roman" w:eastAsia="宋体" w:hAnsi="Times New Roman" w:cs="Times New Roman"/>
          <w:b/>
          <w:sz w:val="24"/>
          <w:szCs w:val="23"/>
        </w:rPr>
        <w:sectPr w:rsidR="00902923"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602A14">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w:t>
      </w:r>
      <w:r w:rsidR="00A74371">
        <w:rPr>
          <w:rFonts w:ascii="Times New Roman" w:eastAsia="宋体" w:hAnsi="Times New Roman" w:cs="Times New Roman" w:hint="eastAsia"/>
          <w:b/>
          <w:sz w:val="24"/>
          <w:szCs w:val="23"/>
        </w:rPr>
        <w:t>沪港深价值精选灵活配置</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7C274B">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7C274B">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7C274B">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7C274B">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7C274B">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845ADB" w:rsidRPr="00845ADB" w:rsidRDefault="00845ADB" w:rsidP="007C274B">
            <w:pPr>
              <w:spacing w:line="360" w:lineRule="auto"/>
              <w:ind w:firstLineChars="200" w:firstLine="420"/>
              <w:rPr>
                <w:rFonts w:ascii="Times New Roman" w:eastAsia="宋体" w:hAnsi="Times New Roman" w:cs="Times New Roman"/>
                <w:bCs/>
                <w:szCs w:val="21"/>
              </w:rPr>
            </w:pPr>
            <w:r w:rsidRPr="00845ADB">
              <w:rPr>
                <w:rFonts w:ascii="Times New Roman" w:eastAsia="宋体" w:hAnsi="Times New Roman" w:cs="Times New Roman"/>
                <w:bCs/>
                <w:szCs w:val="21"/>
              </w:rPr>
              <w:t>2</w:t>
            </w:r>
            <w:r w:rsidRPr="00845ADB">
              <w:rPr>
                <w:rFonts w:ascii="Times New Roman" w:eastAsia="宋体" w:hAnsi="Times New Roman" w:cs="Times New Roman" w:hint="eastAsia"/>
                <w:bCs/>
                <w:szCs w:val="21"/>
              </w:rPr>
              <w:t>、订立本基金合同的依据是《中华人民共和国合同法》、《中华人民共和国证券投资基金法》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《基金法》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、《公开募集证券投资基金运作管理办法》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《运作办法》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、《证券投资基金销售管理办法》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《销售办法》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、《证券投资基金信息披露管理办法》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《信息披露办法》</w:t>
            </w:r>
            <w:r w:rsidRPr="00845ADB">
              <w:rPr>
                <w:rFonts w:ascii="Times New Roman" w:eastAsia="宋体" w:hAnsi="Times New Roman" w:cs="Times New Roman"/>
                <w:bCs/>
                <w:szCs w:val="21"/>
              </w:rPr>
              <w:t xml:space="preserve">”) </w:t>
            </w:r>
            <w:r w:rsidRPr="00845ADB">
              <w:rPr>
                <w:rFonts w:ascii="Times New Roman" w:eastAsia="宋体" w:hAnsi="Times New Roman" w:cs="Times New Roman" w:hint="eastAsia"/>
                <w:bCs/>
                <w:szCs w:val="21"/>
              </w:rPr>
              <w:t>、</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证券基金经营机构参与内地与香港股票市场交易互联互通指引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和其他有关法律法规。</w:t>
            </w:r>
          </w:p>
          <w:p w:rsidR="003302D7" w:rsidRPr="00845ADB" w:rsidRDefault="003302D7" w:rsidP="007C274B">
            <w:pPr>
              <w:spacing w:line="360" w:lineRule="auto"/>
              <w:ind w:firstLineChars="200" w:firstLine="420"/>
              <w:rPr>
                <w:rFonts w:ascii="Times New Roman" w:eastAsia="宋体" w:hAnsi="Times New Roman" w:cs="Times New Roman"/>
                <w:bCs/>
                <w:szCs w:val="21"/>
              </w:rPr>
            </w:pPr>
          </w:p>
        </w:tc>
        <w:tc>
          <w:tcPr>
            <w:tcW w:w="2214" w:type="pct"/>
          </w:tcPr>
          <w:p w:rsidR="00B70451" w:rsidRPr="00B70451" w:rsidRDefault="00B70451" w:rsidP="007C274B">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845ADB" w:rsidRDefault="00845ADB" w:rsidP="007C274B">
            <w:pPr>
              <w:spacing w:line="360" w:lineRule="auto"/>
              <w:ind w:firstLineChars="200" w:firstLine="420"/>
              <w:rPr>
                <w:rFonts w:ascii="Times New Roman" w:eastAsia="宋体" w:hAnsi="Times New Roman" w:cs="Times New Roman"/>
                <w:bCs/>
                <w:szCs w:val="21"/>
              </w:rPr>
            </w:pPr>
            <w:r w:rsidRPr="00845ADB">
              <w:rPr>
                <w:rFonts w:ascii="Times New Roman" w:eastAsia="宋体" w:hAnsi="Times New Roman" w:cs="Times New Roman"/>
                <w:bCs/>
                <w:szCs w:val="21"/>
              </w:rPr>
              <w:t>2</w:t>
            </w:r>
            <w:r w:rsidRPr="00845ADB">
              <w:rPr>
                <w:rFonts w:ascii="Times New Roman" w:eastAsia="宋体" w:hAnsi="Times New Roman" w:cs="Times New Roman" w:hint="eastAsia"/>
                <w:bCs/>
                <w:szCs w:val="21"/>
              </w:rPr>
              <w:t>、订立本基金合同的依据是《中华人民共和国合同法》、《中华人民共和国证券投资基金法》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《基金法》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、《公开募集证券投资基金运作管理办法》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《运作办法》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、《证券投资基金销售管理办法》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《销售办法》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、《证券投资基金信息披露管理办法》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以下简称</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《信息披露办法》</w:t>
            </w:r>
            <w:r w:rsidRPr="00845ADB">
              <w:rPr>
                <w:rFonts w:ascii="Times New Roman" w:eastAsia="宋体" w:hAnsi="Times New Roman" w:cs="Times New Roman"/>
                <w:bCs/>
                <w:szCs w:val="21"/>
              </w:rPr>
              <w:t xml:space="preserve">”) </w:t>
            </w:r>
            <w:r w:rsidRPr="00845ADB">
              <w:rPr>
                <w:rFonts w:ascii="Times New Roman" w:eastAsia="宋体" w:hAnsi="Times New Roman" w:cs="Times New Roman" w:hint="eastAsia"/>
                <w:bCs/>
                <w:szCs w:val="21"/>
              </w:rPr>
              <w:t>、</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证券基金经营机构参与内地与香港股票市场交易互联互通指引</w:t>
            </w:r>
            <w:r w:rsidRPr="00845ADB">
              <w:rPr>
                <w:rFonts w:ascii="Times New Roman" w:eastAsia="宋体" w:hAnsi="Times New Roman" w:cs="Times New Roman"/>
                <w:bCs/>
                <w:szCs w:val="21"/>
              </w:rPr>
              <w:t>》</w:t>
            </w:r>
            <w:r w:rsidRPr="00845ADB">
              <w:rPr>
                <w:rFonts w:ascii="Times New Roman" w:eastAsia="宋体" w:hAnsi="Times New Roman" w:cs="Times New Roman" w:hint="eastAsia"/>
                <w:bCs/>
                <w:szCs w:val="21"/>
              </w:rPr>
              <w:t>、《公开募集开放式证券投资基金流动性风险管理规定》</w:t>
            </w:r>
            <w:r w:rsidRPr="00845ADB">
              <w:rPr>
                <w:rFonts w:ascii="Times New Roman" w:eastAsia="宋体" w:hAnsi="Times New Roman" w:cs="Times New Roman" w:hint="eastAsia"/>
                <w:bCs/>
                <w:szCs w:val="21"/>
              </w:rPr>
              <w:t>(</w:t>
            </w:r>
            <w:r w:rsidRPr="00845ADB">
              <w:rPr>
                <w:rFonts w:ascii="Times New Roman" w:eastAsia="宋体" w:hAnsi="Times New Roman" w:cs="Times New Roman" w:hint="eastAsia"/>
                <w:bCs/>
                <w:szCs w:val="21"/>
              </w:rPr>
              <w:t>以下简称“《流动性规定》”</w:t>
            </w:r>
            <w:r w:rsidRPr="00845ADB">
              <w:rPr>
                <w:rFonts w:ascii="Times New Roman" w:eastAsia="宋体" w:hAnsi="Times New Roman" w:cs="Times New Roman" w:hint="eastAsia"/>
                <w:bCs/>
                <w:szCs w:val="21"/>
              </w:rPr>
              <w:t>)</w:t>
            </w:r>
            <w:r w:rsidRPr="00845ADB">
              <w:rPr>
                <w:rFonts w:ascii="Times New Roman" w:eastAsia="宋体" w:hAnsi="Times New Roman" w:cs="Times New Roman" w:hint="eastAsia"/>
                <w:bCs/>
                <w:szCs w:val="21"/>
              </w:rPr>
              <w:t>和其他有关法律法规。</w:t>
            </w:r>
          </w:p>
        </w:tc>
      </w:tr>
      <w:tr w:rsidR="00797707" w:rsidRPr="006C7529" w:rsidTr="00A77C39">
        <w:trPr>
          <w:jc w:val="center"/>
        </w:trPr>
        <w:tc>
          <w:tcPr>
            <w:tcW w:w="569" w:type="pct"/>
          </w:tcPr>
          <w:p w:rsidR="006365BA" w:rsidRPr="006C7529" w:rsidRDefault="00A304E0" w:rsidP="007C274B">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7C274B">
            <w:pPr>
              <w:spacing w:line="360" w:lineRule="auto"/>
              <w:ind w:firstLineChars="200" w:firstLine="420"/>
              <w:rPr>
                <w:rFonts w:ascii="Times New Roman" w:eastAsia="宋体" w:hAnsi="Times New Roman" w:cs="Times New Roman"/>
                <w:szCs w:val="21"/>
              </w:rPr>
            </w:pPr>
          </w:p>
          <w:p w:rsidR="00D04C49" w:rsidRDefault="00D04C49" w:rsidP="007C274B">
            <w:pPr>
              <w:spacing w:line="360" w:lineRule="auto"/>
              <w:ind w:firstLineChars="200" w:firstLine="420"/>
              <w:rPr>
                <w:rFonts w:ascii="Times New Roman" w:eastAsia="宋体" w:hAnsi="Times New Roman" w:cs="Times New Roman"/>
                <w:szCs w:val="21"/>
              </w:rPr>
            </w:pPr>
          </w:p>
          <w:p w:rsidR="00D04C49" w:rsidRDefault="00D04C49" w:rsidP="007C274B">
            <w:pPr>
              <w:spacing w:line="360" w:lineRule="auto"/>
              <w:ind w:firstLineChars="200" w:firstLine="420"/>
              <w:rPr>
                <w:rFonts w:ascii="Times New Roman" w:eastAsia="宋体" w:hAnsi="Times New Roman" w:cs="Times New Roman"/>
                <w:szCs w:val="21"/>
              </w:rPr>
            </w:pPr>
          </w:p>
          <w:p w:rsidR="006365BA" w:rsidRPr="006738CF" w:rsidRDefault="006365BA" w:rsidP="007C274B">
            <w:pPr>
              <w:spacing w:line="360" w:lineRule="auto"/>
              <w:ind w:firstLineChars="200" w:firstLine="420"/>
              <w:rPr>
                <w:rFonts w:ascii="Times New Roman" w:eastAsia="宋体" w:hAnsi="Times New Roman" w:cs="Times New Roman"/>
                <w:szCs w:val="21"/>
              </w:rPr>
            </w:pPr>
          </w:p>
        </w:tc>
        <w:tc>
          <w:tcPr>
            <w:tcW w:w="2214" w:type="pct"/>
          </w:tcPr>
          <w:p w:rsidR="00EC07C8" w:rsidRPr="00EC07C8" w:rsidRDefault="00926C41" w:rsidP="007C274B">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EC07C8" w:rsidRPr="00EC07C8" w:rsidRDefault="00EC07C8" w:rsidP="007C274B">
            <w:pPr>
              <w:spacing w:line="360" w:lineRule="auto"/>
              <w:ind w:firstLineChars="200" w:firstLine="420"/>
              <w:rPr>
                <w:rFonts w:ascii="Times New Roman" w:hAnsi="Times New Roman" w:cs="Times New Roman"/>
                <w:bCs/>
                <w:szCs w:val="21"/>
              </w:rPr>
            </w:pPr>
            <w:r w:rsidRPr="00EC07C8">
              <w:rPr>
                <w:rFonts w:ascii="Times New Roman" w:hAnsi="Times New Roman" w:cs="Times New Roman" w:hint="eastAsia"/>
                <w:bCs/>
                <w:szCs w:val="21"/>
              </w:rPr>
              <w:t>13</w:t>
            </w:r>
            <w:r w:rsidRPr="00EC07C8">
              <w:rPr>
                <w:rFonts w:ascii="Times New Roman" w:hAnsi="Times New Roman" w:cs="Times New Roman" w:hint="eastAsia"/>
                <w:bCs/>
                <w:szCs w:val="21"/>
              </w:rPr>
              <w:t>、《流动性规定》：指中国证监会</w:t>
            </w:r>
            <w:r w:rsidRPr="00EC07C8">
              <w:rPr>
                <w:rFonts w:ascii="Times New Roman" w:hAnsi="Times New Roman" w:cs="Times New Roman" w:hint="eastAsia"/>
                <w:bCs/>
                <w:szCs w:val="21"/>
              </w:rPr>
              <w:t>2017</w:t>
            </w:r>
            <w:r w:rsidRPr="00EC07C8">
              <w:rPr>
                <w:rFonts w:ascii="Times New Roman" w:hAnsi="Times New Roman" w:cs="Times New Roman" w:hint="eastAsia"/>
                <w:bCs/>
                <w:szCs w:val="21"/>
              </w:rPr>
              <w:t>年</w:t>
            </w:r>
            <w:r w:rsidRPr="00EC07C8">
              <w:rPr>
                <w:rFonts w:ascii="Times New Roman" w:hAnsi="Times New Roman" w:cs="Times New Roman" w:hint="eastAsia"/>
                <w:bCs/>
                <w:szCs w:val="21"/>
              </w:rPr>
              <w:t>8</w:t>
            </w:r>
            <w:r w:rsidRPr="00EC07C8">
              <w:rPr>
                <w:rFonts w:ascii="Times New Roman" w:hAnsi="Times New Roman" w:cs="Times New Roman" w:hint="eastAsia"/>
                <w:bCs/>
                <w:szCs w:val="21"/>
              </w:rPr>
              <w:t>月</w:t>
            </w:r>
            <w:r w:rsidRPr="00EC07C8">
              <w:rPr>
                <w:rFonts w:ascii="Times New Roman" w:hAnsi="Times New Roman" w:cs="Times New Roman" w:hint="eastAsia"/>
                <w:bCs/>
                <w:szCs w:val="21"/>
              </w:rPr>
              <w:t>31</w:t>
            </w:r>
            <w:r w:rsidRPr="00EC07C8">
              <w:rPr>
                <w:rFonts w:ascii="Times New Roman" w:hAnsi="Times New Roman" w:cs="Times New Roman" w:hint="eastAsia"/>
                <w:bCs/>
                <w:szCs w:val="21"/>
              </w:rPr>
              <w:t>日颁布、同年</w:t>
            </w:r>
            <w:r w:rsidRPr="00EC07C8">
              <w:rPr>
                <w:rFonts w:ascii="Times New Roman" w:hAnsi="Times New Roman" w:cs="Times New Roman" w:hint="eastAsia"/>
                <w:bCs/>
                <w:szCs w:val="21"/>
              </w:rPr>
              <w:t>10</w:t>
            </w:r>
            <w:r w:rsidRPr="00EC07C8">
              <w:rPr>
                <w:rFonts w:ascii="Times New Roman" w:hAnsi="Times New Roman" w:cs="Times New Roman" w:hint="eastAsia"/>
                <w:bCs/>
                <w:szCs w:val="21"/>
              </w:rPr>
              <w:t>月</w:t>
            </w:r>
            <w:r w:rsidRPr="00EC07C8">
              <w:rPr>
                <w:rFonts w:ascii="Times New Roman" w:hAnsi="Times New Roman" w:cs="Times New Roman" w:hint="eastAsia"/>
                <w:bCs/>
                <w:szCs w:val="21"/>
              </w:rPr>
              <w:t>1</w:t>
            </w:r>
            <w:r w:rsidRPr="00EC07C8">
              <w:rPr>
                <w:rFonts w:ascii="Times New Roman" w:hAnsi="Times New Roman" w:cs="Times New Roman" w:hint="eastAsia"/>
                <w:bCs/>
                <w:szCs w:val="21"/>
              </w:rPr>
              <w:t>日实施的《公开募集开放式证券投资基金流动性风险管理规定》及颁布机关对其不时做</w:t>
            </w:r>
            <w:r w:rsidRPr="00EC07C8">
              <w:rPr>
                <w:rFonts w:ascii="Times New Roman" w:hAnsi="Times New Roman" w:cs="Times New Roman" w:hint="eastAsia"/>
                <w:bCs/>
                <w:szCs w:val="21"/>
              </w:rPr>
              <w:lastRenderedPageBreak/>
              <w:t>出的修订</w:t>
            </w:r>
          </w:p>
          <w:p w:rsidR="00F77307" w:rsidRPr="00F77307" w:rsidRDefault="00A65CA5" w:rsidP="007C274B">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EC07C8" w:rsidRDefault="00EC07C8" w:rsidP="007C274B">
            <w:pPr>
              <w:spacing w:line="360" w:lineRule="auto"/>
              <w:ind w:firstLineChars="200" w:firstLine="420"/>
              <w:rPr>
                <w:rFonts w:ascii="Times New Roman" w:hAnsi="Times New Roman" w:cs="Times New Roman"/>
                <w:bCs/>
                <w:szCs w:val="21"/>
              </w:rPr>
            </w:pPr>
            <w:r w:rsidRPr="00EC07C8">
              <w:rPr>
                <w:rFonts w:ascii="Times New Roman" w:hAnsi="Times New Roman" w:cs="Times New Roman" w:hint="eastAsia"/>
                <w:bCs/>
                <w:szCs w:val="21"/>
              </w:rPr>
              <w:t>54</w:t>
            </w:r>
            <w:r w:rsidRPr="00EC07C8">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EC07C8">
              <w:rPr>
                <w:rFonts w:ascii="Times New Roman" w:hAnsi="Times New Roman" w:cs="Times New Roman" w:hint="eastAsia"/>
                <w:bCs/>
                <w:szCs w:val="21"/>
              </w:rPr>
              <w:t>10</w:t>
            </w:r>
            <w:r w:rsidRPr="00EC07C8">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7C274B">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7C274B">
            <w:pPr>
              <w:spacing w:line="360" w:lineRule="auto"/>
              <w:jc w:val="center"/>
              <w:rPr>
                <w:rFonts w:ascii="Times New Roman" w:eastAsia="宋体" w:hAnsi="Times New Roman" w:cs="Times New Roman"/>
                <w:szCs w:val="21"/>
              </w:rPr>
            </w:pPr>
          </w:p>
        </w:tc>
        <w:tc>
          <w:tcPr>
            <w:tcW w:w="2217" w:type="pct"/>
          </w:tcPr>
          <w:p w:rsidR="00A304E0" w:rsidRPr="00A304E0" w:rsidRDefault="00A304E0" w:rsidP="007C274B">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7C274B">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7C274B">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D5743" w:rsidRPr="006D5743" w:rsidRDefault="006365BA" w:rsidP="007C274B">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B24C45" w:rsidRDefault="00F77307" w:rsidP="007C274B">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t>4</w:t>
            </w:r>
            <w:r w:rsidRPr="00F7730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7C274B">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lastRenderedPageBreak/>
              <w:t>基金份额的申购与赎回</w:t>
            </w:r>
          </w:p>
        </w:tc>
        <w:tc>
          <w:tcPr>
            <w:tcW w:w="2217" w:type="pct"/>
          </w:tcPr>
          <w:p w:rsidR="00D0623D" w:rsidRPr="00D0623D" w:rsidRDefault="00D0623D" w:rsidP="007C274B">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1953B6" w:rsidRDefault="00F77307" w:rsidP="007C274B">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lastRenderedPageBreak/>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w:t>
            </w:r>
          </w:p>
        </w:tc>
        <w:tc>
          <w:tcPr>
            <w:tcW w:w="2214" w:type="pct"/>
          </w:tcPr>
          <w:p w:rsidR="00D0623D" w:rsidRPr="00D0623D" w:rsidRDefault="00D0623D" w:rsidP="007C274B">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EC07C8" w:rsidRDefault="00F77307" w:rsidP="007C274B">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bCs/>
                <w:szCs w:val="21"/>
              </w:rPr>
              <w:lastRenderedPageBreak/>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F77307">
              <w:rPr>
                <w:rFonts w:ascii="Times New Roman" w:eastAsia="宋体" w:hAnsi="Times New Roman" w:cs="Times New Roman" w:hint="eastAsia"/>
                <w:bCs/>
                <w:szCs w:val="21"/>
              </w:rPr>
              <w:t>7</w:t>
            </w:r>
            <w:r w:rsidRPr="00F77307">
              <w:rPr>
                <w:rFonts w:ascii="Times New Roman" w:eastAsia="宋体" w:hAnsi="Times New Roman" w:cs="Times New Roman" w:hint="eastAsia"/>
                <w:bCs/>
                <w:szCs w:val="21"/>
              </w:rPr>
              <w:t>日的基金份额持有人收取不低于</w:t>
            </w:r>
            <w:r w:rsidRPr="00F77307">
              <w:rPr>
                <w:rFonts w:ascii="Times New Roman" w:eastAsia="宋体" w:hAnsi="Times New Roman" w:cs="Times New Roman" w:hint="eastAsia"/>
                <w:bCs/>
                <w:szCs w:val="21"/>
              </w:rPr>
              <w:t>1.5%</w:t>
            </w:r>
            <w:r w:rsidRPr="00F77307">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7C274B">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7C274B">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7C274B">
            <w:pPr>
              <w:spacing w:line="360" w:lineRule="auto"/>
              <w:rPr>
                <w:rFonts w:asciiTheme="minorEastAsia" w:hAnsiTheme="minorEastAsia" w:cs="Times New Roman"/>
                <w:bCs/>
                <w:szCs w:val="21"/>
              </w:rPr>
            </w:pPr>
          </w:p>
          <w:p w:rsidR="006365BA" w:rsidRPr="00E12145" w:rsidRDefault="006365BA" w:rsidP="007C274B">
            <w:pPr>
              <w:spacing w:line="360" w:lineRule="auto"/>
              <w:ind w:firstLineChars="200" w:firstLine="420"/>
              <w:rPr>
                <w:rFonts w:asciiTheme="minorEastAsia" w:hAnsiTheme="minorEastAsia" w:cs="Times New Roman"/>
                <w:bCs/>
                <w:szCs w:val="21"/>
              </w:rPr>
            </w:pPr>
          </w:p>
          <w:p w:rsidR="006365BA" w:rsidRPr="00E12145" w:rsidRDefault="006365BA" w:rsidP="007C274B">
            <w:pPr>
              <w:spacing w:line="360" w:lineRule="auto"/>
              <w:ind w:firstLineChars="200" w:firstLine="420"/>
              <w:rPr>
                <w:rFonts w:asciiTheme="minorEastAsia" w:hAnsiTheme="minorEastAsia" w:cs="Times New Roman"/>
                <w:bCs/>
                <w:szCs w:val="21"/>
              </w:rPr>
            </w:pPr>
          </w:p>
          <w:p w:rsidR="006365BA" w:rsidRPr="00AF69FD" w:rsidRDefault="006365BA" w:rsidP="007C274B">
            <w:pPr>
              <w:spacing w:line="360" w:lineRule="auto"/>
              <w:ind w:firstLineChars="200" w:firstLine="420"/>
              <w:rPr>
                <w:rFonts w:asciiTheme="minorEastAsia" w:hAnsiTheme="minorEastAsia" w:cs="Times New Roman"/>
                <w:bCs/>
                <w:szCs w:val="21"/>
              </w:rPr>
            </w:pPr>
          </w:p>
          <w:p w:rsidR="00677BF6" w:rsidRPr="00E12145" w:rsidRDefault="00677BF6" w:rsidP="007C274B">
            <w:pPr>
              <w:spacing w:line="360" w:lineRule="auto"/>
              <w:ind w:firstLineChars="200" w:firstLine="420"/>
              <w:rPr>
                <w:rFonts w:asciiTheme="minorEastAsia" w:hAnsiTheme="minorEastAsia" w:cs="Times New Roman"/>
                <w:bCs/>
                <w:szCs w:val="21"/>
              </w:rPr>
            </w:pPr>
          </w:p>
          <w:p w:rsidR="00677BF6" w:rsidRPr="00E12145" w:rsidRDefault="00677BF6" w:rsidP="007C274B">
            <w:pPr>
              <w:spacing w:line="360" w:lineRule="auto"/>
              <w:ind w:firstLineChars="200" w:firstLine="420"/>
              <w:rPr>
                <w:rFonts w:asciiTheme="minorEastAsia" w:hAnsiTheme="minorEastAsia" w:cs="Times New Roman"/>
                <w:bCs/>
                <w:szCs w:val="21"/>
              </w:rPr>
            </w:pPr>
          </w:p>
          <w:p w:rsidR="00C655FA" w:rsidRDefault="00C655FA" w:rsidP="007C274B">
            <w:pPr>
              <w:spacing w:line="360" w:lineRule="auto"/>
              <w:rPr>
                <w:rFonts w:asciiTheme="minorEastAsia" w:hAnsiTheme="minorEastAsia" w:cs="Times New Roman"/>
                <w:bCs/>
                <w:szCs w:val="21"/>
              </w:rPr>
            </w:pPr>
          </w:p>
          <w:p w:rsidR="00BE68AA" w:rsidRDefault="00BE68AA" w:rsidP="007C274B">
            <w:pPr>
              <w:spacing w:line="360" w:lineRule="auto"/>
              <w:rPr>
                <w:rFonts w:asciiTheme="minorEastAsia" w:hAnsiTheme="minorEastAsia" w:cs="Times New Roman"/>
                <w:bCs/>
                <w:szCs w:val="21"/>
              </w:rPr>
            </w:pPr>
          </w:p>
          <w:p w:rsidR="00EC07C8" w:rsidRDefault="00EC07C8" w:rsidP="007C274B">
            <w:pPr>
              <w:spacing w:line="360" w:lineRule="auto"/>
              <w:rPr>
                <w:rFonts w:asciiTheme="minorEastAsia" w:hAnsiTheme="minorEastAsia" w:cs="Times New Roman"/>
                <w:bCs/>
                <w:szCs w:val="21"/>
              </w:rPr>
            </w:pPr>
          </w:p>
          <w:p w:rsidR="006365BA" w:rsidRPr="00EC07C8" w:rsidRDefault="00EC07C8" w:rsidP="007C274B">
            <w:pPr>
              <w:spacing w:line="360" w:lineRule="auto"/>
              <w:rPr>
                <w:rFonts w:asciiTheme="minorEastAsia" w:hAnsiTheme="minorEastAsia" w:cs="Times New Roman"/>
                <w:bCs/>
                <w:szCs w:val="21"/>
              </w:rPr>
            </w:pPr>
            <w:r w:rsidRPr="00EC07C8">
              <w:rPr>
                <w:rFonts w:asciiTheme="minorEastAsia" w:hAnsiTheme="minorEastAsia" w:cs="Times New Roman" w:hint="eastAsia"/>
                <w:bCs/>
                <w:szCs w:val="21"/>
              </w:rPr>
              <w:t>发生上述第</w:t>
            </w:r>
            <w:r w:rsidRPr="00EC07C8">
              <w:rPr>
                <w:rFonts w:asciiTheme="minorEastAsia" w:hAnsiTheme="minorEastAsia" w:cs="Times New Roman"/>
                <w:bCs/>
                <w:szCs w:val="21"/>
              </w:rPr>
              <w:t>1</w:t>
            </w:r>
            <w:r w:rsidRPr="00EC07C8">
              <w:rPr>
                <w:rFonts w:asciiTheme="minorEastAsia" w:hAnsiTheme="minorEastAsia" w:cs="Times New Roman" w:hint="eastAsia"/>
                <w:bCs/>
                <w:szCs w:val="21"/>
              </w:rPr>
              <w:t>、</w:t>
            </w:r>
            <w:r w:rsidRPr="00EC07C8">
              <w:rPr>
                <w:rFonts w:asciiTheme="minorEastAsia" w:hAnsiTheme="minorEastAsia" w:cs="Times New Roman"/>
                <w:bCs/>
                <w:szCs w:val="21"/>
              </w:rPr>
              <w:t>2</w:t>
            </w:r>
            <w:r w:rsidRPr="00EC07C8">
              <w:rPr>
                <w:rFonts w:asciiTheme="minorEastAsia" w:hAnsiTheme="minorEastAsia" w:cs="Times New Roman" w:hint="eastAsia"/>
                <w:bCs/>
                <w:szCs w:val="21"/>
              </w:rPr>
              <w:t>、</w:t>
            </w:r>
            <w:r w:rsidRPr="00EC07C8">
              <w:rPr>
                <w:rFonts w:asciiTheme="minorEastAsia" w:hAnsiTheme="minorEastAsia" w:cs="Times New Roman"/>
                <w:bCs/>
                <w:szCs w:val="21"/>
              </w:rPr>
              <w:t>3</w:t>
            </w:r>
            <w:r w:rsidRPr="00EC07C8">
              <w:rPr>
                <w:rFonts w:asciiTheme="minorEastAsia" w:hAnsiTheme="minorEastAsia" w:cs="Times New Roman" w:hint="eastAsia"/>
                <w:bCs/>
                <w:szCs w:val="21"/>
              </w:rPr>
              <w:t>、</w:t>
            </w:r>
            <w:r w:rsidRPr="00EC07C8">
              <w:rPr>
                <w:rFonts w:asciiTheme="minorEastAsia" w:hAnsiTheme="minorEastAsia" w:cs="Times New Roman"/>
                <w:bCs/>
                <w:szCs w:val="21"/>
              </w:rPr>
              <w:t>5</w:t>
            </w:r>
            <w:r w:rsidRPr="00EC07C8">
              <w:rPr>
                <w:rFonts w:asciiTheme="minorEastAsia" w:hAnsiTheme="minorEastAsia" w:cs="Times New Roman" w:hint="eastAsia"/>
                <w:bCs/>
                <w:szCs w:val="21"/>
              </w:rPr>
              <w:t>、</w:t>
            </w:r>
            <w:r w:rsidRPr="00EC07C8">
              <w:rPr>
                <w:rFonts w:asciiTheme="minorEastAsia" w:hAnsiTheme="minorEastAsia" w:cs="Times New Roman"/>
                <w:bCs/>
                <w:szCs w:val="21"/>
              </w:rPr>
              <w:t>6</w:t>
            </w:r>
            <w:r w:rsidRPr="00EC07C8">
              <w:rPr>
                <w:rFonts w:asciiTheme="minorEastAsia" w:hAnsiTheme="minorEastAsia" w:cs="Times New Roman" w:hint="eastAsia"/>
                <w:bCs/>
                <w:szCs w:val="21"/>
              </w:rPr>
              <w:t>、7项暂停申购情形之一</w:t>
            </w:r>
            <w:r w:rsidRPr="00EC07C8">
              <w:rPr>
                <w:rFonts w:asciiTheme="minorEastAsia" w:hAnsiTheme="minorEastAsia" w:cs="Times New Roman"/>
                <w:bCs/>
                <w:szCs w:val="21"/>
              </w:rPr>
              <w:t>且</w:t>
            </w:r>
            <w:r w:rsidRPr="00EC07C8">
              <w:rPr>
                <w:rFonts w:asciiTheme="minorEastAsia" w:hAnsiTheme="minorEastAsia" w:cs="Times New Roman"/>
                <w:bCs/>
                <w:szCs w:val="21"/>
              </w:rPr>
              <w:lastRenderedPageBreak/>
              <w:t>基金管理人决定暂停</w:t>
            </w:r>
            <w:r w:rsidRPr="00EC07C8">
              <w:rPr>
                <w:rFonts w:asciiTheme="minorEastAsia" w:hAnsiTheme="minorEastAsia" w:cs="Times New Roman" w:hint="eastAsia"/>
                <w:bCs/>
                <w:szCs w:val="21"/>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rsidR="00F25AFB" w:rsidRPr="00F25AFB" w:rsidRDefault="00D0623D" w:rsidP="007C274B">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EC07C8" w:rsidRPr="00EC07C8" w:rsidRDefault="00EC07C8" w:rsidP="007C274B">
            <w:pPr>
              <w:spacing w:line="360" w:lineRule="auto"/>
              <w:ind w:firstLineChars="200" w:firstLine="420"/>
              <w:rPr>
                <w:rFonts w:asciiTheme="minorEastAsia" w:hAnsiTheme="minorEastAsia" w:cs="Times New Roman"/>
                <w:bCs/>
                <w:szCs w:val="21"/>
              </w:rPr>
            </w:pPr>
            <w:r w:rsidRPr="00EC07C8">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EC07C8" w:rsidRPr="00EC07C8" w:rsidRDefault="00EC07C8" w:rsidP="007C274B">
            <w:pPr>
              <w:spacing w:line="360" w:lineRule="auto"/>
              <w:ind w:firstLineChars="200" w:firstLine="420"/>
              <w:rPr>
                <w:rFonts w:asciiTheme="minorEastAsia" w:hAnsiTheme="minorEastAsia" w:cs="Times New Roman"/>
                <w:bCs/>
                <w:szCs w:val="21"/>
              </w:rPr>
            </w:pPr>
            <w:r w:rsidRPr="00EC07C8">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7C274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EC07C8" w:rsidRDefault="00EC07C8" w:rsidP="007C274B">
            <w:pPr>
              <w:spacing w:line="360" w:lineRule="auto"/>
              <w:ind w:firstLineChars="200" w:firstLine="420"/>
              <w:rPr>
                <w:rFonts w:asciiTheme="minorEastAsia" w:hAnsiTheme="minorEastAsia"/>
                <w:bCs/>
                <w:szCs w:val="21"/>
              </w:rPr>
            </w:pPr>
            <w:r w:rsidRPr="00EC07C8">
              <w:rPr>
                <w:rFonts w:asciiTheme="minorEastAsia" w:hAnsiTheme="minorEastAsia" w:hint="eastAsia"/>
                <w:bCs/>
                <w:szCs w:val="21"/>
              </w:rPr>
              <w:t>发生上述第</w:t>
            </w:r>
            <w:r w:rsidRPr="00EC07C8">
              <w:rPr>
                <w:rFonts w:asciiTheme="minorEastAsia" w:hAnsiTheme="minorEastAsia"/>
                <w:bCs/>
                <w:szCs w:val="21"/>
              </w:rPr>
              <w:t>1</w:t>
            </w:r>
            <w:r w:rsidRPr="00EC07C8">
              <w:rPr>
                <w:rFonts w:asciiTheme="minorEastAsia" w:hAnsiTheme="minorEastAsia" w:hint="eastAsia"/>
                <w:bCs/>
                <w:szCs w:val="21"/>
              </w:rPr>
              <w:t>、</w:t>
            </w:r>
            <w:r w:rsidRPr="00EC07C8">
              <w:rPr>
                <w:rFonts w:asciiTheme="minorEastAsia" w:hAnsiTheme="minorEastAsia"/>
                <w:bCs/>
                <w:szCs w:val="21"/>
              </w:rPr>
              <w:t>2</w:t>
            </w:r>
            <w:r w:rsidRPr="00EC07C8">
              <w:rPr>
                <w:rFonts w:asciiTheme="minorEastAsia" w:hAnsiTheme="minorEastAsia" w:hint="eastAsia"/>
                <w:bCs/>
                <w:szCs w:val="21"/>
              </w:rPr>
              <w:t>、</w:t>
            </w:r>
            <w:r w:rsidRPr="00EC07C8">
              <w:rPr>
                <w:rFonts w:asciiTheme="minorEastAsia" w:hAnsiTheme="minorEastAsia"/>
                <w:bCs/>
                <w:szCs w:val="21"/>
              </w:rPr>
              <w:t>3</w:t>
            </w:r>
            <w:r w:rsidRPr="00EC07C8">
              <w:rPr>
                <w:rFonts w:asciiTheme="minorEastAsia" w:hAnsiTheme="minorEastAsia" w:hint="eastAsia"/>
                <w:bCs/>
                <w:szCs w:val="21"/>
              </w:rPr>
              <w:t>、</w:t>
            </w:r>
            <w:r w:rsidRPr="00EC07C8">
              <w:rPr>
                <w:rFonts w:asciiTheme="minorEastAsia" w:hAnsiTheme="minorEastAsia"/>
                <w:bCs/>
                <w:szCs w:val="21"/>
              </w:rPr>
              <w:t>5</w:t>
            </w:r>
            <w:r w:rsidRPr="00EC07C8">
              <w:rPr>
                <w:rFonts w:asciiTheme="minorEastAsia" w:hAnsiTheme="minorEastAsia" w:hint="eastAsia"/>
                <w:bCs/>
                <w:szCs w:val="21"/>
              </w:rPr>
              <w:t>、</w:t>
            </w:r>
            <w:r w:rsidRPr="00EC07C8">
              <w:rPr>
                <w:rFonts w:asciiTheme="minorEastAsia" w:hAnsiTheme="minorEastAsia"/>
                <w:bCs/>
                <w:szCs w:val="21"/>
              </w:rPr>
              <w:t>6</w:t>
            </w:r>
            <w:r w:rsidRPr="00EC07C8">
              <w:rPr>
                <w:rFonts w:asciiTheme="minorEastAsia" w:hAnsiTheme="minorEastAsia" w:hint="eastAsia"/>
                <w:bCs/>
                <w:szCs w:val="21"/>
              </w:rPr>
              <w:t>、7、9项暂停申购情形</w:t>
            </w:r>
            <w:r w:rsidRPr="00EC07C8">
              <w:rPr>
                <w:rFonts w:asciiTheme="minorEastAsia" w:hAnsiTheme="minorEastAsia" w:hint="eastAsia"/>
                <w:bCs/>
                <w:szCs w:val="21"/>
              </w:rPr>
              <w:lastRenderedPageBreak/>
              <w:t>之一</w:t>
            </w:r>
            <w:r w:rsidRPr="00EC07C8">
              <w:rPr>
                <w:rFonts w:asciiTheme="minorEastAsia" w:hAnsiTheme="minorEastAsia"/>
                <w:bCs/>
                <w:szCs w:val="21"/>
              </w:rPr>
              <w:t>且基金管理人决定暂停</w:t>
            </w:r>
            <w:r w:rsidRPr="00EC07C8">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7C274B">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7C274B">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7C274B">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7C274B">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E165C1" w:rsidRPr="00E165C1" w:rsidRDefault="00E835C9" w:rsidP="007C274B">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7F64CF" w:rsidRDefault="00F00CFD" w:rsidP="007C274B">
            <w:pPr>
              <w:spacing w:line="360" w:lineRule="auto"/>
              <w:ind w:firstLineChars="200" w:firstLine="420"/>
              <w:rPr>
                <w:rFonts w:asciiTheme="minorEastAsia" w:hAnsiTheme="minorEastAsia"/>
                <w:bCs/>
                <w:szCs w:val="21"/>
              </w:rPr>
            </w:pPr>
            <w:r w:rsidRPr="00F00CFD">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7C274B">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7C274B">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5062EA" w:rsidP="007C274B">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w:t>
            </w:r>
            <w:r w:rsidR="007C274B">
              <w:rPr>
                <w:rFonts w:asciiTheme="minorEastAsia" w:hAnsiTheme="minorEastAsia" w:cs="Times New Roman" w:hint="eastAsia"/>
                <w:bCs/>
                <w:szCs w:val="21"/>
              </w:rPr>
              <w:t>、</w:t>
            </w:r>
            <w:r w:rsidRPr="005062EA">
              <w:rPr>
                <w:rFonts w:asciiTheme="minorEastAsia" w:hAnsiTheme="minorEastAsia" w:cs="Times New Roman" w:hint="eastAsia"/>
                <w:bCs/>
                <w:szCs w:val="21"/>
              </w:rPr>
              <w:t>巨额赎回的处理方式</w:t>
            </w:r>
          </w:p>
          <w:p w:rsidR="006365BA" w:rsidRPr="00E12145" w:rsidRDefault="006C20DE" w:rsidP="007C274B">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w:t>
            </w:r>
            <w:r w:rsidR="0058378A" w:rsidRPr="0058378A">
              <w:rPr>
                <w:rFonts w:asciiTheme="minorEastAsia" w:hAnsiTheme="minorEastAsia" w:cs="Times New Roman" w:hint="eastAsia"/>
                <w:bCs/>
                <w:szCs w:val="21"/>
              </w:rPr>
              <w:t>部分</w:t>
            </w:r>
            <w:r w:rsidR="0058378A" w:rsidRPr="0058378A">
              <w:rPr>
                <w:rFonts w:asciiTheme="minorEastAsia" w:hAnsiTheme="minorEastAsia" w:cs="Times New Roman"/>
                <w:bCs/>
                <w:szCs w:val="21"/>
              </w:rPr>
              <w:t>延期赎回</w:t>
            </w:r>
          </w:p>
        </w:tc>
        <w:tc>
          <w:tcPr>
            <w:tcW w:w="2214" w:type="pct"/>
          </w:tcPr>
          <w:p w:rsidR="00BF5A15" w:rsidRPr="00BF5A15" w:rsidRDefault="00BF5A15" w:rsidP="007C274B">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7C274B">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7C274B">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7C274B">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7F64CF" w:rsidRDefault="003E1CEB" w:rsidP="003E1CEB">
            <w:pPr>
              <w:spacing w:line="360" w:lineRule="auto"/>
              <w:ind w:firstLineChars="200" w:firstLine="420"/>
              <w:rPr>
                <w:rFonts w:asciiTheme="minorEastAsia" w:hAnsiTheme="minorEastAsia"/>
                <w:bCs/>
                <w:szCs w:val="21"/>
              </w:rPr>
            </w:pPr>
            <w:r w:rsidRPr="003E1CEB">
              <w:rPr>
                <w:rFonts w:asciiTheme="minorEastAsia" w:hAnsiTheme="minorEastAsia" w:hint="eastAsia"/>
                <w:bCs/>
                <w:szCs w:val="21"/>
              </w:rPr>
              <w:t>本基金发生巨额赎回且单个基金份额持有人的赎</w:t>
            </w:r>
            <w:r w:rsidRPr="003E1CEB">
              <w:rPr>
                <w:rFonts w:asciiTheme="minorEastAsia" w:hAnsiTheme="minorEastAsia" w:hint="eastAsia"/>
                <w:bCs/>
                <w:szCs w:val="21"/>
              </w:rPr>
              <w:lastRenderedPageBreak/>
              <w:t>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C3374A" w:rsidRPr="006C7529" w:rsidTr="00A77C39">
        <w:trPr>
          <w:jc w:val="center"/>
        </w:trPr>
        <w:tc>
          <w:tcPr>
            <w:tcW w:w="569" w:type="pct"/>
          </w:tcPr>
          <w:p w:rsidR="00C3374A" w:rsidRPr="006C7529" w:rsidRDefault="003629A3" w:rsidP="007C274B">
            <w:pPr>
              <w:spacing w:line="360" w:lineRule="auto"/>
              <w:jc w:val="center"/>
              <w:rPr>
                <w:rFonts w:ascii="Times New Roman" w:eastAsia="宋体" w:hAnsi="Times New Roman" w:cs="Times New Roman"/>
                <w:b/>
                <w:szCs w:val="21"/>
              </w:rPr>
            </w:pPr>
            <w:bookmarkStart w:id="6" w:name="_Toc5477"/>
            <w:bookmarkStart w:id="7" w:name="_Toc3872"/>
            <w:bookmarkStart w:id="8" w:name="_Toc21917"/>
            <w:bookmarkStart w:id="9" w:name="_Toc2981"/>
            <w:bookmarkStart w:id="10" w:name="_Toc16437"/>
            <w:bookmarkStart w:id="11" w:name="_Toc11351"/>
            <w:bookmarkStart w:id="12" w:name="_Toc22538"/>
            <w:bookmarkStart w:id="13" w:name="_Toc11395"/>
            <w:bookmarkStart w:id="14" w:name="_Toc801"/>
            <w:bookmarkStart w:id="15" w:name="_Toc578"/>
            <w:bookmarkStart w:id="16" w:name="_Toc353462943"/>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bookmarkEnd w:id="6"/>
            <w:bookmarkEnd w:id="7"/>
            <w:bookmarkEnd w:id="8"/>
            <w:bookmarkEnd w:id="9"/>
            <w:bookmarkEnd w:id="10"/>
            <w:bookmarkEnd w:id="11"/>
            <w:bookmarkEnd w:id="12"/>
            <w:bookmarkEnd w:id="13"/>
            <w:bookmarkEnd w:id="14"/>
            <w:bookmarkEnd w:id="15"/>
            <w:bookmarkEnd w:id="16"/>
          </w:p>
        </w:tc>
        <w:tc>
          <w:tcPr>
            <w:tcW w:w="2217" w:type="pct"/>
          </w:tcPr>
          <w:p w:rsidR="00BF5A15" w:rsidRPr="00BF5A15" w:rsidRDefault="00BF5A15" w:rsidP="007C274B">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7F64CF" w:rsidRDefault="007F64CF" w:rsidP="007C274B">
            <w:pPr>
              <w:spacing w:line="360" w:lineRule="auto"/>
              <w:ind w:firstLineChars="200" w:firstLine="420"/>
              <w:rPr>
                <w:rFonts w:asciiTheme="minorEastAsia" w:hAnsiTheme="minorEastAsia"/>
                <w:bCs/>
                <w:szCs w:val="21"/>
              </w:rPr>
            </w:pPr>
            <w:r w:rsidRPr="007F64CF">
              <w:rPr>
                <w:rFonts w:asciiTheme="minorEastAsia" w:hAnsiTheme="minorEastAsia" w:hint="eastAsia"/>
                <w:bCs/>
                <w:szCs w:val="21"/>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w:t>
            </w:r>
          </w:p>
        </w:tc>
        <w:tc>
          <w:tcPr>
            <w:tcW w:w="2214" w:type="pct"/>
          </w:tcPr>
          <w:p w:rsidR="00BF5A15" w:rsidRPr="00BF5A15" w:rsidRDefault="00BF5A15" w:rsidP="007C274B">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7F64CF" w:rsidRDefault="007F64CF" w:rsidP="007C274B">
            <w:pPr>
              <w:spacing w:line="360" w:lineRule="auto"/>
              <w:ind w:firstLineChars="200" w:firstLine="420"/>
              <w:rPr>
                <w:rFonts w:asciiTheme="minorEastAsia" w:hAnsiTheme="minorEastAsia"/>
                <w:bCs/>
                <w:szCs w:val="21"/>
              </w:rPr>
            </w:pPr>
            <w:r w:rsidRPr="007F64CF">
              <w:rPr>
                <w:rFonts w:asciiTheme="minorEastAsia" w:hAnsiTheme="minorEastAsia" w:hint="eastAsia"/>
                <w:bCs/>
                <w:szCs w:val="21"/>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其中现金不包括结算备付</w:t>
            </w:r>
            <w:r w:rsidRPr="007F64CF">
              <w:rPr>
                <w:rFonts w:asciiTheme="minorEastAsia" w:hAnsiTheme="minorEastAsia" w:hint="eastAsia"/>
                <w:bCs/>
                <w:szCs w:val="21"/>
              </w:rPr>
              <w:lastRenderedPageBreak/>
              <w:t>金、存出保证金和应收申购款等。</w:t>
            </w:r>
          </w:p>
        </w:tc>
      </w:tr>
      <w:tr w:rsidR="00797707" w:rsidRPr="006C7529" w:rsidTr="00A77C39">
        <w:trPr>
          <w:jc w:val="center"/>
        </w:trPr>
        <w:tc>
          <w:tcPr>
            <w:tcW w:w="569" w:type="pct"/>
          </w:tcPr>
          <w:p w:rsidR="006365BA" w:rsidRPr="006C7529" w:rsidRDefault="003629A3" w:rsidP="007C274B">
            <w:pPr>
              <w:spacing w:line="360" w:lineRule="auto"/>
              <w:rPr>
                <w:rFonts w:ascii="Times New Roman" w:eastAsia="宋体" w:hAnsi="Times New Roman" w:cs="Times New Roman"/>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35AD7" w:rsidRPr="00B35AD7"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894879" w:rsidRPr="00894879" w:rsidRDefault="00894879" w:rsidP="007C274B">
            <w:pPr>
              <w:spacing w:line="360" w:lineRule="auto"/>
              <w:ind w:firstLineChars="200" w:firstLine="420"/>
              <w:rPr>
                <w:rFonts w:asciiTheme="minorEastAsia" w:hAnsiTheme="minorEastAsia" w:cs="Times New Roman"/>
                <w:bCs/>
                <w:szCs w:val="21"/>
              </w:rPr>
            </w:pPr>
            <w:r w:rsidRPr="00894879">
              <w:rPr>
                <w:rFonts w:asciiTheme="minorEastAsia" w:hAnsiTheme="minorEastAsia" w:cs="Times New Roman" w:hint="eastAsia"/>
                <w:bCs/>
                <w:szCs w:val="21"/>
              </w:rPr>
              <w:t>（</w:t>
            </w:r>
            <w:r w:rsidRPr="00894879">
              <w:rPr>
                <w:rFonts w:asciiTheme="minorEastAsia" w:hAnsiTheme="minorEastAsia" w:cs="Times New Roman"/>
                <w:bCs/>
                <w:szCs w:val="21"/>
              </w:rPr>
              <w:t>2</w:t>
            </w:r>
            <w:r w:rsidRPr="00894879">
              <w:rPr>
                <w:rFonts w:asciiTheme="minorEastAsia" w:hAnsiTheme="minorEastAsia" w:cs="Times New Roman" w:hint="eastAsia"/>
                <w:bCs/>
                <w:szCs w:val="21"/>
              </w:rPr>
              <w:t>）每个交易日日终在扣除股指期货合约需缴纳的交易保证金后，保持不低于基金资产净值</w:t>
            </w:r>
            <w:r w:rsidRPr="00894879">
              <w:rPr>
                <w:rFonts w:asciiTheme="minorEastAsia" w:hAnsiTheme="minorEastAsia" w:cs="Times New Roman"/>
                <w:bCs/>
                <w:szCs w:val="21"/>
              </w:rPr>
              <w:t>5</w:t>
            </w:r>
            <w:r w:rsidRPr="00894879">
              <w:rPr>
                <w:rFonts w:asciiTheme="minorEastAsia" w:hAnsiTheme="minorEastAsia" w:cs="Times New Roman" w:hint="eastAsia"/>
                <w:bCs/>
                <w:szCs w:val="21"/>
              </w:rPr>
              <w:t>％的现金或者到期日在一年以内的政府债券；</w:t>
            </w:r>
          </w:p>
          <w:p w:rsidR="00B30270" w:rsidRPr="00B30270" w:rsidRDefault="00B30270" w:rsidP="007C274B">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C80EAF" w:rsidRPr="005062EA" w:rsidRDefault="00C80EAF" w:rsidP="007C274B">
            <w:pPr>
              <w:spacing w:line="360" w:lineRule="auto"/>
              <w:ind w:firstLineChars="200" w:firstLine="420"/>
              <w:rPr>
                <w:rFonts w:asciiTheme="minorEastAsia" w:hAnsiTheme="minorEastAsia" w:cs="Times New Roman"/>
                <w:szCs w:val="21"/>
              </w:rPr>
            </w:pPr>
          </w:p>
        </w:tc>
        <w:tc>
          <w:tcPr>
            <w:tcW w:w="2214" w:type="pct"/>
          </w:tcPr>
          <w:p w:rsidR="00B35AD7" w:rsidRPr="00B35AD7"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DE1C91" w:rsidRPr="00DE1C91"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w:t>
            </w:r>
            <w:r w:rsidRPr="00DE1C91">
              <w:rPr>
                <w:rFonts w:asciiTheme="minorEastAsia" w:hAnsiTheme="minorEastAsia"/>
                <w:bCs/>
                <w:szCs w:val="21"/>
              </w:rPr>
              <w:t>2</w:t>
            </w:r>
            <w:r w:rsidRPr="00DE1C91">
              <w:rPr>
                <w:rFonts w:asciiTheme="minorEastAsia" w:hAnsiTheme="minorEastAsia" w:hint="eastAsia"/>
                <w:bCs/>
                <w:szCs w:val="21"/>
              </w:rPr>
              <w:t>）每个交易日日终在扣除股指期货合约需缴纳的交易保证金后，保持不低于基金资产净值</w:t>
            </w:r>
            <w:r w:rsidRPr="00DE1C91">
              <w:rPr>
                <w:rFonts w:asciiTheme="minorEastAsia" w:hAnsiTheme="minorEastAsia"/>
                <w:bCs/>
                <w:szCs w:val="21"/>
              </w:rPr>
              <w:t>5</w:t>
            </w:r>
            <w:r w:rsidRPr="00DE1C91">
              <w:rPr>
                <w:rFonts w:asciiTheme="minorEastAsia" w:hAnsiTheme="minorEastAsia" w:hint="eastAsia"/>
                <w:bCs/>
                <w:szCs w:val="21"/>
              </w:rPr>
              <w:t>％的现金或者到期日在一年以内的政府债券，其中现金不包括结算备付金、存出保证金和应收申购款等；</w:t>
            </w:r>
          </w:p>
          <w:p w:rsidR="00B30270" w:rsidRPr="00B30270" w:rsidRDefault="00B30270" w:rsidP="007C274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DE1C91" w:rsidRPr="00DE1C91"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E1C91" w:rsidRPr="00DE1C91"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（18）本基金主动投资于流动性受限资产的市值合计不得超过基金资产净值的15%；因证券市场波动、上市公司股票停牌、基金规模变动等基金管理人之外的因</w:t>
            </w:r>
            <w:r w:rsidRPr="00DE1C91">
              <w:rPr>
                <w:rFonts w:asciiTheme="minorEastAsia" w:hAnsiTheme="minorEastAsia" w:hint="eastAsia"/>
                <w:bCs/>
                <w:szCs w:val="21"/>
              </w:rPr>
              <w:lastRenderedPageBreak/>
              <w:t>素致使基金不符合该比例限制的，基金管理人不得主动新增流动性受限资产的投资；</w:t>
            </w:r>
          </w:p>
          <w:p w:rsidR="006365BA" w:rsidRPr="00894879"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（19）本基金与私募类证券资管产品及中国证监会认定的其他主体为交易对手开展逆回购交易的，可接受质押品的资质要求应当与基金合同约定的投资范围保持一致；</w:t>
            </w:r>
          </w:p>
        </w:tc>
      </w:tr>
      <w:tr w:rsidR="006241CA" w:rsidRPr="006C7529" w:rsidTr="00A77C39">
        <w:trPr>
          <w:jc w:val="center"/>
        </w:trPr>
        <w:tc>
          <w:tcPr>
            <w:tcW w:w="569" w:type="pct"/>
          </w:tcPr>
          <w:p w:rsidR="006241CA" w:rsidRPr="006241CA" w:rsidRDefault="003629A3" w:rsidP="007C274B">
            <w:pPr>
              <w:spacing w:line="360" w:lineRule="auto"/>
              <w:jc w:val="center"/>
              <w:rPr>
                <w:rFonts w:ascii="Times New Roman" w:eastAsia="宋体" w:hAnsi="Times New Roman" w:cs="Times New Roman"/>
                <w:b/>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74FCF" w:rsidRPr="00B74FCF"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7C274B">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0332D0"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c>
          <w:tcPr>
            <w:tcW w:w="2214" w:type="pct"/>
          </w:tcPr>
          <w:p w:rsidR="00B35AD7" w:rsidRDefault="00B35AD7" w:rsidP="007C274B">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7C274B">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DE1C91" w:rsidRDefault="00DE1C91" w:rsidP="007C274B">
            <w:pPr>
              <w:spacing w:line="360" w:lineRule="auto"/>
              <w:ind w:firstLineChars="200" w:firstLine="420"/>
              <w:rPr>
                <w:rFonts w:asciiTheme="minorEastAsia" w:hAnsiTheme="minorEastAsia"/>
                <w:bCs/>
                <w:szCs w:val="21"/>
              </w:rPr>
            </w:pPr>
            <w:r w:rsidRPr="00DE1C91">
              <w:rPr>
                <w:rFonts w:asciiTheme="minorEastAsia" w:hAnsiTheme="minorEastAsia" w:hint="eastAsia"/>
                <w:bCs/>
                <w:szCs w:val="21"/>
              </w:rPr>
              <w:t>除上述第（2）、（12）、（18）、（19）项外，因证券、期货市场波动、证券发行人合并或基金规模变动等基金管理人之外的因素致使基金投资比例不符合上述规定投资比例的，基金管理人应当在</w:t>
            </w:r>
            <w:r w:rsidRPr="00DE1C91">
              <w:rPr>
                <w:rFonts w:asciiTheme="minorEastAsia" w:hAnsiTheme="minorEastAsia"/>
                <w:bCs/>
                <w:szCs w:val="21"/>
              </w:rPr>
              <w:t>10</w:t>
            </w:r>
            <w:r w:rsidRPr="00DE1C91">
              <w:rPr>
                <w:rFonts w:asciiTheme="minorEastAsia" w:hAnsiTheme="minorEastAsia" w:hint="eastAsia"/>
                <w:bCs/>
                <w:szCs w:val="21"/>
              </w:rPr>
              <w:t>个交易日内进行调整，但中国证监会规定的特殊情形除外。法律法规另有规定的，从其规定。</w:t>
            </w:r>
          </w:p>
        </w:tc>
      </w:tr>
      <w:tr w:rsidR="00797707" w:rsidRPr="006C7529" w:rsidTr="00A77C39">
        <w:trPr>
          <w:jc w:val="center"/>
        </w:trPr>
        <w:tc>
          <w:tcPr>
            <w:tcW w:w="569" w:type="pct"/>
          </w:tcPr>
          <w:p w:rsidR="004F3A36" w:rsidRPr="004F3A36" w:rsidRDefault="004F3A36" w:rsidP="007C274B">
            <w:pPr>
              <w:spacing w:line="360" w:lineRule="auto"/>
              <w:jc w:val="center"/>
              <w:rPr>
                <w:rFonts w:ascii="Times New Roman" w:eastAsia="宋体" w:hAnsi="Times New Roman" w:cs="Times New Roman"/>
                <w:b/>
                <w:szCs w:val="21"/>
              </w:rPr>
            </w:pPr>
            <w:bookmarkStart w:id="17" w:name="_Toc17782"/>
            <w:bookmarkStart w:id="18" w:name="_Toc7802"/>
            <w:bookmarkStart w:id="19" w:name="_Toc19714"/>
            <w:bookmarkStart w:id="20" w:name="_Toc31917"/>
            <w:bookmarkStart w:id="21" w:name="_Toc27832"/>
            <w:bookmarkStart w:id="22" w:name="_Toc871"/>
            <w:bookmarkStart w:id="23" w:name="_Toc353462945"/>
            <w:r w:rsidRPr="004F3A36">
              <w:rPr>
                <w:rFonts w:ascii="Times New Roman" w:eastAsia="宋体" w:hAnsi="Times New Roman" w:cs="Times New Roman"/>
                <w:b/>
                <w:szCs w:val="21"/>
              </w:rPr>
              <w:t>第十四部分</w:t>
            </w:r>
            <w:r w:rsidRPr="004F3A36">
              <w:rPr>
                <w:rFonts w:ascii="Times New Roman" w:eastAsia="宋体" w:hAnsi="Times New Roman" w:cs="Times New Roman"/>
                <w:b/>
                <w:szCs w:val="21"/>
              </w:rPr>
              <w:t xml:space="preserve">  </w:t>
            </w:r>
            <w:r w:rsidRPr="004F3A36">
              <w:rPr>
                <w:rFonts w:ascii="Times New Roman" w:eastAsia="宋体" w:hAnsi="Times New Roman" w:cs="Times New Roman"/>
                <w:b/>
                <w:szCs w:val="21"/>
              </w:rPr>
              <w:t>基金资产估值</w:t>
            </w:r>
            <w:bookmarkEnd w:id="17"/>
            <w:bookmarkEnd w:id="18"/>
            <w:bookmarkEnd w:id="19"/>
            <w:bookmarkEnd w:id="20"/>
            <w:bookmarkEnd w:id="21"/>
            <w:bookmarkEnd w:id="22"/>
            <w:bookmarkEnd w:id="23"/>
          </w:p>
          <w:p w:rsidR="006365BA" w:rsidRPr="004F3A36" w:rsidRDefault="006365BA" w:rsidP="007C274B">
            <w:pPr>
              <w:spacing w:line="360" w:lineRule="auto"/>
              <w:jc w:val="center"/>
              <w:rPr>
                <w:rFonts w:ascii="Times New Roman" w:eastAsia="宋体" w:hAnsi="Times New Roman" w:cs="Times New Roman"/>
                <w:szCs w:val="21"/>
              </w:rPr>
            </w:pPr>
          </w:p>
        </w:tc>
        <w:tc>
          <w:tcPr>
            <w:tcW w:w="2217" w:type="pct"/>
          </w:tcPr>
          <w:p w:rsidR="00B35AD7" w:rsidRPr="00B35AD7" w:rsidRDefault="00B35AD7" w:rsidP="007C274B">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lastRenderedPageBreak/>
              <w:t>六、暂停估值的情形</w:t>
            </w:r>
          </w:p>
          <w:p w:rsidR="006365BA" w:rsidRPr="00E12145" w:rsidRDefault="006365BA" w:rsidP="007C274B">
            <w:pPr>
              <w:spacing w:line="360" w:lineRule="auto"/>
              <w:rPr>
                <w:rFonts w:asciiTheme="minorEastAsia" w:hAnsiTheme="minorEastAsia" w:cs="Times New Roman"/>
                <w:szCs w:val="21"/>
              </w:rPr>
            </w:pPr>
          </w:p>
        </w:tc>
        <w:tc>
          <w:tcPr>
            <w:tcW w:w="2214" w:type="pct"/>
          </w:tcPr>
          <w:p w:rsidR="00B35AD7" w:rsidRPr="00B35AD7" w:rsidRDefault="00B35AD7" w:rsidP="007C274B">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4F3A36" w:rsidRPr="004F3A36" w:rsidRDefault="006365BA" w:rsidP="007C274B">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7F28BE" w:rsidRDefault="00DE1C91" w:rsidP="007C274B">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4</w:t>
            </w:r>
            <w:r w:rsidR="002F2879" w:rsidRPr="002F2879">
              <w:rPr>
                <w:rFonts w:asciiTheme="minorEastAsia" w:hAnsiTheme="minorEastAsia" w:cs="Times New Roman" w:hint="eastAsia"/>
                <w:bCs/>
                <w:szCs w:val="21"/>
              </w:rPr>
              <w:t>、当前一估值日基金资产净值50%以上的资产出现</w:t>
            </w:r>
            <w:r w:rsidR="002F2879" w:rsidRPr="002F2879">
              <w:rPr>
                <w:rFonts w:asciiTheme="minorEastAsia" w:hAnsiTheme="minorEastAsia" w:cs="Times New Roman" w:hint="eastAsia"/>
                <w:bCs/>
                <w:szCs w:val="21"/>
              </w:rPr>
              <w:lastRenderedPageBreak/>
              <w:t>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4F3A36" w:rsidP="007C274B">
            <w:pPr>
              <w:spacing w:line="360" w:lineRule="auto"/>
              <w:jc w:val="center"/>
              <w:rPr>
                <w:b/>
              </w:rPr>
            </w:pPr>
            <w:bookmarkStart w:id="24" w:name="_Toc93226151"/>
            <w:bookmarkStart w:id="25" w:name="_Toc92662709"/>
            <w:bookmarkStart w:id="26" w:name="_Toc3056"/>
            <w:bookmarkStart w:id="27" w:name="_Toc193"/>
            <w:bookmarkStart w:id="28" w:name="_Toc141703898"/>
            <w:bookmarkStart w:id="29" w:name="_Toc139991748"/>
            <w:bookmarkStart w:id="30" w:name="_Toc128310501"/>
            <w:bookmarkStart w:id="31" w:name="_Toc1421"/>
            <w:bookmarkStart w:id="32" w:name="_Toc8512"/>
            <w:bookmarkStart w:id="33" w:name="_Toc11049"/>
            <w:bookmarkStart w:id="34" w:name="_Toc1173"/>
            <w:bookmarkStart w:id="35" w:name="_Toc12028"/>
            <w:bookmarkStart w:id="36" w:name="_Toc31866"/>
            <w:bookmarkStart w:id="37" w:name="_Toc29289"/>
            <w:bookmarkStart w:id="38" w:name="_Toc11802"/>
            <w:bookmarkStart w:id="39" w:name="_Toc353462949"/>
            <w:r w:rsidRPr="004F3A36">
              <w:rPr>
                <w:b/>
              </w:rPr>
              <w:lastRenderedPageBreak/>
              <w:t>第十八部分</w:t>
            </w:r>
            <w:r w:rsidRPr="004F3A36">
              <w:rPr>
                <w:b/>
              </w:rPr>
              <w:t xml:space="preserve">  </w:t>
            </w:r>
            <w:r w:rsidRPr="004F3A36">
              <w:rPr>
                <w:b/>
              </w:rPr>
              <w:t>基金</w:t>
            </w:r>
            <w:bookmarkEnd w:id="24"/>
            <w:bookmarkEnd w:id="25"/>
            <w:r w:rsidRPr="004F3A36">
              <w:rPr>
                <w:b/>
              </w:rPr>
              <w:t>的信息披露</w:t>
            </w:r>
            <w:bookmarkEnd w:id="26"/>
            <w:bookmarkEnd w:id="27"/>
            <w:bookmarkEnd w:id="28"/>
            <w:bookmarkEnd w:id="29"/>
            <w:bookmarkEnd w:id="30"/>
            <w:bookmarkEnd w:id="31"/>
            <w:bookmarkEnd w:id="32"/>
            <w:bookmarkEnd w:id="33"/>
            <w:bookmarkEnd w:id="34"/>
            <w:bookmarkEnd w:id="35"/>
            <w:bookmarkEnd w:id="36"/>
            <w:bookmarkEnd w:id="37"/>
            <w:bookmarkEnd w:id="38"/>
            <w:bookmarkEnd w:id="39"/>
          </w:p>
        </w:tc>
        <w:tc>
          <w:tcPr>
            <w:tcW w:w="2217" w:type="pct"/>
          </w:tcPr>
          <w:p w:rsidR="00321BD5" w:rsidRPr="004F3A36" w:rsidRDefault="004F3A36" w:rsidP="007C274B">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321BD5" w:rsidRPr="00DE1C91" w:rsidRDefault="00DE1C91" w:rsidP="007C274B">
            <w:pPr>
              <w:spacing w:line="360" w:lineRule="auto"/>
              <w:ind w:firstLineChars="200" w:firstLine="420"/>
              <w:rPr>
                <w:rFonts w:ascii="Times New Roman" w:eastAsia="宋体" w:hAnsi="Times New Roman" w:cs="Times New Roman"/>
                <w:bCs/>
                <w:szCs w:val="21"/>
              </w:rPr>
            </w:pPr>
            <w:r w:rsidRPr="00DE1C91">
              <w:rPr>
                <w:rFonts w:ascii="Times New Roman" w:eastAsia="宋体" w:hAnsi="Times New Roman" w:cs="Times New Roman"/>
                <w:bCs/>
                <w:szCs w:val="21"/>
              </w:rPr>
              <w:t>一、本基金的信息披露应符合《基金法》、《运作办法》、《信息披露办法》、</w:t>
            </w:r>
            <w:r w:rsidRPr="00DE1C91">
              <w:rPr>
                <w:rFonts w:ascii="Times New Roman" w:eastAsia="宋体" w:hAnsi="Times New Roman" w:cs="Times New Roman" w:hint="eastAsia"/>
                <w:bCs/>
                <w:szCs w:val="21"/>
              </w:rPr>
              <w:t>《流动性规定》、</w:t>
            </w:r>
            <w:r w:rsidRPr="00DE1C91">
              <w:rPr>
                <w:rFonts w:ascii="Times New Roman" w:eastAsia="宋体" w:hAnsi="Times New Roman" w:cs="Times New Roman"/>
                <w:bCs/>
                <w:szCs w:val="21"/>
              </w:rPr>
              <w:t>《基金合同》及其他有关规定。</w:t>
            </w:r>
          </w:p>
        </w:tc>
      </w:tr>
      <w:tr w:rsidR="00797707" w:rsidRPr="006C7529" w:rsidTr="00A77C39">
        <w:trPr>
          <w:jc w:val="center"/>
        </w:trPr>
        <w:tc>
          <w:tcPr>
            <w:tcW w:w="569" w:type="pct"/>
          </w:tcPr>
          <w:p w:rsidR="006365BA" w:rsidRPr="00A27241" w:rsidRDefault="004F3A36" w:rsidP="007C274B">
            <w:pPr>
              <w:spacing w:line="360" w:lineRule="auto"/>
              <w:jc w:val="center"/>
              <w:rPr>
                <w:rFonts w:ascii="Times New Roman" w:eastAsia="宋体" w:hAnsi="Times New Roman" w:cs="Times New Roman"/>
                <w:bCs/>
                <w:szCs w:val="21"/>
              </w:rPr>
            </w:pPr>
            <w:r w:rsidRPr="004F3A36">
              <w:rPr>
                <w:rFonts w:hint="eastAsia"/>
                <w:b/>
              </w:rPr>
              <w:t>第十八部分</w:t>
            </w:r>
            <w:r w:rsidRPr="004F3A36">
              <w:rPr>
                <w:rFonts w:hint="eastAsia"/>
                <w:b/>
              </w:rPr>
              <w:t xml:space="preserve">  </w:t>
            </w:r>
            <w:r w:rsidRPr="004F3A36">
              <w:rPr>
                <w:rFonts w:hint="eastAsia"/>
                <w:b/>
              </w:rPr>
              <w:t>基金的信息披露</w:t>
            </w:r>
          </w:p>
        </w:tc>
        <w:tc>
          <w:tcPr>
            <w:tcW w:w="2217" w:type="pct"/>
          </w:tcPr>
          <w:p w:rsidR="00E504CF" w:rsidRPr="00E504CF" w:rsidRDefault="00E504CF" w:rsidP="007C274B">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7C274B">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6365BA" w:rsidRPr="00E504CF" w:rsidRDefault="006365BA" w:rsidP="007C274B">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7C274B">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7C274B">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4F3A36" w:rsidRPr="004F3A36" w:rsidRDefault="00077C65" w:rsidP="007C274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DE1C91" w:rsidRPr="00DE1C91" w:rsidRDefault="00DE1C91" w:rsidP="007C274B">
            <w:pPr>
              <w:spacing w:line="360" w:lineRule="auto"/>
              <w:ind w:firstLineChars="200" w:firstLine="420"/>
              <w:rPr>
                <w:rFonts w:ascii="Times New Roman" w:eastAsia="宋体" w:hAnsi="Times New Roman" w:cs="Times New Roman"/>
                <w:bCs/>
                <w:szCs w:val="21"/>
              </w:rPr>
            </w:pPr>
            <w:r w:rsidRPr="00DE1C91">
              <w:rPr>
                <w:rFonts w:ascii="Times New Roman" w:eastAsia="宋体" w:hAnsi="Times New Roman" w:cs="Times New Roman" w:hint="eastAsia"/>
                <w:bCs/>
                <w:szCs w:val="21"/>
              </w:rPr>
              <w:t>如报告期内出现单一投资者持有基金份额达到或超过基金总份额</w:t>
            </w:r>
            <w:r w:rsidRPr="00DE1C91">
              <w:rPr>
                <w:rFonts w:ascii="Times New Roman" w:eastAsia="宋体" w:hAnsi="Times New Roman" w:cs="Times New Roman" w:hint="eastAsia"/>
                <w:bCs/>
                <w:szCs w:val="21"/>
              </w:rPr>
              <w:t>20%</w:t>
            </w:r>
            <w:r w:rsidRPr="00DE1C91">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E504CF" w:rsidRDefault="00DE1C91" w:rsidP="007C274B">
            <w:pPr>
              <w:spacing w:line="360" w:lineRule="auto"/>
              <w:ind w:firstLineChars="200" w:firstLine="420"/>
              <w:rPr>
                <w:rFonts w:ascii="Times New Roman" w:eastAsia="宋体" w:hAnsi="Times New Roman" w:cs="Times New Roman"/>
                <w:bCs/>
                <w:szCs w:val="21"/>
              </w:rPr>
            </w:pPr>
            <w:r w:rsidRPr="00DE1C91">
              <w:rPr>
                <w:rFonts w:ascii="Times New Roman" w:eastAsia="宋体" w:hAnsi="Times New Roman" w:cs="Times New Roman" w:hint="eastAsia"/>
                <w:bCs/>
                <w:szCs w:val="21"/>
              </w:rPr>
              <w:t>基金管理人应当在基金年度报告和半年度报告中</w:t>
            </w:r>
            <w:r w:rsidRPr="00DE1C91">
              <w:rPr>
                <w:rFonts w:ascii="Times New Roman" w:eastAsia="宋体" w:hAnsi="Times New Roman" w:cs="Times New Roman" w:hint="eastAsia"/>
                <w:bCs/>
                <w:szCs w:val="21"/>
              </w:rPr>
              <w:lastRenderedPageBreak/>
              <w:t>披露基金组合资产情况及其流动性风险分析等。</w:t>
            </w:r>
          </w:p>
        </w:tc>
      </w:tr>
      <w:tr w:rsidR="00797707" w:rsidRPr="006C7529" w:rsidTr="00A77C39">
        <w:trPr>
          <w:jc w:val="center"/>
        </w:trPr>
        <w:tc>
          <w:tcPr>
            <w:tcW w:w="569" w:type="pct"/>
          </w:tcPr>
          <w:p w:rsidR="006365BA" w:rsidRPr="00A27241" w:rsidRDefault="004F3A36" w:rsidP="007C274B">
            <w:pPr>
              <w:spacing w:line="360" w:lineRule="auto"/>
              <w:jc w:val="center"/>
              <w:rPr>
                <w:rFonts w:ascii="Times New Roman" w:hAnsi="Times New Roman" w:cs="Times New Roman"/>
                <w:szCs w:val="21"/>
              </w:rPr>
            </w:pPr>
            <w:r w:rsidRPr="004F3A36">
              <w:rPr>
                <w:rFonts w:hint="eastAsia"/>
                <w:b/>
              </w:rPr>
              <w:lastRenderedPageBreak/>
              <w:t>第十八部分</w:t>
            </w:r>
            <w:r w:rsidRPr="004F3A36">
              <w:rPr>
                <w:rFonts w:hint="eastAsia"/>
                <w:b/>
              </w:rPr>
              <w:t xml:space="preserve">  </w:t>
            </w:r>
            <w:r w:rsidRPr="004F3A36">
              <w:rPr>
                <w:rFonts w:hint="eastAsia"/>
                <w:b/>
              </w:rPr>
              <w:t>基金的信息披露</w:t>
            </w:r>
          </w:p>
        </w:tc>
        <w:tc>
          <w:tcPr>
            <w:tcW w:w="2217" w:type="pct"/>
          </w:tcPr>
          <w:p w:rsidR="00777BA1" w:rsidRDefault="00777BA1" w:rsidP="007C274B">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7C274B">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7C274B">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7C274B">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48690D" w:rsidRPr="0048690D" w:rsidRDefault="006365BA" w:rsidP="007C274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48690D" w:rsidRDefault="0048690D" w:rsidP="007C274B">
            <w:pPr>
              <w:spacing w:line="360" w:lineRule="auto"/>
              <w:ind w:firstLineChars="200" w:firstLine="420"/>
              <w:rPr>
                <w:rFonts w:ascii="Times New Roman" w:hAnsi="Times New Roman" w:cs="Times New Roman"/>
                <w:bCs/>
                <w:szCs w:val="21"/>
              </w:rPr>
            </w:pPr>
            <w:r w:rsidRPr="0048690D">
              <w:rPr>
                <w:rFonts w:ascii="Times New Roman" w:eastAsia="宋体" w:hAnsi="Times New Roman" w:cs="Times New Roman" w:hint="eastAsia"/>
                <w:bCs/>
                <w:szCs w:val="21"/>
              </w:rPr>
              <w:t>27</w:t>
            </w:r>
            <w:r w:rsidRPr="0048690D">
              <w:rPr>
                <w:rFonts w:ascii="Times New Roman" w:eastAsia="宋体" w:hAnsi="Times New Roman" w:cs="Times New Roman" w:hint="eastAsia"/>
                <w:bCs/>
                <w:szCs w:val="21"/>
              </w:rPr>
              <w:t>、发生涉及基金申购、赎回事项调整或潜在影响投资者赎回等重大事项时；</w:t>
            </w:r>
          </w:p>
        </w:tc>
      </w:tr>
      <w:tr w:rsidR="00902923" w:rsidRPr="006C7529" w:rsidTr="00902923">
        <w:trPr>
          <w:jc w:val="center"/>
        </w:trPr>
        <w:tc>
          <w:tcPr>
            <w:tcW w:w="569" w:type="pct"/>
          </w:tcPr>
          <w:p w:rsidR="00902923" w:rsidRPr="004F3A36" w:rsidRDefault="00902923" w:rsidP="007C274B">
            <w:pPr>
              <w:spacing w:line="360" w:lineRule="auto"/>
              <w:jc w:val="center"/>
              <w:rPr>
                <w:b/>
              </w:rPr>
            </w:pPr>
            <w:r w:rsidRPr="00E12145">
              <w:rPr>
                <w:rFonts w:hint="eastAsia"/>
                <w:b/>
              </w:rPr>
              <w:t>第</w:t>
            </w:r>
            <w:r>
              <w:rPr>
                <w:rFonts w:hint="eastAsia"/>
                <w:b/>
              </w:rPr>
              <w:t>二十四</w:t>
            </w:r>
            <w:r w:rsidRPr="00E12145">
              <w:rPr>
                <w:rFonts w:hint="eastAsia"/>
                <w:b/>
              </w:rPr>
              <w:t>部分</w:t>
            </w:r>
            <w:r w:rsidRPr="00E12145">
              <w:rPr>
                <w:b/>
              </w:rPr>
              <w:t xml:space="preserve">  </w:t>
            </w:r>
            <w:r>
              <w:rPr>
                <w:rFonts w:hint="eastAsia"/>
                <w:b/>
              </w:rPr>
              <w:t>基金合同</w:t>
            </w:r>
            <w:r>
              <w:rPr>
                <w:b/>
              </w:rPr>
              <w:t>内容摘要</w:t>
            </w:r>
          </w:p>
        </w:tc>
        <w:tc>
          <w:tcPr>
            <w:tcW w:w="4431" w:type="pct"/>
            <w:gridSpan w:val="2"/>
          </w:tcPr>
          <w:p w:rsidR="00902923" w:rsidRPr="00777BA1" w:rsidRDefault="00902923" w:rsidP="00902923">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AC" w:rsidRDefault="00D455AC" w:rsidP="00863159">
      <w:r>
        <w:separator/>
      </w:r>
    </w:p>
  </w:endnote>
  <w:endnote w:type="continuationSeparator" w:id="0">
    <w:p w:rsidR="00D455AC" w:rsidRDefault="00D455AC"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902923" w:rsidRPr="006468E7" w:rsidRDefault="00902923">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02A14" w:rsidRPr="00602A14">
          <w:rPr>
            <w:rFonts w:ascii="Times New Roman" w:hAnsi="Times New Roman" w:cs="Times New Roman"/>
            <w:noProof/>
            <w:lang w:val="zh-CN"/>
          </w:rPr>
          <w:t>2</w:t>
        </w:r>
        <w:r w:rsidRPr="006468E7">
          <w:rPr>
            <w:rFonts w:ascii="Times New Roman" w:hAnsi="Times New Roman" w:cs="Times New Roman"/>
          </w:rPr>
          <w:fldChar w:fldCharType="end"/>
        </w:r>
      </w:p>
    </w:sdtContent>
  </w:sdt>
  <w:p w:rsidR="00902923" w:rsidRDefault="009029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02A14" w:rsidRPr="00602A14">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AC" w:rsidRDefault="00D455AC" w:rsidP="00863159">
      <w:r>
        <w:separator/>
      </w:r>
    </w:p>
  </w:footnote>
  <w:footnote w:type="continuationSeparator" w:id="0">
    <w:p w:rsidR="00D455AC" w:rsidRDefault="00D455AC"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77EB"/>
    <w:rsid w:val="00076875"/>
    <w:rsid w:val="00077802"/>
    <w:rsid w:val="00077C65"/>
    <w:rsid w:val="00083EE8"/>
    <w:rsid w:val="000940B4"/>
    <w:rsid w:val="000942ED"/>
    <w:rsid w:val="00097FFE"/>
    <w:rsid w:val="000A6E6B"/>
    <w:rsid w:val="000B5107"/>
    <w:rsid w:val="000C1A68"/>
    <w:rsid w:val="000D4406"/>
    <w:rsid w:val="000D69A9"/>
    <w:rsid w:val="000F3056"/>
    <w:rsid w:val="00100921"/>
    <w:rsid w:val="00102E95"/>
    <w:rsid w:val="00106B4C"/>
    <w:rsid w:val="001230E4"/>
    <w:rsid w:val="00126885"/>
    <w:rsid w:val="00143045"/>
    <w:rsid w:val="00144100"/>
    <w:rsid w:val="00150BD1"/>
    <w:rsid w:val="00161780"/>
    <w:rsid w:val="00171208"/>
    <w:rsid w:val="00172CD0"/>
    <w:rsid w:val="00177AFE"/>
    <w:rsid w:val="00181E32"/>
    <w:rsid w:val="0018446F"/>
    <w:rsid w:val="0019157E"/>
    <w:rsid w:val="001953B6"/>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C3133"/>
    <w:rsid w:val="002C6457"/>
    <w:rsid w:val="002C7AD1"/>
    <w:rsid w:val="002D2D1B"/>
    <w:rsid w:val="002E0830"/>
    <w:rsid w:val="002E566B"/>
    <w:rsid w:val="002F2879"/>
    <w:rsid w:val="002F5712"/>
    <w:rsid w:val="003046E7"/>
    <w:rsid w:val="00307A30"/>
    <w:rsid w:val="0031703B"/>
    <w:rsid w:val="003215C1"/>
    <w:rsid w:val="00321BD5"/>
    <w:rsid w:val="00322B1F"/>
    <w:rsid w:val="00323121"/>
    <w:rsid w:val="003302D7"/>
    <w:rsid w:val="00331747"/>
    <w:rsid w:val="00334BC0"/>
    <w:rsid w:val="00340E65"/>
    <w:rsid w:val="00360C80"/>
    <w:rsid w:val="003629A3"/>
    <w:rsid w:val="003646AF"/>
    <w:rsid w:val="003665AD"/>
    <w:rsid w:val="00366908"/>
    <w:rsid w:val="003712B4"/>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4CB8"/>
    <w:rsid w:val="003D6003"/>
    <w:rsid w:val="003E1CEB"/>
    <w:rsid w:val="003F39C1"/>
    <w:rsid w:val="003F6C40"/>
    <w:rsid w:val="004005BE"/>
    <w:rsid w:val="004015DB"/>
    <w:rsid w:val="00402802"/>
    <w:rsid w:val="00405F01"/>
    <w:rsid w:val="00411FF0"/>
    <w:rsid w:val="00413907"/>
    <w:rsid w:val="00416534"/>
    <w:rsid w:val="00417D25"/>
    <w:rsid w:val="00427264"/>
    <w:rsid w:val="00430969"/>
    <w:rsid w:val="00441B53"/>
    <w:rsid w:val="00450C54"/>
    <w:rsid w:val="0045694B"/>
    <w:rsid w:val="0046735C"/>
    <w:rsid w:val="00473D30"/>
    <w:rsid w:val="0048690D"/>
    <w:rsid w:val="00491781"/>
    <w:rsid w:val="004937C4"/>
    <w:rsid w:val="004945C2"/>
    <w:rsid w:val="00496D4D"/>
    <w:rsid w:val="004A5F7F"/>
    <w:rsid w:val="004A66BF"/>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7A60"/>
    <w:rsid w:val="0058235F"/>
    <w:rsid w:val="0058296C"/>
    <w:rsid w:val="00582D0D"/>
    <w:rsid w:val="0058378A"/>
    <w:rsid w:val="00584895"/>
    <w:rsid w:val="0058737E"/>
    <w:rsid w:val="00596F6C"/>
    <w:rsid w:val="005A4A49"/>
    <w:rsid w:val="005B022A"/>
    <w:rsid w:val="005B13A0"/>
    <w:rsid w:val="005B4851"/>
    <w:rsid w:val="005D2D0E"/>
    <w:rsid w:val="005D5F25"/>
    <w:rsid w:val="005E1C51"/>
    <w:rsid w:val="00602A14"/>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C274B"/>
    <w:rsid w:val="007D0C7D"/>
    <w:rsid w:val="007D53A4"/>
    <w:rsid w:val="007E097B"/>
    <w:rsid w:val="007E229D"/>
    <w:rsid w:val="007F28BE"/>
    <w:rsid w:val="007F407E"/>
    <w:rsid w:val="007F473B"/>
    <w:rsid w:val="007F64CF"/>
    <w:rsid w:val="00800F35"/>
    <w:rsid w:val="00814949"/>
    <w:rsid w:val="008159E4"/>
    <w:rsid w:val="00827EDB"/>
    <w:rsid w:val="00832CB5"/>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B61D2"/>
    <w:rsid w:val="008D2FD9"/>
    <w:rsid w:val="008D7B86"/>
    <w:rsid w:val="008E0C7B"/>
    <w:rsid w:val="008E7AC3"/>
    <w:rsid w:val="008F09D8"/>
    <w:rsid w:val="00901EB3"/>
    <w:rsid w:val="00902923"/>
    <w:rsid w:val="009040A2"/>
    <w:rsid w:val="00914B9B"/>
    <w:rsid w:val="00926C41"/>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C2D5C"/>
    <w:rsid w:val="009C6FF7"/>
    <w:rsid w:val="009C7F26"/>
    <w:rsid w:val="009D31F1"/>
    <w:rsid w:val="009D3FDB"/>
    <w:rsid w:val="009E2CFD"/>
    <w:rsid w:val="009F263D"/>
    <w:rsid w:val="00A00F0E"/>
    <w:rsid w:val="00A112B0"/>
    <w:rsid w:val="00A27241"/>
    <w:rsid w:val="00A304E0"/>
    <w:rsid w:val="00A30ED9"/>
    <w:rsid w:val="00A41323"/>
    <w:rsid w:val="00A4256C"/>
    <w:rsid w:val="00A44A47"/>
    <w:rsid w:val="00A52B32"/>
    <w:rsid w:val="00A52F87"/>
    <w:rsid w:val="00A55B2C"/>
    <w:rsid w:val="00A60730"/>
    <w:rsid w:val="00A610A0"/>
    <w:rsid w:val="00A640A6"/>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50A2"/>
    <w:rsid w:val="00AD727C"/>
    <w:rsid w:val="00AE0306"/>
    <w:rsid w:val="00AE6615"/>
    <w:rsid w:val="00AF445C"/>
    <w:rsid w:val="00AF69FD"/>
    <w:rsid w:val="00AF779B"/>
    <w:rsid w:val="00B00C7B"/>
    <w:rsid w:val="00B02065"/>
    <w:rsid w:val="00B21B81"/>
    <w:rsid w:val="00B24C45"/>
    <w:rsid w:val="00B30270"/>
    <w:rsid w:val="00B35AD7"/>
    <w:rsid w:val="00B361D4"/>
    <w:rsid w:val="00B411BC"/>
    <w:rsid w:val="00B418E7"/>
    <w:rsid w:val="00B448A1"/>
    <w:rsid w:val="00B459A0"/>
    <w:rsid w:val="00B47F7F"/>
    <w:rsid w:val="00B51EAD"/>
    <w:rsid w:val="00B552D1"/>
    <w:rsid w:val="00B618A3"/>
    <w:rsid w:val="00B64D4F"/>
    <w:rsid w:val="00B674B9"/>
    <w:rsid w:val="00B67C8B"/>
    <w:rsid w:val="00B702B7"/>
    <w:rsid w:val="00B70451"/>
    <w:rsid w:val="00B74FCF"/>
    <w:rsid w:val="00B87A79"/>
    <w:rsid w:val="00B91170"/>
    <w:rsid w:val="00B93F00"/>
    <w:rsid w:val="00BA0CAA"/>
    <w:rsid w:val="00BB0F03"/>
    <w:rsid w:val="00BB23E7"/>
    <w:rsid w:val="00BB5DD2"/>
    <w:rsid w:val="00BB79D0"/>
    <w:rsid w:val="00BC2746"/>
    <w:rsid w:val="00BC2B00"/>
    <w:rsid w:val="00BD2166"/>
    <w:rsid w:val="00BD3CE1"/>
    <w:rsid w:val="00BD63EF"/>
    <w:rsid w:val="00BE68AA"/>
    <w:rsid w:val="00BF057B"/>
    <w:rsid w:val="00BF5A15"/>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0DAD"/>
    <w:rsid w:val="00C655FA"/>
    <w:rsid w:val="00C73426"/>
    <w:rsid w:val="00C73B3C"/>
    <w:rsid w:val="00C80395"/>
    <w:rsid w:val="00C80EAF"/>
    <w:rsid w:val="00C822A1"/>
    <w:rsid w:val="00C85E8D"/>
    <w:rsid w:val="00CA105A"/>
    <w:rsid w:val="00CA3456"/>
    <w:rsid w:val="00CA4368"/>
    <w:rsid w:val="00CA43FF"/>
    <w:rsid w:val="00CB4C7E"/>
    <w:rsid w:val="00CC356E"/>
    <w:rsid w:val="00CD16FA"/>
    <w:rsid w:val="00CD24EF"/>
    <w:rsid w:val="00CD600B"/>
    <w:rsid w:val="00CE5685"/>
    <w:rsid w:val="00D0204C"/>
    <w:rsid w:val="00D035B3"/>
    <w:rsid w:val="00D03F12"/>
    <w:rsid w:val="00D0475C"/>
    <w:rsid w:val="00D04C49"/>
    <w:rsid w:val="00D0623D"/>
    <w:rsid w:val="00D1154B"/>
    <w:rsid w:val="00D14D41"/>
    <w:rsid w:val="00D16FA0"/>
    <w:rsid w:val="00D208C2"/>
    <w:rsid w:val="00D23CDB"/>
    <w:rsid w:val="00D2428C"/>
    <w:rsid w:val="00D2494B"/>
    <w:rsid w:val="00D41EC9"/>
    <w:rsid w:val="00D455AC"/>
    <w:rsid w:val="00D47417"/>
    <w:rsid w:val="00D51D54"/>
    <w:rsid w:val="00D67A77"/>
    <w:rsid w:val="00D70F23"/>
    <w:rsid w:val="00D81760"/>
    <w:rsid w:val="00D9080D"/>
    <w:rsid w:val="00D9505E"/>
    <w:rsid w:val="00D96E12"/>
    <w:rsid w:val="00DA0619"/>
    <w:rsid w:val="00DA6462"/>
    <w:rsid w:val="00DC1818"/>
    <w:rsid w:val="00DD1BA3"/>
    <w:rsid w:val="00DE1C91"/>
    <w:rsid w:val="00DF1809"/>
    <w:rsid w:val="00DF7459"/>
    <w:rsid w:val="00E02701"/>
    <w:rsid w:val="00E11EB0"/>
    <w:rsid w:val="00E12145"/>
    <w:rsid w:val="00E165C1"/>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C07C8"/>
    <w:rsid w:val="00EC289F"/>
    <w:rsid w:val="00ED5BF2"/>
    <w:rsid w:val="00EF136D"/>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02EA7F-B8F1-486A-B129-1A172DC3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95A5-E3E3-4537-B1EC-B75FAA1D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739</Words>
  <Characters>4218</Characters>
  <Application>Microsoft Office Word</Application>
  <DocSecurity>0</DocSecurity>
  <Lines>35</Lines>
  <Paragraphs>9</Paragraphs>
  <ScaleCrop>false</ScaleCrop>
  <Company>Sky123.Org</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269</cp:revision>
  <dcterms:created xsi:type="dcterms:W3CDTF">2018-01-12T10:20:00Z</dcterms:created>
  <dcterms:modified xsi:type="dcterms:W3CDTF">2018-03-20T01:25:00Z</dcterms:modified>
</cp:coreProperties>
</file>