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7E" w:rsidRPr="00B87C7F" w:rsidRDefault="00EB4E7E" w:rsidP="00EB4E7E">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荣和保本</w:t>
      </w:r>
      <w:r w:rsidRPr="00304E7B">
        <w:rPr>
          <w:rFonts w:ascii="Times New Roman" w:eastAsia="宋体" w:hAnsi="宋体" w:cs="Times New Roman" w:hint="eastAsia"/>
          <w:b/>
          <w:sz w:val="28"/>
          <w:szCs w:val="28"/>
        </w:rPr>
        <w:t>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EB4E7E" w:rsidRDefault="00EB4E7E" w:rsidP="00EB4E7E">
      <w:pPr>
        <w:widowControl/>
        <w:jc w:val="left"/>
        <w:rPr>
          <w:rFonts w:ascii="Times New Roman" w:eastAsia="宋体" w:hAnsi="Times New Roman" w:cs="Times New Roman"/>
          <w:b/>
          <w:sz w:val="24"/>
          <w:szCs w:val="23"/>
        </w:rPr>
      </w:pPr>
    </w:p>
    <w:p w:rsidR="00EB4E7E" w:rsidRDefault="00EB4E7E" w:rsidP="00EB4E7E">
      <w:pPr>
        <w:widowControl/>
        <w:jc w:val="left"/>
        <w:rPr>
          <w:rFonts w:ascii="Times New Roman" w:eastAsia="宋体" w:hAnsi="Times New Roman" w:cs="Times New Roman"/>
          <w:b/>
          <w:sz w:val="24"/>
          <w:szCs w:val="23"/>
        </w:rPr>
      </w:pPr>
    </w:p>
    <w:p w:rsidR="00EB4E7E" w:rsidRPr="00E45F39" w:rsidRDefault="00EB4E7E" w:rsidP="00EB4E7E">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荣和保本</w:t>
      </w:r>
      <w:r w:rsidRPr="00304E7B">
        <w:rPr>
          <w:rFonts w:ascii="Times New Roman" w:hAnsi="宋体" w:hint="eastAsia"/>
          <w:sz w:val="24"/>
          <w:szCs w:val="24"/>
        </w:rPr>
        <w:t>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EB4E7E" w:rsidRDefault="00EB4E7E" w:rsidP="00EB4E7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EB4E7E">
        <w:rPr>
          <w:rFonts w:ascii="Times New Roman" w:hAnsi="宋体" w:hint="eastAsia"/>
          <w:sz w:val="24"/>
          <w:szCs w:val="24"/>
        </w:rPr>
        <w:t>对持续持有期少于</w:t>
      </w:r>
      <w:r w:rsidRPr="00EB4E7E">
        <w:rPr>
          <w:rFonts w:ascii="Times New Roman" w:hAnsi="宋体" w:hint="eastAsia"/>
          <w:sz w:val="24"/>
          <w:szCs w:val="24"/>
        </w:rPr>
        <w:t>7</w:t>
      </w:r>
      <w:r w:rsidRPr="00EB4E7E">
        <w:rPr>
          <w:rFonts w:ascii="Times New Roman" w:hAnsi="宋体" w:hint="eastAsia"/>
          <w:sz w:val="24"/>
          <w:szCs w:val="24"/>
        </w:rPr>
        <w:t>日的基金份额持有人收取不低于</w:t>
      </w:r>
      <w:r w:rsidRPr="00EB4E7E">
        <w:rPr>
          <w:rFonts w:ascii="Times New Roman" w:hAnsi="宋体" w:hint="eastAsia"/>
          <w:sz w:val="24"/>
          <w:szCs w:val="24"/>
        </w:rPr>
        <w:t>1.5%</w:t>
      </w:r>
      <w:r w:rsidRPr="00EB4E7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EB4E7E" w:rsidRPr="00C83FFB" w:rsidRDefault="00EB4E7E" w:rsidP="00EB4E7E">
      <w:pPr>
        <w:adjustRightInd w:val="0"/>
        <w:snapToGrid w:val="0"/>
        <w:spacing w:line="360" w:lineRule="auto"/>
        <w:ind w:firstLine="480"/>
        <w:jc w:val="left"/>
        <w:rPr>
          <w:rFonts w:ascii="Times New Roman" w:hAnsi="宋体"/>
          <w:sz w:val="24"/>
          <w:szCs w:val="24"/>
        </w:rPr>
      </w:pPr>
    </w:p>
    <w:p w:rsidR="00EB4E7E" w:rsidRPr="00E45F39" w:rsidRDefault="00EB4E7E" w:rsidP="00EB4E7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EB4E7E" w:rsidRDefault="00EB4E7E" w:rsidP="00EB4E7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荣和保本</w:t>
      </w:r>
      <w:r w:rsidRPr="00304E7B">
        <w:rPr>
          <w:rFonts w:ascii="Times New Roman" w:hAnsi="宋体" w:hint="eastAsia"/>
          <w:sz w:val="24"/>
          <w:szCs w:val="24"/>
        </w:rPr>
        <w:t>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EB4E7E" w:rsidRPr="00E45F39" w:rsidRDefault="00EB4E7E" w:rsidP="00EB4E7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EB4E7E" w:rsidRDefault="00EB4E7E" w:rsidP="00EB4E7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EB4E7E" w:rsidRPr="001674F7" w:rsidRDefault="00EB4E7E" w:rsidP="00EB4E7E">
      <w:pPr>
        <w:adjustRightInd w:val="0"/>
        <w:snapToGrid w:val="0"/>
        <w:spacing w:line="360" w:lineRule="auto"/>
        <w:ind w:firstLine="480"/>
        <w:jc w:val="left"/>
        <w:rPr>
          <w:rFonts w:ascii="Times New Roman" w:hAnsi="宋体"/>
          <w:sz w:val="24"/>
          <w:szCs w:val="24"/>
        </w:rPr>
      </w:pPr>
    </w:p>
    <w:p w:rsidR="00EB4E7E" w:rsidRPr="00E45F39" w:rsidRDefault="00EB4E7E" w:rsidP="00EB4E7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EB4E7E" w:rsidRDefault="00EB4E7E" w:rsidP="00EB4E7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EB4E7E" w:rsidRDefault="00EB4E7E" w:rsidP="00EB4E7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EB4E7E" w:rsidRPr="00E45F39" w:rsidRDefault="00EB4E7E" w:rsidP="00EB4E7E">
      <w:pPr>
        <w:adjustRightInd w:val="0"/>
        <w:snapToGrid w:val="0"/>
        <w:spacing w:line="360" w:lineRule="auto"/>
        <w:ind w:firstLine="480"/>
        <w:jc w:val="left"/>
        <w:rPr>
          <w:rFonts w:ascii="Times New Roman" w:hAnsi="宋体"/>
          <w:sz w:val="24"/>
          <w:szCs w:val="24"/>
        </w:rPr>
      </w:pPr>
    </w:p>
    <w:p w:rsidR="00EB4E7E" w:rsidRPr="00E45F39" w:rsidRDefault="00EB4E7E" w:rsidP="00EB4E7E">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EB4E7E" w:rsidRDefault="00EB4E7E" w:rsidP="00EB4E7E">
      <w:pPr>
        <w:adjustRightInd w:val="0"/>
        <w:snapToGrid w:val="0"/>
        <w:spacing w:line="360" w:lineRule="auto"/>
        <w:ind w:firstLine="480"/>
        <w:jc w:val="right"/>
        <w:rPr>
          <w:rFonts w:ascii="Times New Roman" w:eastAsia="宋体" w:hAnsi="Times New Roman" w:cs="Times New Roman"/>
          <w:b/>
          <w:sz w:val="24"/>
          <w:szCs w:val="23"/>
        </w:rPr>
        <w:sectPr w:rsidR="00EB4E7E" w:rsidSect="00304E7B">
          <w:footerReference w:type="default" r:id="rId9"/>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BA4FED">
        <w:rPr>
          <w:rFonts w:ascii="Times New Roman" w:hAnsi="宋体" w:hint="eastAsia"/>
          <w:sz w:val="24"/>
          <w:szCs w:val="24"/>
        </w:rPr>
        <w:t>二</w:t>
      </w:r>
      <w:bookmarkStart w:id="0" w:name="_GoBack"/>
      <w:bookmarkEnd w:id="0"/>
      <w:r w:rsidRPr="00E45F39">
        <w:rPr>
          <w:rFonts w:ascii="Times New Roman" w:hAnsi="宋体" w:hint="eastAsia"/>
          <w:sz w:val="24"/>
          <w:szCs w:val="24"/>
        </w:rPr>
        <w:t>日</w:t>
      </w:r>
    </w:p>
    <w:p w:rsidR="007167FD" w:rsidRDefault="008D2CF0">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附件《交银施罗德荣和保本混合型证券投资基金基金合同》修改对照表</w:t>
      </w:r>
      <w:bookmarkStart w:id="1" w:name="_Hlk493596920"/>
    </w:p>
    <w:tbl>
      <w:tblPr>
        <w:tblStyle w:val="ab"/>
        <w:tblW w:w="11830" w:type="dxa"/>
        <w:jc w:val="center"/>
        <w:tblLayout w:type="fixed"/>
        <w:tblLook w:val="04A0" w:firstRow="1" w:lastRow="0" w:firstColumn="1" w:lastColumn="0" w:noHBand="0" w:noVBand="1"/>
      </w:tblPr>
      <w:tblGrid>
        <w:gridCol w:w="1063"/>
        <w:gridCol w:w="5387"/>
        <w:gridCol w:w="5380"/>
      </w:tblGrid>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5387" w:type="dxa"/>
          </w:tcPr>
          <w:p w:rsidR="007167FD" w:rsidRDefault="008D2C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b/>
                <w:szCs w:val="21"/>
              </w:rPr>
              <w:t>原文内容</w:t>
            </w:r>
          </w:p>
        </w:tc>
        <w:tc>
          <w:tcPr>
            <w:tcW w:w="5380" w:type="dxa"/>
          </w:tcPr>
          <w:p w:rsidR="007167FD" w:rsidRDefault="008D2CF0">
            <w:pPr>
              <w:spacing w:line="360" w:lineRule="auto"/>
              <w:jc w:val="center"/>
              <w:rPr>
                <w:rFonts w:ascii="Times New Roman" w:eastAsia="宋体" w:hAnsi="Times New Roman" w:cs="Times New Roman"/>
                <w:szCs w:val="21"/>
              </w:rPr>
            </w:pPr>
            <w:r>
              <w:rPr>
                <w:rFonts w:ascii="Times New Roman" w:eastAsia="宋体" w:hAnsi="Times New Roman" w:cs="Times New Roman" w:hint="eastAsia"/>
                <w:b/>
                <w:szCs w:val="21"/>
              </w:rPr>
              <w:t>修改后内容</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5387"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一、订立本基金合同的目的、依据和原则</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w:t>
            </w:r>
            <w:r>
              <w:rPr>
                <w:rFonts w:ascii="Times New Roman" w:eastAsia="宋体" w:hAnsi="Times New Roman" w:cs="Times New Roman"/>
                <w:bCs/>
                <w:szCs w:val="21"/>
              </w:rPr>
              <w:t>订立本基金合同的依据是《中华人民共和国合同法》、《中华人民共和国证券投资基金法》</w:t>
            </w:r>
            <w:r>
              <w:rPr>
                <w:rFonts w:ascii="Times New Roman" w:eastAsia="宋体" w:hAnsi="Times New Roman" w:cs="Times New Roman"/>
                <w:bCs/>
                <w:szCs w:val="21"/>
              </w:rPr>
              <w:t>(</w:t>
            </w:r>
            <w:r>
              <w:rPr>
                <w:rFonts w:ascii="Times New Roman" w:eastAsia="宋体" w:hAnsi="Times New Roman" w:cs="Times New Roman"/>
                <w:bCs/>
                <w:szCs w:val="21"/>
              </w:rPr>
              <w:t>以下简称</w:t>
            </w:r>
            <w:r>
              <w:rPr>
                <w:rFonts w:ascii="Times New Roman" w:eastAsia="宋体" w:hAnsi="Times New Roman" w:cs="Times New Roman"/>
                <w:bCs/>
                <w:szCs w:val="21"/>
              </w:rPr>
              <w:t>“</w:t>
            </w:r>
            <w:r>
              <w:rPr>
                <w:rFonts w:ascii="Times New Roman" w:eastAsia="宋体" w:hAnsi="Times New Roman" w:cs="Times New Roman"/>
                <w:bCs/>
                <w:szCs w:val="21"/>
              </w:rPr>
              <w:t>《基金法》</w:t>
            </w:r>
            <w:r>
              <w:rPr>
                <w:rFonts w:ascii="Times New Roman" w:eastAsia="宋体" w:hAnsi="Times New Roman" w:cs="Times New Roman"/>
                <w:bCs/>
                <w:szCs w:val="21"/>
              </w:rPr>
              <w:t>”)</w:t>
            </w:r>
            <w:r>
              <w:rPr>
                <w:rFonts w:ascii="Times New Roman" w:eastAsia="宋体" w:hAnsi="Times New Roman" w:cs="Times New Roman"/>
                <w:bCs/>
                <w:szCs w:val="21"/>
              </w:rPr>
              <w:t>、《</w:t>
            </w:r>
            <w:r>
              <w:rPr>
                <w:rFonts w:ascii="Times New Roman" w:eastAsia="宋体" w:hAnsi="Times New Roman" w:cs="Times New Roman" w:hint="eastAsia"/>
                <w:bCs/>
                <w:szCs w:val="21"/>
              </w:rPr>
              <w:t>公开募集</w:t>
            </w:r>
            <w:r>
              <w:rPr>
                <w:rFonts w:ascii="Times New Roman" w:eastAsia="宋体" w:hAnsi="Times New Roman" w:cs="Times New Roman"/>
                <w:bCs/>
                <w:szCs w:val="21"/>
              </w:rPr>
              <w:t>证券投资基金运作管理办法》</w:t>
            </w:r>
            <w:r>
              <w:rPr>
                <w:rFonts w:ascii="Times New Roman" w:eastAsia="宋体" w:hAnsi="Times New Roman" w:cs="Times New Roman"/>
                <w:bCs/>
                <w:szCs w:val="21"/>
              </w:rPr>
              <w:t>(</w:t>
            </w:r>
            <w:r>
              <w:rPr>
                <w:rFonts w:ascii="Times New Roman" w:eastAsia="宋体" w:hAnsi="Times New Roman" w:cs="Times New Roman"/>
                <w:bCs/>
                <w:szCs w:val="21"/>
              </w:rPr>
              <w:t>以下简称</w:t>
            </w:r>
            <w:r>
              <w:rPr>
                <w:rFonts w:ascii="Times New Roman" w:eastAsia="宋体" w:hAnsi="Times New Roman" w:cs="Times New Roman"/>
                <w:bCs/>
                <w:szCs w:val="21"/>
              </w:rPr>
              <w:t>“</w:t>
            </w:r>
            <w:r>
              <w:rPr>
                <w:rFonts w:ascii="Times New Roman" w:eastAsia="宋体" w:hAnsi="Times New Roman" w:cs="Times New Roman"/>
                <w:bCs/>
                <w:szCs w:val="21"/>
              </w:rPr>
              <w:t>《运作办法》</w:t>
            </w:r>
            <w:r>
              <w:rPr>
                <w:rFonts w:ascii="Times New Roman" w:eastAsia="宋体" w:hAnsi="Times New Roman" w:cs="Times New Roman"/>
                <w:bCs/>
                <w:szCs w:val="21"/>
              </w:rPr>
              <w:t>”)</w:t>
            </w:r>
            <w:r>
              <w:rPr>
                <w:rFonts w:ascii="Times New Roman" w:eastAsia="宋体" w:hAnsi="Times New Roman" w:cs="Times New Roman"/>
                <w:bCs/>
                <w:szCs w:val="21"/>
              </w:rPr>
              <w:t>、《证券投资基金销售管理办法》</w:t>
            </w:r>
            <w:r>
              <w:rPr>
                <w:rFonts w:ascii="Times New Roman" w:eastAsia="宋体" w:hAnsi="Times New Roman" w:cs="Times New Roman"/>
                <w:bCs/>
                <w:szCs w:val="21"/>
              </w:rPr>
              <w:t>(</w:t>
            </w:r>
            <w:r>
              <w:rPr>
                <w:rFonts w:ascii="Times New Roman" w:eastAsia="宋体" w:hAnsi="Times New Roman" w:cs="Times New Roman"/>
                <w:bCs/>
                <w:szCs w:val="21"/>
              </w:rPr>
              <w:t>以下简称</w:t>
            </w:r>
            <w:r>
              <w:rPr>
                <w:rFonts w:ascii="Times New Roman" w:eastAsia="宋体" w:hAnsi="Times New Roman" w:cs="Times New Roman"/>
                <w:bCs/>
                <w:szCs w:val="21"/>
              </w:rPr>
              <w:t>“</w:t>
            </w:r>
            <w:r>
              <w:rPr>
                <w:rFonts w:ascii="Times New Roman" w:eastAsia="宋体" w:hAnsi="Times New Roman" w:cs="Times New Roman"/>
                <w:bCs/>
                <w:szCs w:val="21"/>
              </w:rPr>
              <w:t>《销售办法》</w:t>
            </w:r>
            <w:r>
              <w:rPr>
                <w:rFonts w:ascii="Times New Roman" w:eastAsia="宋体" w:hAnsi="Times New Roman" w:cs="Times New Roman"/>
                <w:bCs/>
                <w:szCs w:val="21"/>
              </w:rPr>
              <w:t>”)</w:t>
            </w:r>
            <w:r>
              <w:rPr>
                <w:rFonts w:ascii="Times New Roman" w:eastAsia="宋体" w:hAnsi="Times New Roman" w:cs="Times New Roman"/>
                <w:bCs/>
                <w:szCs w:val="21"/>
              </w:rPr>
              <w:t>、《证券投资基金信息披露管理办法》</w:t>
            </w:r>
            <w:r>
              <w:rPr>
                <w:rFonts w:ascii="Times New Roman" w:eastAsia="宋体" w:hAnsi="Times New Roman" w:cs="Times New Roman"/>
                <w:bCs/>
                <w:szCs w:val="21"/>
              </w:rPr>
              <w:t>(</w:t>
            </w:r>
            <w:r>
              <w:rPr>
                <w:rFonts w:ascii="Times New Roman" w:eastAsia="宋体" w:hAnsi="Times New Roman" w:cs="Times New Roman"/>
                <w:bCs/>
                <w:szCs w:val="21"/>
              </w:rPr>
              <w:t>以下简称</w:t>
            </w:r>
            <w:r>
              <w:rPr>
                <w:rFonts w:ascii="Times New Roman" w:eastAsia="宋体" w:hAnsi="Times New Roman" w:cs="Times New Roman"/>
                <w:bCs/>
                <w:szCs w:val="21"/>
              </w:rPr>
              <w:t>“</w:t>
            </w:r>
            <w:r>
              <w:rPr>
                <w:rFonts w:ascii="Times New Roman" w:eastAsia="宋体" w:hAnsi="Times New Roman" w:cs="Times New Roman"/>
                <w:bCs/>
                <w:szCs w:val="21"/>
              </w:rPr>
              <w:t>《信息披露办法》</w:t>
            </w:r>
            <w:r>
              <w:rPr>
                <w:rFonts w:ascii="Times New Roman" w:eastAsia="宋体" w:hAnsi="Times New Roman" w:cs="Times New Roman"/>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、《关于保本基金的指导意见》</w:t>
            </w:r>
            <w:r>
              <w:rPr>
                <w:rFonts w:ascii="Times New Roman" w:eastAsia="宋体" w:hAnsi="Times New Roman" w:cs="Times New Roman"/>
                <w:bCs/>
                <w:szCs w:val="21"/>
              </w:rPr>
              <w:t>和其他有关法律法规。</w:t>
            </w:r>
          </w:p>
        </w:tc>
        <w:tc>
          <w:tcPr>
            <w:tcW w:w="5380"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一、订立本基金合同的目的、依据和原则</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hint="eastAsia"/>
                <w:bCs/>
                <w:szCs w:val="21"/>
              </w:rPr>
              <w:t>、</w:t>
            </w:r>
            <w:r>
              <w:rPr>
                <w:rFonts w:ascii="Times New Roman" w:eastAsia="宋体" w:hAnsi="Times New Roman" w:cs="Times New Roman"/>
                <w:bCs/>
                <w:szCs w:val="21"/>
              </w:rPr>
              <w:t>订立本基金合同的依据是《中华人民共和国合同法》、《中华人民共和国证券投资基金法》</w:t>
            </w:r>
            <w:r>
              <w:rPr>
                <w:rFonts w:ascii="Times New Roman" w:eastAsia="宋体" w:hAnsi="Times New Roman" w:cs="Times New Roman"/>
                <w:bCs/>
                <w:szCs w:val="21"/>
              </w:rPr>
              <w:t>(</w:t>
            </w:r>
            <w:r>
              <w:rPr>
                <w:rFonts w:ascii="Times New Roman" w:eastAsia="宋体" w:hAnsi="Times New Roman" w:cs="Times New Roman"/>
                <w:bCs/>
                <w:szCs w:val="21"/>
              </w:rPr>
              <w:t>以下简称</w:t>
            </w:r>
            <w:r>
              <w:rPr>
                <w:rFonts w:ascii="Times New Roman" w:eastAsia="宋体" w:hAnsi="Times New Roman" w:cs="Times New Roman"/>
                <w:bCs/>
                <w:szCs w:val="21"/>
              </w:rPr>
              <w:t>“</w:t>
            </w:r>
            <w:r>
              <w:rPr>
                <w:rFonts w:ascii="Times New Roman" w:eastAsia="宋体" w:hAnsi="Times New Roman" w:cs="Times New Roman"/>
                <w:bCs/>
                <w:szCs w:val="21"/>
              </w:rPr>
              <w:t>《基金法》</w:t>
            </w:r>
            <w:r>
              <w:rPr>
                <w:rFonts w:ascii="Times New Roman" w:eastAsia="宋体" w:hAnsi="Times New Roman" w:cs="Times New Roman"/>
                <w:bCs/>
                <w:szCs w:val="21"/>
              </w:rPr>
              <w:t>”)</w:t>
            </w:r>
            <w:r>
              <w:rPr>
                <w:rFonts w:ascii="Times New Roman" w:eastAsia="宋体" w:hAnsi="Times New Roman" w:cs="Times New Roman"/>
                <w:bCs/>
                <w:szCs w:val="21"/>
              </w:rPr>
              <w:t>、《</w:t>
            </w:r>
            <w:r>
              <w:rPr>
                <w:rFonts w:ascii="Times New Roman" w:eastAsia="宋体" w:hAnsi="Times New Roman" w:cs="Times New Roman" w:hint="eastAsia"/>
                <w:bCs/>
                <w:szCs w:val="21"/>
              </w:rPr>
              <w:t>公开募集</w:t>
            </w:r>
            <w:r>
              <w:rPr>
                <w:rFonts w:ascii="Times New Roman" w:eastAsia="宋体" w:hAnsi="Times New Roman" w:cs="Times New Roman"/>
                <w:bCs/>
                <w:szCs w:val="21"/>
              </w:rPr>
              <w:t>证券投资基金运作管理办法》</w:t>
            </w:r>
            <w:r>
              <w:rPr>
                <w:rFonts w:ascii="Times New Roman" w:eastAsia="宋体" w:hAnsi="Times New Roman" w:cs="Times New Roman"/>
                <w:bCs/>
                <w:szCs w:val="21"/>
              </w:rPr>
              <w:t>(</w:t>
            </w:r>
            <w:r>
              <w:rPr>
                <w:rFonts w:ascii="Times New Roman" w:eastAsia="宋体" w:hAnsi="Times New Roman" w:cs="Times New Roman"/>
                <w:bCs/>
                <w:szCs w:val="21"/>
              </w:rPr>
              <w:t>以下简称</w:t>
            </w:r>
            <w:r>
              <w:rPr>
                <w:rFonts w:ascii="Times New Roman" w:eastAsia="宋体" w:hAnsi="Times New Roman" w:cs="Times New Roman"/>
                <w:bCs/>
                <w:szCs w:val="21"/>
              </w:rPr>
              <w:t>“</w:t>
            </w:r>
            <w:r>
              <w:rPr>
                <w:rFonts w:ascii="Times New Roman" w:eastAsia="宋体" w:hAnsi="Times New Roman" w:cs="Times New Roman"/>
                <w:bCs/>
                <w:szCs w:val="21"/>
              </w:rPr>
              <w:t>《运作办法》</w:t>
            </w:r>
            <w:r>
              <w:rPr>
                <w:rFonts w:ascii="Times New Roman" w:eastAsia="宋体" w:hAnsi="Times New Roman" w:cs="Times New Roman"/>
                <w:bCs/>
                <w:szCs w:val="21"/>
              </w:rPr>
              <w:t>”)</w:t>
            </w:r>
            <w:r>
              <w:rPr>
                <w:rFonts w:ascii="Times New Roman" w:eastAsia="宋体" w:hAnsi="Times New Roman" w:cs="Times New Roman"/>
                <w:bCs/>
                <w:szCs w:val="21"/>
              </w:rPr>
              <w:t>、《证券投资基金销售管理办法》</w:t>
            </w:r>
            <w:r>
              <w:rPr>
                <w:rFonts w:ascii="Times New Roman" w:eastAsia="宋体" w:hAnsi="Times New Roman" w:cs="Times New Roman"/>
                <w:bCs/>
                <w:szCs w:val="21"/>
              </w:rPr>
              <w:t>(</w:t>
            </w:r>
            <w:r>
              <w:rPr>
                <w:rFonts w:ascii="Times New Roman" w:eastAsia="宋体" w:hAnsi="Times New Roman" w:cs="Times New Roman"/>
                <w:bCs/>
                <w:szCs w:val="21"/>
              </w:rPr>
              <w:t>以下简称</w:t>
            </w:r>
            <w:r>
              <w:rPr>
                <w:rFonts w:ascii="Times New Roman" w:eastAsia="宋体" w:hAnsi="Times New Roman" w:cs="Times New Roman"/>
                <w:bCs/>
                <w:szCs w:val="21"/>
              </w:rPr>
              <w:t>“</w:t>
            </w:r>
            <w:r>
              <w:rPr>
                <w:rFonts w:ascii="Times New Roman" w:eastAsia="宋体" w:hAnsi="Times New Roman" w:cs="Times New Roman"/>
                <w:bCs/>
                <w:szCs w:val="21"/>
              </w:rPr>
              <w:t>《销售办法》</w:t>
            </w:r>
            <w:r>
              <w:rPr>
                <w:rFonts w:ascii="Times New Roman" w:eastAsia="宋体" w:hAnsi="Times New Roman" w:cs="Times New Roman"/>
                <w:bCs/>
                <w:szCs w:val="21"/>
              </w:rPr>
              <w:t>”)</w:t>
            </w:r>
            <w:r>
              <w:rPr>
                <w:rFonts w:ascii="Times New Roman" w:eastAsia="宋体" w:hAnsi="Times New Roman" w:cs="Times New Roman"/>
                <w:bCs/>
                <w:szCs w:val="21"/>
              </w:rPr>
              <w:t>、《证券投资基金信息披露管理办法》</w:t>
            </w:r>
            <w:r>
              <w:rPr>
                <w:rFonts w:ascii="Times New Roman" w:eastAsia="宋体" w:hAnsi="Times New Roman" w:cs="Times New Roman"/>
                <w:bCs/>
                <w:szCs w:val="21"/>
              </w:rPr>
              <w:t>(</w:t>
            </w:r>
            <w:r>
              <w:rPr>
                <w:rFonts w:ascii="Times New Roman" w:eastAsia="宋体" w:hAnsi="Times New Roman" w:cs="Times New Roman"/>
                <w:bCs/>
                <w:szCs w:val="21"/>
              </w:rPr>
              <w:t>以下简称</w:t>
            </w:r>
            <w:r>
              <w:rPr>
                <w:rFonts w:ascii="Times New Roman" w:eastAsia="宋体" w:hAnsi="Times New Roman" w:cs="Times New Roman"/>
                <w:bCs/>
                <w:szCs w:val="21"/>
              </w:rPr>
              <w:t>“</w:t>
            </w:r>
            <w:r>
              <w:rPr>
                <w:rFonts w:ascii="Times New Roman" w:eastAsia="宋体" w:hAnsi="Times New Roman" w:cs="Times New Roman"/>
                <w:bCs/>
                <w:szCs w:val="21"/>
              </w:rPr>
              <w:t>《信息披露办法》</w:t>
            </w:r>
            <w:r>
              <w:rPr>
                <w:rFonts w:ascii="Times New Roman" w:eastAsia="宋体" w:hAnsi="Times New Roman" w:cs="Times New Roman"/>
                <w:bCs/>
                <w:szCs w:val="21"/>
              </w:rPr>
              <w:t>”)</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、《关于保本基金的指导意见》、《公开募集开放式证券投资基金流动性风险管理规定》（以下简称“《流动性规定》”）</w:t>
            </w:r>
            <w:r>
              <w:rPr>
                <w:rFonts w:ascii="Times New Roman" w:eastAsia="宋体" w:hAnsi="Times New Roman" w:cs="Times New Roman"/>
                <w:bCs/>
                <w:szCs w:val="21"/>
              </w:rPr>
              <w:t>和其他有关法律法规。</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第二部分</w:t>
            </w:r>
            <w:r>
              <w:rPr>
                <w:rFonts w:ascii="Times New Roman" w:eastAsia="宋体" w:hAnsi="Times New Roman" w:cs="Times New Roman"/>
                <w:b/>
                <w:szCs w:val="21"/>
              </w:rPr>
              <w:t xml:space="preserve">  </w:t>
            </w:r>
            <w:r>
              <w:rPr>
                <w:rFonts w:ascii="Times New Roman" w:eastAsia="宋体" w:hAnsi="Times New Roman" w:cs="Times New Roman"/>
                <w:b/>
                <w:szCs w:val="21"/>
              </w:rPr>
              <w:t>释义</w:t>
            </w:r>
          </w:p>
        </w:tc>
        <w:tc>
          <w:tcPr>
            <w:tcW w:w="5387" w:type="dxa"/>
          </w:tcPr>
          <w:p w:rsidR="007167FD" w:rsidRDefault="007167FD">
            <w:pPr>
              <w:spacing w:line="360" w:lineRule="auto"/>
              <w:ind w:firstLineChars="200" w:firstLine="420"/>
              <w:rPr>
                <w:rFonts w:ascii="Times New Roman" w:eastAsia="宋体" w:hAnsi="Times New Roman" w:cs="Times New Roman"/>
                <w:szCs w:val="21"/>
              </w:rPr>
            </w:pPr>
          </w:p>
          <w:p w:rsidR="007167FD" w:rsidRDefault="007167FD">
            <w:pPr>
              <w:spacing w:line="360" w:lineRule="auto"/>
              <w:ind w:firstLineChars="200" w:firstLine="420"/>
              <w:rPr>
                <w:rFonts w:ascii="Times New Roman" w:eastAsia="宋体" w:hAnsi="Times New Roman" w:cs="Times New Roman"/>
                <w:szCs w:val="21"/>
              </w:rPr>
            </w:pPr>
          </w:p>
          <w:p w:rsidR="007167FD" w:rsidRDefault="007167FD">
            <w:pPr>
              <w:spacing w:line="360" w:lineRule="auto"/>
              <w:ind w:firstLineChars="200" w:firstLine="420"/>
              <w:rPr>
                <w:rFonts w:ascii="Times New Roman" w:eastAsia="宋体" w:hAnsi="Times New Roman" w:cs="Times New Roman"/>
                <w:szCs w:val="21"/>
              </w:rPr>
            </w:pPr>
          </w:p>
          <w:p w:rsidR="007167FD" w:rsidRDefault="007167FD">
            <w:pPr>
              <w:spacing w:line="360" w:lineRule="auto"/>
              <w:ind w:firstLineChars="200" w:firstLine="420"/>
              <w:rPr>
                <w:rFonts w:ascii="Times New Roman" w:eastAsia="宋体" w:hAnsi="Times New Roman" w:cs="Times New Roman"/>
                <w:szCs w:val="21"/>
              </w:rPr>
            </w:pPr>
          </w:p>
        </w:tc>
        <w:tc>
          <w:tcPr>
            <w:tcW w:w="5380" w:type="dxa"/>
          </w:tcPr>
          <w:p w:rsidR="007167FD" w:rsidRDefault="008D2CF0">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新增内容如下：</w:t>
            </w:r>
          </w:p>
          <w:p w:rsidR="007167FD" w:rsidRDefault="008D2CF0">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14</w:t>
            </w:r>
            <w:r>
              <w:rPr>
                <w:rFonts w:ascii="Times New Roman" w:hAnsi="Times New Roman" w:cs="Times New Roman" w:hint="eastAsia"/>
                <w:bCs/>
                <w:szCs w:val="21"/>
              </w:rPr>
              <w:t>、《流动性规定》：指中国证监会</w:t>
            </w:r>
            <w:r>
              <w:rPr>
                <w:rFonts w:ascii="Times New Roman" w:hAnsi="Times New Roman" w:cs="Times New Roman" w:hint="eastAsia"/>
                <w:bCs/>
                <w:szCs w:val="21"/>
              </w:rPr>
              <w:t>2017</w:t>
            </w:r>
            <w:r>
              <w:rPr>
                <w:rFonts w:ascii="Times New Roman" w:hAnsi="Times New Roman" w:cs="Times New Roman" w:hint="eastAsia"/>
                <w:bCs/>
                <w:szCs w:val="21"/>
              </w:rPr>
              <w:t>年</w:t>
            </w:r>
            <w:r>
              <w:rPr>
                <w:rFonts w:ascii="Times New Roman" w:hAnsi="Times New Roman" w:cs="Times New Roman" w:hint="eastAsia"/>
                <w:bCs/>
                <w:szCs w:val="21"/>
              </w:rPr>
              <w:t>8</w:t>
            </w:r>
            <w:r>
              <w:rPr>
                <w:rFonts w:ascii="Times New Roman" w:hAnsi="Times New Roman" w:cs="Times New Roman" w:hint="eastAsia"/>
                <w:bCs/>
                <w:szCs w:val="21"/>
              </w:rPr>
              <w:t>月</w:t>
            </w:r>
            <w:r>
              <w:rPr>
                <w:rFonts w:ascii="Times New Roman" w:hAnsi="Times New Roman" w:cs="Times New Roman" w:hint="eastAsia"/>
                <w:bCs/>
                <w:szCs w:val="21"/>
              </w:rPr>
              <w:t>31</w:t>
            </w:r>
            <w:r>
              <w:rPr>
                <w:rFonts w:ascii="Times New Roman" w:hAnsi="Times New Roman" w:cs="Times New Roman" w:hint="eastAsia"/>
                <w:bCs/>
                <w:szCs w:val="21"/>
              </w:rPr>
              <w:t>日颁布、同年</w:t>
            </w:r>
            <w:r>
              <w:rPr>
                <w:rFonts w:ascii="Times New Roman" w:hAnsi="Times New Roman" w:cs="Times New Roman" w:hint="eastAsia"/>
                <w:bCs/>
                <w:szCs w:val="21"/>
              </w:rPr>
              <w:t>10</w:t>
            </w:r>
            <w:r>
              <w:rPr>
                <w:rFonts w:ascii="Times New Roman" w:hAnsi="Times New Roman" w:cs="Times New Roman" w:hint="eastAsia"/>
                <w:bCs/>
                <w:szCs w:val="21"/>
              </w:rPr>
              <w:t>月</w:t>
            </w:r>
            <w:r>
              <w:rPr>
                <w:rFonts w:ascii="Times New Roman" w:hAnsi="Times New Roman" w:cs="Times New Roman" w:hint="eastAsia"/>
                <w:bCs/>
                <w:szCs w:val="21"/>
              </w:rPr>
              <w:t>1</w:t>
            </w:r>
            <w:r>
              <w:rPr>
                <w:rFonts w:ascii="Times New Roman" w:hAnsi="Times New Roman" w:cs="Times New Roman" w:hint="eastAsia"/>
                <w:bCs/>
                <w:szCs w:val="21"/>
              </w:rPr>
              <w:t>日实施的《公开募集开放式证券投资基金流动性风险管理规定》及颁布机关对其不时做出的修订</w:t>
            </w:r>
          </w:p>
          <w:p w:rsidR="007167FD" w:rsidRDefault="008D2CF0">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73</w:t>
            </w:r>
            <w:r>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Pr>
                <w:rFonts w:ascii="Times New Roman" w:eastAsia="宋体" w:hAnsi="Times New Roman" w:cs="Times New Roman" w:hint="eastAsia"/>
                <w:bCs/>
                <w:szCs w:val="21"/>
              </w:rPr>
              <w:t>10</w:t>
            </w:r>
            <w:r>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bookmarkStart w:id="2" w:name="_Toc466827091"/>
            <w:r>
              <w:rPr>
                <w:rFonts w:ascii="Times New Roman" w:eastAsia="宋体" w:hAnsi="Times New Roman" w:cs="Times New Roman"/>
                <w:b/>
                <w:szCs w:val="21"/>
              </w:rPr>
              <w:lastRenderedPageBreak/>
              <w:t>第六部分</w:t>
            </w:r>
            <w:r>
              <w:rPr>
                <w:rFonts w:ascii="Times New Roman" w:eastAsia="宋体" w:hAnsi="Times New Roman" w:cs="Times New Roman"/>
                <w:b/>
                <w:szCs w:val="21"/>
              </w:rPr>
              <w:t xml:space="preserve">  </w:t>
            </w:r>
            <w:r>
              <w:rPr>
                <w:rFonts w:ascii="Times New Roman" w:eastAsia="宋体" w:hAnsi="Times New Roman" w:cs="Times New Roman"/>
                <w:b/>
                <w:szCs w:val="21"/>
              </w:rPr>
              <w:t>基金份额的申购与赎回</w:t>
            </w:r>
            <w:bookmarkEnd w:id="2"/>
          </w:p>
          <w:p w:rsidR="007167FD" w:rsidRDefault="007167FD">
            <w:pPr>
              <w:spacing w:line="360" w:lineRule="auto"/>
              <w:jc w:val="center"/>
              <w:rPr>
                <w:rFonts w:ascii="Times New Roman" w:eastAsia="宋体" w:hAnsi="Times New Roman" w:cs="Times New Roman"/>
                <w:szCs w:val="21"/>
              </w:rPr>
            </w:pPr>
          </w:p>
        </w:tc>
        <w:tc>
          <w:tcPr>
            <w:tcW w:w="5387" w:type="dxa"/>
          </w:tcPr>
          <w:p w:rsidR="007167FD" w:rsidRDefault="008D2CF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五、申购和赎回的数量限制</w:t>
            </w:r>
          </w:p>
        </w:tc>
        <w:tc>
          <w:tcPr>
            <w:tcW w:w="5380" w:type="dxa"/>
          </w:tcPr>
          <w:p w:rsidR="007167FD" w:rsidRDefault="008D2CF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五、申购和赎回的数量限制</w:t>
            </w:r>
          </w:p>
          <w:p w:rsidR="007167FD" w:rsidRDefault="008D2CF0">
            <w:pPr>
              <w:spacing w:line="360" w:lineRule="auto"/>
              <w:ind w:firstLineChars="200" w:firstLine="420"/>
              <w:rPr>
                <w:rFonts w:ascii="Times New Roman" w:eastAsia="宋体" w:hAnsi="Times New Roman" w:cs="Times New Roman"/>
                <w:szCs w:val="21"/>
                <w:u w:val="single"/>
              </w:rPr>
            </w:pPr>
            <w:r>
              <w:rPr>
                <w:rFonts w:ascii="Times New Roman" w:eastAsia="宋体" w:hAnsi="Times New Roman" w:cs="Times New Roman"/>
                <w:szCs w:val="21"/>
              </w:rPr>
              <w:t>新增内容如下：</w:t>
            </w:r>
          </w:p>
          <w:p w:rsidR="007167FD" w:rsidRDefault="008D2CF0">
            <w:pPr>
              <w:spacing w:line="360" w:lineRule="auto"/>
              <w:ind w:firstLineChars="200" w:firstLine="420"/>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第六部分</w:t>
            </w:r>
            <w:r>
              <w:rPr>
                <w:rFonts w:ascii="Times New Roman" w:eastAsia="宋体" w:hAnsi="Times New Roman" w:cs="Times New Roman"/>
                <w:b/>
                <w:szCs w:val="21"/>
              </w:rPr>
              <w:t xml:space="preserve">  </w:t>
            </w:r>
            <w:r>
              <w:rPr>
                <w:rFonts w:ascii="Times New Roman" w:eastAsia="宋体" w:hAnsi="Times New Roman" w:cs="Times New Roman"/>
                <w:b/>
                <w:szCs w:val="21"/>
              </w:rPr>
              <w:t>基金份额的申购与</w:t>
            </w:r>
            <w:r>
              <w:rPr>
                <w:rFonts w:ascii="Times New Roman" w:eastAsia="宋体" w:hAnsi="Times New Roman" w:cs="Times New Roman"/>
                <w:b/>
                <w:szCs w:val="21"/>
              </w:rPr>
              <w:lastRenderedPageBreak/>
              <w:t>赎回</w:t>
            </w:r>
          </w:p>
          <w:p w:rsidR="007167FD" w:rsidRDefault="007167FD">
            <w:pPr>
              <w:spacing w:line="360" w:lineRule="auto"/>
              <w:jc w:val="center"/>
              <w:rPr>
                <w:rFonts w:ascii="Times New Roman" w:eastAsia="宋体" w:hAnsi="Times New Roman" w:cs="Times New Roman"/>
                <w:b/>
                <w:szCs w:val="21"/>
              </w:rPr>
            </w:pPr>
          </w:p>
        </w:tc>
        <w:tc>
          <w:tcPr>
            <w:tcW w:w="5387"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六、申购和赎回的价格、费用及其用途</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、赎回费用由赎回基金份额的基金份额持有人承担，在基金份额持有人赎回基金份额时收取。赎回费用纳入基</w:t>
            </w:r>
            <w:r>
              <w:rPr>
                <w:rFonts w:ascii="Times New Roman" w:eastAsia="宋体" w:hAnsi="Times New Roman" w:cs="Times New Roman" w:hint="eastAsia"/>
                <w:bCs/>
                <w:szCs w:val="21"/>
              </w:rPr>
              <w:lastRenderedPageBreak/>
              <w:t>金财产的比例详见招募说明书，未归入基金财产的部分用于支付登记费和其他必要的手续费。</w:t>
            </w:r>
          </w:p>
        </w:tc>
        <w:tc>
          <w:tcPr>
            <w:tcW w:w="5380"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六、申购和赎回的价格、费用及其用途</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5</w:t>
            </w:r>
            <w:r>
              <w:rPr>
                <w:rFonts w:ascii="Times New Roman" w:eastAsia="宋体" w:hAnsi="Times New Roman" w:cs="Times New Roman" w:hint="eastAsia"/>
                <w:bCs/>
                <w:szCs w:val="21"/>
              </w:rPr>
              <w:t>、赎回费用由赎回基金份额的基金份额持有人承担，在基金份额持有人赎回基金份额时收取。赎回费用纳入基</w:t>
            </w:r>
            <w:r>
              <w:rPr>
                <w:rFonts w:ascii="Times New Roman" w:eastAsia="宋体" w:hAnsi="Times New Roman" w:cs="Times New Roman" w:hint="eastAsia"/>
                <w:bCs/>
                <w:szCs w:val="21"/>
              </w:rPr>
              <w:lastRenderedPageBreak/>
              <w:t>金财产的比例详见招募说明书，未归入基金财产的部分用于支付登记费和其他必要的手续费。其中，对持续持有期少于</w:t>
            </w:r>
            <w:r>
              <w:rPr>
                <w:rFonts w:ascii="Times New Roman" w:eastAsia="宋体" w:hAnsi="Times New Roman" w:cs="Times New Roman" w:hint="eastAsia"/>
                <w:bCs/>
                <w:szCs w:val="21"/>
              </w:rPr>
              <w:t>7</w:t>
            </w:r>
            <w:r>
              <w:rPr>
                <w:rFonts w:ascii="Times New Roman" w:eastAsia="宋体" w:hAnsi="Times New Roman" w:cs="Times New Roman" w:hint="eastAsia"/>
                <w:bCs/>
                <w:szCs w:val="21"/>
              </w:rPr>
              <w:t>日的基金份额持有人收取不低于</w:t>
            </w:r>
            <w:r>
              <w:rPr>
                <w:rFonts w:ascii="Times New Roman" w:eastAsia="宋体" w:hAnsi="Times New Roman" w:cs="Times New Roman" w:hint="eastAsia"/>
                <w:bCs/>
                <w:szCs w:val="21"/>
              </w:rPr>
              <w:t>1.5%</w:t>
            </w:r>
            <w:r>
              <w:rPr>
                <w:rFonts w:ascii="Times New Roman" w:eastAsia="宋体" w:hAnsi="Times New Roman" w:cs="Times New Roman" w:hint="eastAsia"/>
                <w:bCs/>
                <w:szCs w:val="21"/>
              </w:rPr>
              <w:t>的赎回费并全额计入基金财产。</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lastRenderedPageBreak/>
              <w:t>第六部分</w:t>
            </w:r>
            <w:r>
              <w:rPr>
                <w:rFonts w:ascii="Times New Roman" w:eastAsia="宋体" w:hAnsi="Times New Roman" w:cs="Times New Roman"/>
                <w:b/>
                <w:szCs w:val="21"/>
              </w:rPr>
              <w:t xml:space="preserve">  </w:t>
            </w:r>
            <w:r>
              <w:rPr>
                <w:rFonts w:ascii="Times New Roman" w:eastAsia="宋体" w:hAnsi="Times New Roman" w:cs="Times New Roman"/>
                <w:b/>
                <w:szCs w:val="21"/>
              </w:rPr>
              <w:t>基金份额的申购与赎回</w:t>
            </w:r>
          </w:p>
          <w:p w:rsidR="007167FD" w:rsidRDefault="007167FD">
            <w:pPr>
              <w:spacing w:line="360" w:lineRule="auto"/>
              <w:jc w:val="center"/>
              <w:rPr>
                <w:rFonts w:ascii="Times New Roman" w:eastAsia="宋体" w:hAnsi="Times New Roman" w:cs="Times New Roman"/>
                <w:szCs w:val="21"/>
              </w:rPr>
            </w:pPr>
          </w:p>
        </w:tc>
        <w:tc>
          <w:tcPr>
            <w:tcW w:w="5387" w:type="dxa"/>
          </w:tcPr>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七、拒绝或暂停申购的情形</w:t>
            </w:r>
          </w:p>
          <w:p w:rsidR="007167FD" w:rsidRDefault="007167FD">
            <w:pPr>
              <w:spacing w:line="360" w:lineRule="auto"/>
              <w:rPr>
                <w:rFonts w:asciiTheme="minorEastAsia" w:hAnsiTheme="minorEastAsia" w:cs="Times New Roman"/>
                <w:bCs/>
                <w:szCs w:val="21"/>
              </w:rPr>
            </w:pPr>
          </w:p>
          <w:p w:rsidR="007167FD" w:rsidRDefault="007167FD">
            <w:pPr>
              <w:spacing w:line="360" w:lineRule="auto"/>
              <w:ind w:firstLineChars="200" w:firstLine="420"/>
              <w:rPr>
                <w:rFonts w:asciiTheme="minorEastAsia" w:hAnsiTheme="minorEastAsia" w:cs="Times New Roman"/>
                <w:bCs/>
                <w:szCs w:val="21"/>
              </w:rPr>
            </w:pPr>
          </w:p>
          <w:p w:rsidR="007167FD" w:rsidRDefault="007167FD">
            <w:pPr>
              <w:spacing w:line="360" w:lineRule="auto"/>
              <w:ind w:firstLineChars="200" w:firstLine="420"/>
              <w:rPr>
                <w:rFonts w:asciiTheme="minorEastAsia" w:hAnsiTheme="minorEastAsia" w:cs="Times New Roman"/>
                <w:bCs/>
                <w:szCs w:val="21"/>
              </w:rPr>
            </w:pPr>
          </w:p>
          <w:p w:rsidR="007167FD" w:rsidRDefault="007167FD">
            <w:pPr>
              <w:spacing w:line="360" w:lineRule="auto"/>
              <w:ind w:firstLineChars="200" w:firstLine="420"/>
              <w:rPr>
                <w:rFonts w:asciiTheme="minorEastAsia" w:hAnsiTheme="minorEastAsia" w:cs="Times New Roman"/>
                <w:bCs/>
                <w:szCs w:val="21"/>
              </w:rPr>
            </w:pPr>
          </w:p>
          <w:p w:rsidR="007167FD" w:rsidRDefault="007167FD">
            <w:pPr>
              <w:spacing w:line="360" w:lineRule="auto"/>
              <w:ind w:firstLineChars="200" w:firstLine="420"/>
              <w:rPr>
                <w:rFonts w:asciiTheme="minorEastAsia" w:hAnsiTheme="minorEastAsia" w:cs="Times New Roman"/>
                <w:bCs/>
                <w:szCs w:val="21"/>
              </w:rPr>
            </w:pPr>
          </w:p>
          <w:p w:rsidR="007167FD" w:rsidRDefault="007167FD">
            <w:pPr>
              <w:spacing w:line="360" w:lineRule="auto"/>
              <w:ind w:firstLineChars="200" w:firstLine="420"/>
              <w:rPr>
                <w:rFonts w:asciiTheme="minorEastAsia" w:hAnsiTheme="minorEastAsia" w:cs="Times New Roman"/>
                <w:bCs/>
                <w:szCs w:val="21"/>
              </w:rPr>
            </w:pPr>
          </w:p>
          <w:p w:rsidR="007167FD" w:rsidRDefault="007167FD">
            <w:pPr>
              <w:spacing w:line="360" w:lineRule="auto"/>
              <w:rPr>
                <w:rFonts w:asciiTheme="minorEastAsia" w:hAnsiTheme="minorEastAsia" w:cs="Times New Roman"/>
                <w:bCs/>
                <w:szCs w:val="21"/>
              </w:rPr>
            </w:pPr>
          </w:p>
          <w:p w:rsidR="007167FD" w:rsidRDefault="007167FD">
            <w:pPr>
              <w:spacing w:line="360" w:lineRule="auto"/>
              <w:rPr>
                <w:rFonts w:asciiTheme="minorEastAsia" w:hAnsiTheme="minorEastAsia" w:cs="Times New Roman"/>
                <w:bCs/>
                <w:szCs w:val="21"/>
              </w:rPr>
            </w:pPr>
          </w:p>
          <w:p w:rsidR="007167FD" w:rsidRDefault="007167FD">
            <w:pPr>
              <w:spacing w:line="360" w:lineRule="auto"/>
              <w:ind w:firstLineChars="200" w:firstLine="420"/>
              <w:rPr>
                <w:rFonts w:asciiTheme="minorEastAsia" w:hAnsiTheme="minorEastAsia" w:cs="Times New Roman"/>
                <w:bCs/>
                <w:szCs w:val="21"/>
              </w:rPr>
            </w:pPr>
          </w:p>
          <w:p w:rsidR="007167FD" w:rsidRDefault="008D2CF0">
            <w:pPr>
              <w:spacing w:line="360" w:lineRule="auto"/>
              <w:ind w:firstLineChars="200" w:firstLine="420"/>
              <w:rPr>
                <w:rFonts w:asciiTheme="minorEastAsia" w:hAnsiTheme="minorEastAsia"/>
                <w:bCs/>
                <w:szCs w:val="21"/>
              </w:rPr>
            </w:pPr>
            <w:r>
              <w:rPr>
                <w:rFonts w:asciiTheme="minorEastAsia" w:hAnsiTheme="minorEastAsia"/>
                <w:bCs/>
                <w:szCs w:val="21"/>
              </w:rPr>
              <w:t>发生上述第1、2、</w:t>
            </w:r>
            <w:r>
              <w:rPr>
                <w:rFonts w:asciiTheme="minorEastAsia" w:hAnsiTheme="minorEastAsia" w:hint="eastAsia"/>
                <w:bCs/>
                <w:szCs w:val="21"/>
              </w:rPr>
              <w:t>3</w:t>
            </w:r>
            <w:r>
              <w:rPr>
                <w:rFonts w:asciiTheme="minorEastAsia" w:hAnsiTheme="minorEastAsia"/>
                <w:bCs/>
                <w:szCs w:val="21"/>
              </w:rPr>
              <w:t>、5</w:t>
            </w:r>
            <w:r>
              <w:rPr>
                <w:rFonts w:asciiTheme="minorEastAsia" w:hAnsiTheme="minorEastAsia" w:hint="eastAsia"/>
                <w:bCs/>
                <w:szCs w:val="21"/>
              </w:rPr>
              <w:t>、6、7</w:t>
            </w:r>
            <w:r>
              <w:rPr>
                <w:rFonts w:asciiTheme="minorEastAsia" w:hAnsiTheme="minorEastAsia"/>
                <w:bCs/>
                <w:szCs w:val="21"/>
              </w:rPr>
              <w:t>项暂停申购情形</w:t>
            </w:r>
            <w:r>
              <w:rPr>
                <w:rFonts w:asciiTheme="minorEastAsia" w:hAnsiTheme="minorEastAsia" w:hint="eastAsia"/>
                <w:bCs/>
                <w:szCs w:val="21"/>
              </w:rPr>
              <w:t>之一</w:t>
            </w:r>
            <w:r>
              <w:rPr>
                <w:rFonts w:asciiTheme="minorEastAsia" w:hAnsiTheme="minorEastAsia"/>
                <w:bCs/>
                <w:szCs w:val="21"/>
              </w:rPr>
              <w:t>且基金管理人决定暂停接受投资人的申购申请时，基金管理人应当根据有关规定在指定媒介上刊登暂停申购公告。</w:t>
            </w:r>
            <w:r>
              <w:rPr>
                <w:rFonts w:asciiTheme="minorEastAsia" w:hAnsiTheme="minorEastAsia"/>
                <w:bCs/>
                <w:szCs w:val="21"/>
              </w:rPr>
              <w:lastRenderedPageBreak/>
              <w:t>如果投资人的申购申请被拒绝，被拒绝的申购款项将退还给投资人。在暂停申购的情况消除时，基金管理人应及时恢复申购业务的办理。</w:t>
            </w:r>
          </w:p>
        </w:tc>
        <w:tc>
          <w:tcPr>
            <w:tcW w:w="5380" w:type="dxa"/>
          </w:tcPr>
          <w:p w:rsidR="007167FD" w:rsidRDefault="008D2CF0">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七、拒绝或暂停申购的情形</w:t>
            </w:r>
          </w:p>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rsidR="007167FD" w:rsidRDefault="008D2CF0">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bCs/>
                <w:szCs w:val="21"/>
              </w:rPr>
              <w:t>发生上述第1、2、</w:t>
            </w:r>
            <w:r>
              <w:rPr>
                <w:rFonts w:asciiTheme="minorEastAsia" w:hAnsiTheme="minorEastAsia" w:hint="eastAsia"/>
                <w:bCs/>
                <w:szCs w:val="21"/>
              </w:rPr>
              <w:t>3</w:t>
            </w:r>
            <w:r>
              <w:rPr>
                <w:rFonts w:asciiTheme="minorEastAsia" w:hAnsiTheme="minorEastAsia"/>
                <w:bCs/>
                <w:szCs w:val="21"/>
              </w:rPr>
              <w:t>、5</w:t>
            </w:r>
            <w:r>
              <w:rPr>
                <w:rFonts w:asciiTheme="minorEastAsia" w:hAnsiTheme="minorEastAsia" w:hint="eastAsia"/>
                <w:bCs/>
                <w:szCs w:val="21"/>
              </w:rPr>
              <w:t>、6、7、9</w:t>
            </w:r>
            <w:r>
              <w:rPr>
                <w:rFonts w:asciiTheme="minorEastAsia" w:hAnsiTheme="minorEastAsia"/>
                <w:bCs/>
                <w:szCs w:val="21"/>
              </w:rPr>
              <w:t>项暂停申购情形</w:t>
            </w:r>
            <w:r>
              <w:rPr>
                <w:rFonts w:asciiTheme="minorEastAsia" w:hAnsiTheme="minorEastAsia" w:hint="eastAsia"/>
                <w:bCs/>
                <w:szCs w:val="21"/>
              </w:rPr>
              <w:t>之一</w:t>
            </w:r>
            <w:r>
              <w:rPr>
                <w:rFonts w:asciiTheme="minorEastAsia" w:hAnsiTheme="minorEastAsia"/>
                <w:bCs/>
                <w:szCs w:val="21"/>
              </w:rPr>
              <w:t>且基金管理人决定暂停接受投资人的申购申请时，基金管理人应当根据有关规定在指定媒介上刊登暂停申购公</w:t>
            </w:r>
            <w:r>
              <w:rPr>
                <w:rFonts w:asciiTheme="minorEastAsia" w:hAnsiTheme="minorEastAsia"/>
                <w:bCs/>
                <w:szCs w:val="21"/>
              </w:rPr>
              <w:lastRenderedPageBreak/>
              <w:t>告。如果投资人的申购申请被拒绝，被拒绝的申购款项将退还给投资人。在暂停申购的情况消除时，基金管理人应及时恢复申购业务的办理。</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lastRenderedPageBreak/>
              <w:t>第六部分</w:t>
            </w:r>
            <w:r>
              <w:rPr>
                <w:rFonts w:ascii="Times New Roman" w:eastAsia="宋体" w:hAnsi="Times New Roman" w:cs="Times New Roman"/>
                <w:b/>
                <w:szCs w:val="21"/>
              </w:rPr>
              <w:t xml:space="preserve">  </w:t>
            </w:r>
            <w:r>
              <w:rPr>
                <w:rFonts w:ascii="Times New Roman" w:eastAsia="宋体" w:hAnsi="Times New Roman" w:cs="Times New Roman"/>
                <w:b/>
                <w:szCs w:val="21"/>
              </w:rPr>
              <w:t>基金份额的申购与赎回</w:t>
            </w:r>
          </w:p>
          <w:p w:rsidR="007167FD" w:rsidRDefault="007167FD">
            <w:pPr>
              <w:spacing w:line="360" w:lineRule="auto"/>
              <w:jc w:val="center"/>
              <w:rPr>
                <w:rFonts w:ascii="Times New Roman" w:eastAsia="宋体" w:hAnsi="Times New Roman" w:cs="Times New Roman"/>
                <w:szCs w:val="21"/>
                <w:u w:val="single"/>
              </w:rPr>
            </w:pPr>
          </w:p>
        </w:tc>
        <w:tc>
          <w:tcPr>
            <w:tcW w:w="5387" w:type="dxa"/>
          </w:tcPr>
          <w:p w:rsidR="007167FD" w:rsidRDefault="008D2CF0">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八、暂停赎回或延缓支付赎回款项的情形</w:t>
            </w:r>
          </w:p>
          <w:p w:rsidR="007167FD" w:rsidRDefault="007167FD">
            <w:pPr>
              <w:spacing w:line="360" w:lineRule="auto"/>
              <w:ind w:firstLineChars="200" w:firstLine="420"/>
              <w:rPr>
                <w:rFonts w:asciiTheme="minorEastAsia" w:hAnsiTheme="minorEastAsia" w:cs="Times New Roman"/>
                <w:szCs w:val="21"/>
              </w:rPr>
            </w:pPr>
          </w:p>
        </w:tc>
        <w:tc>
          <w:tcPr>
            <w:tcW w:w="5380"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八、暂停赎回或延缓支付赎回款项的情形</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8、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第六部分</w:t>
            </w:r>
            <w:r>
              <w:rPr>
                <w:rFonts w:ascii="Times New Roman" w:eastAsia="宋体" w:hAnsi="Times New Roman" w:cs="Times New Roman"/>
                <w:b/>
                <w:szCs w:val="21"/>
              </w:rPr>
              <w:t xml:space="preserve">  </w:t>
            </w:r>
            <w:r>
              <w:rPr>
                <w:rFonts w:ascii="Times New Roman" w:eastAsia="宋体" w:hAnsi="Times New Roman" w:cs="Times New Roman"/>
                <w:b/>
                <w:szCs w:val="21"/>
              </w:rPr>
              <w:t>基金份额的申购与赎回</w:t>
            </w:r>
          </w:p>
          <w:p w:rsidR="007167FD" w:rsidRDefault="007167FD">
            <w:pPr>
              <w:spacing w:line="360" w:lineRule="auto"/>
              <w:jc w:val="center"/>
              <w:rPr>
                <w:rFonts w:ascii="Times New Roman" w:eastAsia="宋体" w:hAnsi="Times New Roman" w:cs="Times New Roman"/>
                <w:b/>
                <w:szCs w:val="21"/>
              </w:rPr>
            </w:pPr>
          </w:p>
        </w:tc>
        <w:tc>
          <w:tcPr>
            <w:tcW w:w="5387" w:type="dxa"/>
          </w:tcPr>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九、巨额赎回的情形及处理方式</w:t>
            </w:r>
          </w:p>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2、巨额赎回的处理方式</w:t>
            </w:r>
          </w:p>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（2）部分延期赎回</w:t>
            </w:r>
          </w:p>
        </w:tc>
        <w:tc>
          <w:tcPr>
            <w:tcW w:w="5380"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九、巨额赎回的情形及处理方式</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2、巨额赎回的处理方式</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（2）部分延期赎回</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7167FD" w:rsidRDefault="00D07B21">
            <w:pPr>
              <w:spacing w:line="360" w:lineRule="auto"/>
              <w:ind w:firstLineChars="200" w:firstLine="420"/>
              <w:rPr>
                <w:rFonts w:asciiTheme="minorEastAsia" w:hAnsiTheme="minorEastAsia"/>
                <w:bCs/>
                <w:szCs w:val="21"/>
              </w:rPr>
            </w:pPr>
            <w:r w:rsidRPr="00D07B21">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w:t>
            </w:r>
            <w:r w:rsidRPr="00D07B21">
              <w:rPr>
                <w:rFonts w:asciiTheme="minorEastAsia" w:hAnsiTheme="minorEastAsia" w:hint="eastAsia"/>
                <w:bCs/>
                <w:szCs w:val="21"/>
              </w:rPr>
              <w:lastRenderedPageBreak/>
              <w:t>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lastRenderedPageBreak/>
              <w:t>第七部分</w:t>
            </w:r>
          </w:p>
          <w:p w:rsidR="007167FD" w:rsidRDefault="008D2CF0">
            <w:pPr>
              <w:spacing w:line="360" w:lineRule="auto"/>
              <w:jc w:val="center"/>
              <w:rPr>
                <w:rFonts w:ascii="Times New Roman" w:eastAsia="宋体" w:hAnsi="Times New Roman" w:cs="Times New Roman"/>
                <w:b/>
                <w:szCs w:val="21"/>
              </w:rPr>
            </w:pPr>
            <w:r w:rsidRPr="00EB4E7E">
              <w:rPr>
                <w:rFonts w:ascii="Times New Roman" w:eastAsia="宋体" w:hAnsi="Times New Roman" w:cs="Times New Roman"/>
                <w:b/>
                <w:szCs w:val="21"/>
              </w:rPr>
              <w:t xml:space="preserve"> </w:t>
            </w:r>
            <w:r w:rsidRPr="00EB4E7E">
              <w:rPr>
                <w:rFonts w:ascii="Times New Roman" w:eastAsia="宋体" w:hAnsi="Times New Roman" w:cs="Times New Roman" w:hint="eastAsia"/>
                <w:b/>
                <w:szCs w:val="21"/>
              </w:rPr>
              <w:t>基金合同当事人及权利义务</w:t>
            </w:r>
          </w:p>
        </w:tc>
        <w:tc>
          <w:tcPr>
            <w:tcW w:w="5387" w:type="dxa"/>
          </w:tcPr>
          <w:p w:rsidR="007167FD" w:rsidRDefault="008D2CF0" w:rsidP="00EB4E7E">
            <w:pPr>
              <w:numPr>
                <w:ilvl w:val="0"/>
                <w:numId w:val="1"/>
              </w:numPr>
              <w:spacing w:line="360" w:lineRule="auto"/>
              <w:ind w:firstLineChars="200" w:firstLine="420"/>
              <w:rPr>
                <w:rFonts w:asciiTheme="minorEastAsia" w:hAnsiTheme="minorEastAsia" w:cs="Times New Roman"/>
                <w:bCs/>
                <w:szCs w:val="21"/>
              </w:rPr>
            </w:pPr>
            <w:r w:rsidRPr="00EB4E7E">
              <w:rPr>
                <w:rFonts w:asciiTheme="minorEastAsia" w:hAnsiTheme="minorEastAsia" w:cs="Times New Roman" w:hint="eastAsia"/>
                <w:bCs/>
                <w:szCs w:val="21"/>
              </w:rPr>
              <w:t>基金管理人</w:t>
            </w:r>
          </w:p>
          <w:p w:rsidR="007167FD" w:rsidRDefault="008D2CF0" w:rsidP="00EB4E7E">
            <w:pPr>
              <w:numPr>
                <w:ilvl w:val="0"/>
                <w:numId w:val="2"/>
              </w:numPr>
              <w:spacing w:line="360" w:lineRule="auto"/>
              <w:ind w:firstLineChars="200" w:firstLine="420"/>
              <w:rPr>
                <w:rFonts w:asciiTheme="minorEastAsia" w:hAnsiTheme="minorEastAsia" w:cs="Times New Roman"/>
                <w:bCs/>
                <w:szCs w:val="21"/>
              </w:rPr>
            </w:pPr>
            <w:r w:rsidRPr="00EB4E7E">
              <w:rPr>
                <w:rFonts w:asciiTheme="minorEastAsia" w:hAnsiTheme="minorEastAsia" w:cs="Times New Roman" w:hint="eastAsia"/>
                <w:bCs/>
                <w:szCs w:val="21"/>
              </w:rPr>
              <w:t>基金管理人简况</w:t>
            </w:r>
          </w:p>
          <w:p w:rsidR="007167FD" w:rsidRDefault="008D2CF0" w:rsidP="00EB4E7E">
            <w:pPr>
              <w:numPr>
                <w:ilvl w:val="255"/>
                <w:numId w:val="0"/>
              </w:num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r w:rsidRPr="00EB4E7E">
              <w:rPr>
                <w:rFonts w:asciiTheme="minorEastAsia" w:hAnsiTheme="minorEastAsia" w:cs="Times New Roman" w:hint="eastAsia"/>
                <w:bCs/>
                <w:szCs w:val="21"/>
              </w:rPr>
              <w:t>法定代表人：</w:t>
            </w:r>
            <w:r>
              <w:rPr>
                <w:rFonts w:asciiTheme="minorEastAsia" w:hAnsiTheme="minorEastAsia" w:cs="Times New Roman" w:hint="eastAsia"/>
                <w:bCs/>
                <w:szCs w:val="21"/>
              </w:rPr>
              <w:t>阮红（代任）</w:t>
            </w:r>
          </w:p>
        </w:tc>
        <w:tc>
          <w:tcPr>
            <w:tcW w:w="5380" w:type="dxa"/>
          </w:tcPr>
          <w:p w:rsidR="007167FD" w:rsidRDefault="008D2CF0">
            <w:pPr>
              <w:numPr>
                <w:ilvl w:val="0"/>
                <w:numId w:val="1"/>
              </w:num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基金管理人</w:t>
            </w:r>
          </w:p>
          <w:p w:rsidR="007167FD" w:rsidRDefault="008D2CF0">
            <w:pPr>
              <w:numPr>
                <w:ilvl w:val="0"/>
                <w:numId w:val="2"/>
              </w:num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基金管理人简况</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cs="Times New Roman" w:hint="eastAsia"/>
                <w:bCs/>
                <w:szCs w:val="21"/>
              </w:rPr>
              <w:t xml:space="preserve">    法定代表人：</w:t>
            </w:r>
            <w:r>
              <w:rPr>
                <w:rFonts w:hint="eastAsia"/>
                <w:bCs/>
                <w:sz w:val="24"/>
              </w:rPr>
              <w:t>于亚利</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第七部分</w:t>
            </w:r>
          </w:p>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基金合同当事人及权利义务</w:t>
            </w:r>
          </w:p>
        </w:tc>
        <w:tc>
          <w:tcPr>
            <w:tcW w:w="5387" w:type="dxa"/>
          </w:tcPr>
          <w:p w:rsidR="007167FD" w:rsidRPr="00EB4E7E" w:rsidRDefault="008D2CF0">
            <w:pPr>
              <w:spacing w:line="360" w:lineRule="auto"/>
              <w:ind w:firstLineChars="200" w:firstLine="420"/>
              <w:rPr>
                <w:rFonts w:asciiTheme="minorEastAsia" w:hAnsiTheme="minorEastAsia"/>
                <w:bCs/>
                <w:szCs w:val="21"/>
              </w:rPr>
            </w:pPr>
            <w:bookmarkStart w:id="3" w:name="_Toc79392581"/>
            <w:bookmarkStart w:id="4" w:name="_Toc15118238"/>
            <w:bookmarkStart w:id="5" w:name="_Toc57530240"/>
            <w:r w:rsidRPr="00EB4E7E">
              <w:rPr>
                <w:rFonts w:asciiTheme="minorEastAsia" w:hAnsiTheme="minorEastAsia" w:hint="eastAsia"/>
                <w:bCs/>
                <w:szCs w:val="21"/>
              </w:rPr>
              <w:t>二、基金托管人</w:t>
            </w:r>
            <w:bookmarkEnd w:id="3"/>
            <w:bookmarkEnd w:id="4"/>
            <w:bookmarkEnd w:id="5"/>
          </w:p>
          <w:p w:rsidR="007167FD" w:rsidRPr="00EB4E7E" w:rsidRDefault="008D2CF0">
            <w:pPr>
              <w:adjustRightInd w:val="0"/>
              <w:snapToGrid w:val="0"/>
              <w:spacing w:line="360" w:lineRule="auto"/>
              <w:ind w:firstLineChars="200" w:firstLine="420"/>
              <w:rPr>
                <w:rFonts w:asciiTheme="minorEastAsia" w:hAnsiTheme="minorEastAsia"/>
                <w:bCs/>
                <w:szCs w:val="21"/>
              </w:rPr>
            </w:pPr>
            <w:bookmarkStart w:id="6" w:name="_Toc15118239"/>
            <w:r w:rsidRPr="00EB4E7E">
              <w:rPr>
                <w:rFonts w:asciiTheme="minorEastAsia" w:hAnsiTheme="minorEastAsia" w:hint="eastAsia"/>
                <w:bCs/>
                <w:szCs w:val="21"/>
              </w:rPr>
              <w:t>（一）</w:t>
            </w:r>
            <w:r w:rsidRPr="00EB4E7E">
              <w:rPr>
                <w:rFonts w:asciiTheme="minorEastAsia" w:hAnsiTheme="minorEastAsia"/>
                <w:bCs/>
                <w:szCs w:val="21"/>
              </w:rPr>
              <w:tab/>
            </w:r>
            <w:r w:rsidRPr="00EB4E7E">
              <w:rPr>
                <w:rFonts w:asciiTheme="minorEastAsia" w:hAnsiTheme="minorEastAsia" w:hint="eastAsia"/>
                <w:bCs/>
                <w:szCs w:val="21"/>
              </w:rPr>
              <w:t>基金托管人简况</w:t>
            </w:r>
            <w:bookmarkEnd w:id="6"/>
          </w:p>
          <w:p w:rsidR="007167FD" w:rsidRPr="00EB4E7E" w:rsidRDefault="008D2CF0">
            <w:pPr>
              <w:adjustRightInd w:val="0"/>
              <w:snapToGrid w:val="0"/>
              <w:spacing w:line="360" w:lineRule="auto"/>
              <w:ind w:firstLineChars="200" w:firstLine="420"/>
              <w:rPr>
                <w:rFonts w:asciiTheme="minorEastAsia" w:hAnsiTheme="minorEastAsia"/>
                <w:bCs/>
                <w:szCs w:val="21"/>
              </w:rPr>
            </w:pPr>
            <w:bookmarkStart w:id="7" w:name="OLE_LINK52"/>
            <w:bookmarkStart w:id="8" w:name="OLE_LINK53"/>
            <w:r w:rsidRPr="00EB4E7E">
              <w:rPr>
                <w:rFonts w:asciiTheme="minorEastAsia" w:hAnsiTheme="minorEastAsia" w:hint="eastAsia"/>
                <w:bCs/>
                <w:szCs w:val="21"/>
              </w:rPr>
              <w:t>组织形式：股份有限公司</w:t>
            </w:r>
            <w:bookmarkEnd w:id="7"/>
            <w:bookmarkEnd w:id="8"/>
          </w:p>
          <w:p w:rsidR="007167FD" w:rsidRDefault="007167FD">
            <w:pPr>
              <w:numPr>
                <w:ilvl w:val="255"/>
                <w:numId w:val="0"/>
              </w:numPr>
              <w:spacing w:line="360" w:lineRule="auto"/>
              <w:rPr>
                <w:rFonts w:asciiTheme="minorEastAsia" w:hAnsiTheme="minorEastAsia" w:cs="Times New Roman"/>
                <w:bCs/>
                <w:szCs w:val="21"/>
              </w:rPr>
            </w:pPr>
          </w:p>
        </w:tc>
        <w:tc>
          <w:tcPr>
            <w:tcW w:w="5380" w:type="dxa"/>
          </w:tcPr>
          <w:p w:rsidR="007167FD" w:rsidRPr="00EB4E7E" w:rsidRDefault="008D2CF0" w:rsidP="00EB4E7E">
            <w:pPr>
              <w:spacing w:line="360" w:lineRule="auto"/>
              <w:ind w:firstLineChars="200" w:firstLine="420"/>
              <w:rPr>
                <w:rFonts w:asciiTheme="minorEastAsia" w:hAnsiTheme="minorEastAsia"/>
                <w:bCs/>
                <w:szCs w:val="21"/>
              </w:rPr>
            </w:pPr>
            <w:r w:rsidRPr="00EB4E7E">
              <w:rPr>
                <w:rFonts w:asciiTheme="minorEastAsia" w:hAnsiTheme="minorEastAsia" w:hint="eastAsia"/>
                <w:bCs/>
                <w:szCs w:val="21"/>
              </w:rPr>
              <w:t>二、基金托管人</w:t>
            </w:r>
          </w:p>
          <w:p w:rsidR="007167FD" w:rsidRPr="00EB4E7E" w:rsidRDefault="008D2CF0" w:rsidP="00EB4E7E">
            <w:pPr>
              <w:spacing w:line="360" w:lineRule="auto"/>
              <w:ind w:firstLineChars="200" w:firstLine="420"/>
              <w:rPr>
                <w:rFonts w:asciiTheme="minorEastAsia" w:hAnsiTheme="minorEastAsia"/>
                <w:bCs/>
                <w:szCs w:val="21"/>
              </w:rPr>
            </w:pPr>
            <w:r w:rsidRPr="00EB4E7E">
              <w:rPr>
                <w:rFonts w:asciiTheme="minorEastAsia" w:hAnsiTheme="minorEastAsia" w:hint="eastAsia"/>
                <w:bCs/>
                <w:szCs w:val="21"/>
              </w:rPr>
              <w:t>（一）</w:t>
            </w:r>
            <w:r w:rsidRPr="00EB4E7E">
              <w:rPr>
                <w:rFonts w:asciiTheme="minorEastAsia" w:hAnsiTheme="minorEastAsia"/>
                <w:bCs/>
                <w:szCs w:val="21"/>
              </w:rPr>
              <w:tab/>
            </w:r>
            <w:r w:rsidRPr="00EB4E7E">
              <w:rPr>
                <w:rFonts w:asciiTheme="minorEastAsia" w:hAnsiTheme="minorEastAsia" w:hint="eastAsia"/>
                <w:bCs/>
                <w:szCs w:val="21"/>
              </w:rPr>
              <w:t>基金托管人简况</w:t>
            </w:r>
          </w:p>
          <w:p w:rsidR="007167FD" w:rsidRPr="00EB4E7E" w:rsidRDefault="008D2CF0" w:rsidP="00EB4E7E">
            <w:pPr>
              <w:spacing w:line="360" w:lineRule="auto"/>
              <w:ind w:firstLineChars="200" w:firstLine="420"/>
              <w:rPr>
                <w:rFonts w:asciiTheme="minorEastAsia" w:hAnsiTheme="minorEastAsia"/>
                <w:bCs/>
                <w:szCs w:val="21"/>
              </w:rPr>
            </w:pPr>
            <w:r w:rsidRPr="00EB4E7E">
              <w:rPr>
                <w:rFonts w:asciiTheme="minorEastAsia" w:hAnsiTheme="minorEastAsia" w:hint="eastAsia"/>
                <w:bCs/>
                <w:szCs w:val="21"/>
              </w:rPr>
              <w:t>组织形式：其他股份有限公司（上市）</w:t>
            </w:r>
          </w:p>
          <w:p w:rsidR="007167FD" w:rsidRDefault="007167FD">
            <w:pPr>
              <w:spacing w:line="360" w:lineRule="auto"/>
              <w:ind w:firstLineChars="200" w:firstLine="420"/>
              <w:rPr>
                <w:rFonts w:asciiTheme="minorEastAsia" w:hAnsiTheme="minorEastAsia"/>
                <w:bCs/>
                <w:szCs w:val="21"/>
              </w:rPr>
            </w:pP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bookmarkStart w:id="9" w:name="_Toc414450420"/>
            <w:r>
              <w:rPr>
                <w:rFonts w:ascii="Times New Roman" w:eastAsia="宋体" w:hAnsi="Times New Roman" w:cs="Times New Roman"/>
                <w:b/>
                <w:szCs w:val="21"/>
              </w:rPr>
              <w:t>第十</w:t>
            </w:r>
            <w:r>
              <w:rPr>
                <w:rFonts w:ascii="Times New Roman" w:eastAsia="宋体" w:hAnsi="Times New Roman" w:cs="Times New Roman" w:hint="eastAsia"/>
                <w:b/>
                <w:szCs w:val="21"/>
              </w:rPr>
              <w:t>四</w:t>
            </w:r>
            <w:r>
              <w:rPr>
                <w:rFonts w:ascii="Times New Roman" w:eastAsia="宋体" w:hAnsi="Times New Roman" w:cs="Times New Roman"/>
                <w:b/>
                <w:szCs w:val="21"/>
              </w:rPr>
              <w:t>部</w:t>
            </w:r>
            <w:r>
              <w:rPr>
                <w:rFonts w:ascii="Times New Roman" w:eastAsia="宋体" w:hAnsi="Times New Roman" w:cs="Times New Roman"/>
                <w:b/>
                <w:szCs w:val="21"/>
              </w:rPr>
              <w:lastRenderedPageBreak/>
              <w:t>分</w:t>
            </w:r>
            <w:r>
              <w:rPr>
                <w:rFonts w:ascii="Times New Roman" w:eastAsia="宋体" w:hAnsi="Times New Roman" w:cs="Times New Roman"/>
                <w:b/>
                <w:szCs w:val="21"/>
              </w:rPr>
              <w:t xml:space="preserve">  </w:t>
            </w:r>
            <w:r>
              <w:rPr>
                <w:rFonts w:ascii="Times New Roman" w:eastAsia="宋体" w:hAnsi="Times New Roman" w:cs="Times New Roman"/>
                <w:b/>
                <w:szCs w:val="21"/>
              </w:rPr>
              <w:t>基金的投资</w:t>
            </w:r>
            <w:bookmarkEnd w:id="9"/>
          </w:p>
        </w:tc>
        <w:tc>
          <w:tcPr>
            <w:tcW w:w="5387"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一、保本周期内的投资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（二）投资范围</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bCs/>
                <w:szCs w:val="21"/>
              </w:rPr>
              <w:t>基金的投资组合比例为：</w:t>
            </w:r>
            <w:r>
              <w:rPr>
                <w:rFonts w:asciiTheme="minorEastAsia" w:hAnsiTheme="minorEastAsia" w:hint="eastAsia"/>
                <w:bCs/>
                <w:szCs w:val="21"/>
              </w:rPr>
              <w:t>债券、货币市场工具等稳健资产占基金资产的比例不低于60%，其中基金应保留不低于基金资产净值5%的现金或到期日在一年以内的政府债券；股票、权证、股指期货等风险资产占基金资产的比例不高于40%，其中，基金持有的全部权证的市值不超过基金资产净值的3%。</w:t>
            </w:r>
          </w:p>
        </w:tc>
        <w:tc>
          <w:tcPr>
            <w:tcW w:w="5380"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一、保本周期内的投资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w:t>
            </w:r>
            <w:r>
              <w:rPr>
                <w:rFonts w:asciiTheme="minorEastAsia" w:hAnsiTheme="minorEastAsia"/>
                <w:bCs/>
                <w:szCs w:val="21"/>
              </w:rPr>
              <w:t>二</w:t>
            </w:r>
            <w:r>
              <w:rPr>
                <w:rFonts w:asciiTheme="minorEastAsia" w:hAnsiTheme="minorEastAsia" w:hint="eastAsia"/>
                <w:bCs/>
                <w:szCs w:val="21"/>
              </w:rPr>
              <w:t>）</w:t>
            </w:r>
            <w:r>
              <w:rPr>
                <w:rFonts w:asciiTheme="minorEastAsia" w:hAnsiTheme="minorEastAsia"/>
                <w:bCs/>
                <w:szCs w:val="21"/>
              </w:rPr>
              <w:t>投资范围</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bCs/>
                <w:szCs w:val="21"/>
              </w:rPr>
              <w:t>基金的投资组合比例为：</w:t>
            </w:r>
            <w:r>
              <w:rPr>
                <w:rFonts w:asciiTheme="minorEastAsia" w:hAnsiTheme="minorEastAsia" w:hint="eastAsia"/>
                <w:bCs/>
                <w:szCs w:val="21"/>
              </w:rPr>
              <w:t>债券、货币市场工具等稳健资产占基金资产的比例不低于60%，其中基金应保留不低于基金资产净值5%的现金或到期日在一年以内的政府债券，</w:t>
            </w:r>
            <w:r>
              <w:rPr>
                <w:rFonts w:asciiTheme="minorEastAsia" w:hAnsiTheme="minorEastAsia"/>
                <w:bCs/>
                <w:szCs w:val="21"/>
              </w:rPr>
              <w:t>现金不包括</w:t>
            </w:r>
            <w:r>
              <w:rPr>
                <w:rFonts w:asciiTheme="minorEastAsia" w:hAnsiTheme="minorEastAsia" w:hint="eastAsia"/>
                <w:bCs/>
                <w:szCs w:val="21"/>
              </w:rPr>
              <w:t>结算备付金、存出保证金和应收申购款等；股票、权证、股指期货等风险资产占基金资产的比例不高于40%，其中，基金持有的全部权证的市值不超过基金资产净值的3%。</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szCs w:val="21"/>
              </w:rPr>
            </w:pPr>
            <w:r>
              <w:rPr>
                <w:rFonts w:ascii="Times New Roman" w:eastAsia="宋体" w:hAnsi="Times New Roman" w:cs="Times New Roman"/>
                <w:b/>
                <w:szCs w:val="21"/>
              </w:rPr>
              <w:lastRenderedPageBreak/>
              <w:t>第十</w:t>
            </w:r>
            <w:r>
              <w:rPr>
                <w:rFonts w:ascii="Times New Roman" w:eastAsia="宋体" w:hAnsi="Times New Roman" w:cs="Times New Roman" w:hint="eastAsia"/>
                <w:b/>
                <w:szCs w:val="21"/>
              </w:rPr>
              <w:t>四</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b/>
                <w:szCs w:val="21"/>
              </w:rPr>
              <w:t>基金的投资</w:t>
            </w:r>
          </w:p>
        </w:tc>
        <w:tc>
          <w:tcPr>
            <w:tcW w:w="5387"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一、保本周期内的投资</w:t>
            </w:r>
          </w:p>
          <w:p w:rsidR="007167FD" w:rsidRDefault="008D2CF0">
            <w:pPr>
              <w:spacing w:line="360" w:lineRule="auto"/>
              <w:ind w:firstLineChars="200" w:firstLine="420"/>
              <w:jc w:val="left"/>
              <w:rPr>
                <w:rFonts w:asciiTheme="minorEastAsia" w:hAnsiTheme="minorEastAsia"/>
                <w:bCs/>
                <w:szCs w:val="21"/>
              </w:rPr>
            </w:pPr>
            <w:r>
              <w:rPr>
                <w:rFonts w:asciiTheme="minorEastAsia" w:hAnsiTheme="minorEastAsia" w:hint="eastAsia"/>
                <w:bCs/>
                <w:szCs w:val="21"/>
              </w:rPr>
              <w:t>（四）投资限制</w:t>
            </w:r>
          </w:p>
          <w:p w:rsidR="007167FD" w:rsidRDefault="008D2CF0">
            <w:pPr>
              <w:spacing w:line="360" w:lineRule="auto"/>
              <w:ind w:firstLineChars="200" w:firstLine="420"/>
              <w:jc w:val="left"/>
              <w:rPr>
                <w:rFonts w:asciiTheme="minorEastAsia" w:hAnsiTheme="minorEastAsia"/>
                <w:bCs/>
                <w:szCs w:val="21"/>
              </w:rPr>
            </w:pPr>
            <w:r>
              <w:rPr>
                <w:rFonts w:asciiTheme="minorEastAsia" w:hAnsiTheme="minorEastAsia" w:hint="eastAsia"/>
                <w:bCs/>
                <w:szCs w:val="21"/>
              </w:rPr>
              <w:t>1、组合限制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2</w:t>
            </w:r>
            <w:r>
              <w:rPr>
                <w:rFonts w:asciiTheme="minorEastAsia" w:hAnsiTheme="minorEastAsia" w:hint="eastAsia"/>
                <w:bCs/>
                <w:szCs w:val="21"/>
              </w:rPr>
              <w:t>）保持不低于基金资产净值</w:t>
            </w:r>
            <w:r>
              <w:rPr>
                <w:rFonts w:asciiTheme="minorEastAsia" w:hAnsiTheme="minorEastAsia"/>
                <w:bCs/>
                <w:szCs w:val="21"/>
              </w:rPr>
              <w:t>5</w:t>
            </w:r>
            <w:r>
              <w:rPr>
                <w:rFonts w:asciiTheme="minorEastAsia" w:hAnsiTheme="minorEastAsia" w:hint="eastAsia"/>
                <w:bCs/>
                <w:szCs w:val="21"/>
              </w:rPr>
              <w:t>％的现金或者到期日在一年以内的政府债券；</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7167FD" w:rsidRDefault="007167FD">
            <w:pPr>
              <w:spacing w:line="360" w:lineRule="auto"/>
              <w:rPr>
                <w:rFonts w:asciiTheme="minorEastAsia" w:hAnsiTheme="minorEastAsia" w:cs="Times New Roman"/>
                <w:szCs w:val="21"/>
              </w:rPr>
            </w:pPr>
          </w:p>
        </w:tc>
        <w:tc>
          <w:tcPr>
            <w:tcW w:w="5380"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一、保本周期内的投资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四</w:t>
            </w:r>
            <w:r>
              <w:rPr>
                <w:rFonts w:asciiTheme="minorEastAsia" w:hAnsiTheme="minorEastAsia" w:hint="eastAsia"/>
                <w:bCs/>
                <w:szCs w:val="21"/>
              </w:rPr>
              <w:t>）</w:t>
            </w:r>
            <w:r>
              <w:rPr>
                <w:rFonts w:asciiTheme="minorEastAsia" w:hAnsiTheme="minorEastAsia"/>
                <w:bCs/>
                <w:szCs w:val="21"/>
              </w:rPr>
              <w:t>投资限制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1、组合限制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Pr>
                <w:rFonts w:asciiTheme="minorEastAsia" w:hAnsiTheme="minorEastAsia"/>
                <w:bCs/>
                <w:szCs w:val="21"/>
              </w:rPr>
              <w:t>2</w:t>
            </w:r>
            <w:r>
              <w:rPr>
                <w:rFonts w:asciiTheme="minorEastAsia" w:hAnsiTheme="minorEastAsia" w:hint="eastAsia"/>
                <w:bCs/>
                <w:szCs w:val="21"/>
              </w:rPr>
              <w:t>）保持不低于基金资产净值</w:t>
            </w:r>
            <w:r>
              <w:rPr>
                <w:rFonts w:asciiTheme="minorEastAsia" w:hAnsiTheme="minorEastAsia"/>
                <w:bCs/>
                <w:szCs w:val="21"/>
              </w:rPr>
              <w:t>5</w:t>
            </w:r>
            <w:r>
              <w:rPr>
                <w:rFonts w:asciiTheme="minorEastAsia" w:hAnsiTheme="minorEastAsia" w:hint="eastAsia"/>
                <w:bCs/>
                <w:szCs w:val="21"/>
              </w:rPr>
              <w:t>％的现金或者到期日在一年以内的政府债券，其中</w:t>
            </w:r>
            <w:r>
              <w:rPr>
                <w:rFonts w:asciiTheme="minorEastAsia" w:hAnsiTheme="minorEastAsia"/>
                <w:bCs/>
                <w:szCs w:val="21"/>
              </w:rPr>
              <w:t>现金不包括</w:t>
            </w:r>
            <w:r>
              <w:rPr>
                <w:rFonts w:asciiTheme="minorEastAsia" w:hAnsiTheme="minorEastAsia" w:hint="eastAsia"/>
                <w:bCs/>
                <w:szCs w:val="21"/>
              </w:rPr>
              <w:t>结算备付金、存出保证金和应收申购款等；</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7167FD" w:rsidRDefault="008D2CF0">
            <w:pPr>
              <w:spacing w:line="360" w:lineRule="auto"/>
              <w:ind w:firstLineChars="200" w:firstLine="420"/>
              <w:rPr>
                <w:rFonts w:asciiTheme="minorEastAsia" w:hAnsiTheme="minorEastAsia" w:cs="Times New Roman"/>
                <w:szCs w:val="21"/>
                <w:u w:val="single"/>
              </w:rPr>
            </w:pPr>
            <w:r>
              <w:rPr>
                <w:rFonts w:asciiTheme="minorEastAsia" w:hAnsiTheme="minorEastAsia" w:cs="Times New Roman" w:hint="eastAsia"/>
                <w:szCs w:val="21"/>
              </w:rPr>
              <w:t>新增内容如下：</w:t>
            </w:r>
          </w:p>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bCs/>
                <w:szCs w:val="21"/>
              </w:rPr>
              <w:t>（</w:t>
            </w:r>
            <w:r>
              <w:rPr>
                <w:rFonts w:asciiTheme="minorEastAsia" w:hAnsiTheme="minorEastAsia" w:cs="Times New Roman" w:hint="eastAsia"/>
                <w:bCs/>
                <w:szCs w:val="21"/>
              </w:rPr>
              <w:t>19</w:t>
            </w:r>
            <w:r>
              <w:rPr>
                <w:rFonts w:asciiTheme="minorEastAsia" w:hAnsiTheme="minorEastAsia" w:cs="Times New Roman"/>
                <w:bCs/>
                <w:szCs w:val="21"/>
              </w:rPr>
              <w:t>）</w:t>
            </w:r>
            <w:r>
              <w:rPr>
                <w:rFonts w:asciiTheme="minorEastAsia" w:hAnsiTheme="minorEastAsia" w:cs="Times New Roman" w:hint="eastAsia"/>
                <w:bCs/>
                <w:szCs w:val="21"/>
              </w:rPr>
              <w:t>本基金管理人管理的全部开放式基金（包括开</w:t>
            </w:r>
            <w:r>
              <w:rPr>
                <w:rFonts w:asciiTheme="minorEastAsia" w:hAnsiTheme="minorEastAsia" w:cs="Times New Roman" w:hint="eastAsia"/>
                <w:bCs/>
                <w:szCs w:val="21"/>
              </w:rPr>
              <w:lastRenderedPageBreak/>
              <w:t>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（21）本基金与私募类证券资管产品及中国证监会认定的其他主体为交易对手开展逆回购交易的，可接受质押品的资质要求应当与基金合同约定的投资范围保持一致；</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lastRenderedPageBreak/>
              <w:t>第十</w:t>
            </w:r>
            <w:r>
              <w:rPr>
                <w:rFonts w:ascii="Times New Roman" w:eastAsia="宋体" w:hAnsi="Times New Roman" w:cs="Times New Roman" w:hint="eastAsia"/>
                <w:b/>
                <w:szCs w:val="21"/>
              </w:rPr>
              <w:t>四</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b/>
                <w:szCs w:val="21"/>
              </w:rPr>
              <w:t>基金的投资</w:t>
            </w:r>
          </w:p>
        </w:tc>
        <w:tc>
          <w:tcPr>
            <w:tcW w:w="5387"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一、保本周期内的投资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（四）投资限制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1、组合限制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因证券、期货市场波动、证券发行人合并、基金规模</w:t>
            </w:r>
            <w:r>
              <w:rPr>
                <w:rFonts w:asciiTheme="minorEastAsia" w:hAnsiTheme="minorEastAsia" w:hint="eastAsia"/>
                <w:bCs/>
                <w:szCs w:val="21"/>
              </w:rPr>
              <w:lastRenderedPageBreak/>
              <w:t>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5380"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一、保本周期内的投资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（四）投资限制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1、组合限制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除上述第（2）、（12）、（20）、（21）项以外，</w:t>
            </w:r>
            <w:r>
              <w:rPr>
                <w:rFonts w:asciiTheme="minorEastAsia" w:hAnsiTheme="minorEastAsia"/>
                <w:bCs/>
                <w:szCs w:val="21"/>
              </w:rPr>
              <w:t>因证券</w:t>
            </w:r>
            <w:r>
              <w:rPr>
                <w:rFonts w:asciiTheme="minorEastAsia" w:hAnsiTheme="minorEastAsia" w:hint="eastAsia"/>
                <w:bCs/>
                <w:szCs w:val="21"/>
              </w:rPr>
              <w:t>、</w:t>
            </w:r>
            <w:r>
              <w:rPr>
                <w:rFonts w:asciiTheme="minorEastAsia" w:hAnsiTheme="minorEastAsia" w:hint="eastAsia"/>
                <w:bCs/>
                <w:szCs w:val="21"/>
              </w:rPr>
              <w:lastRenderedPageBreak/>
              <w:t>期货</w:t>
            </w:r>
            <w:r>
              <w:rPr>
                <w:rFonts w:asciiTheme="minorEastAsia" w:hAnsiTheme="minorEastAsia"/>
                <w:bCs/>
                <w:szCs w:val="21"/>
              </w:rPr>
              <w:t>市场波动、</w:t>
            </w:r>
            <w:r>
              <w:rPr>
                <w:rFonts w:asciiTheme="minorEastAsia" w:hAnsiTheme="minorEastAsia" w:hint="eastAsia"/>
                <w:bCs/>
                <w:szCs w:val="21"/>
              </w:rPr>
              <w:t>证券发行人</w:t>
            </w:r>
            <w:r>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Pr>
                <w:rFonts w:asciiTheme="minorEastAsia" w:hAnsiTheme="minorEastAsia" w:hint="eastAsia"/>
                <w:bCs/>
                <w:szCs w:val="21"/>
              </w:rPr>
              <w:t>，但中国证监会规定的特殊情形除外</w:t>
            </w:r>
            <w:r>
              <w:rPr>
                <w:rFonts w:asciiTheme="minorEastAsia" w:hAnsiTheme="minorEastAsia"/>
                <w:bCs/>
                <w:szCs w:val="21"/>
              </w:rPr>
              <w:t>。</w:t>
            </w:r>
            <w:r>
              <w:rPr>
                <w:rFonts w:asciiTheme="minorEastAsia" w:hAnsiTheme="minorEastAsia" w:hint="eastAsia"/>
                <w:bCs/>
                <w:szCs w:val="21"/>
              </w:rPr>
              <w:t>法律法规另有规定的，从其规定。</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lastRenderedPageBreak/>
              <w:t>第十四部分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基金的投资</w:t>
            </w:r>
          </w:p>
        </w:tc>
        <w:tc>
          <w:tcPr>
            <w:tcW w:w="5387"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bCs/>
                <w:szCs w:val="21"/>
              </w:rPr>
              <w:t>二、变更后的</w:t>
            </w:r>
            <w:r>
              <w:rPr>
                <w:rFonts w:asciiTheme="minorEastAsia" w:hAnsiTheme="minorEastAsia" w:hint="eastAsia"/>
                <w:bCs/>
                <w:szCs w:val="21"/>
              </w:rPr>
              <w:t>“</w:t>
            </w:r>
            <w:r>
              <w:rPr>
                <w:rFonts w:asciiTheme="minorEastAsia" w:hAnsiTheme="minorEastAsia"/>
                <w:bCs/>
                <w:szCs w:val="21"/>
              </w:rPr>
              <w:t>交银施罗德</w:t>
            </w:r>
            <w:r>
              <w:rPr>
                <w:rFonts w:asciiTheme="minorEastAsia" w:hAnsiTheme="minorEastAsia" w:hint="eastAsia"/>
                <w:bCs/>
                <w:szCs w:val="21"/>
              </w:rPr>
              <w:t>安心收益</w:t>
            </w:r>
            <w:r>
              <w:rPr>
                <w:rFonts w:asciiTheme="minorEastAsia" w:hAnsiTheme="minorEastAsia"/>
                <w:bCs/>
                <w:szCs w:val="21"/>
              </w:rPr>
              <w:t>债券型证券投资基金</w:t>
            </w:r>
            <w:r>
              <w:rPr>
                <w:rFonts w:asciiTheme="minorEastAsia" w:hAnsiTheme="minorEastAsia" w:hint="eastAsia"/>
                <w:bCs/>
                <w:szCs w:val="21"/>
              </w:rPr>
              <w:t>”</w:t>
            </w:r>
            <w:r>
              <w:rPr>
                <w:rFonts w:asciiTheme="minorEastAsia" w:hAnsiTheme="minorEastAsia"/>
                <w:bCs/>
                <w:szCs w:val="21"/>
              </w:rPr>
              <w:t>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bCs/>
                <w:szCs w:val="21"/>
              </w:rPr>
              <w:t>（二）投资范围</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基金的投资组合比例为：该基金投资于债券的比例不低于基金资产的80%；对股票、权证等权益类资产的投资比例不高于基金资产净值的20%；现金或到期日在一年以内的政府债券的投资比例合计不低于基金资产净值的5%</w:t>
            </w:r>
            <w:r>
              <w:rPr>
                <w:rFonts w:asciiTheme="minorEastAsia" w:hAnsiTheme="minorEastAsia"/>
                <w:bCs/>
                <w:szCs w:val="21"/>
              </w:rPr>
              <w:t>。</w:t>
            </w:r>
          </w:p>
          <w:p w:rsidR="007167FD" w:rsidRDefault="007167FD">
            <w:pPr>
              <w:spacing w:line="360" w:lineRule="auto"/>
              <w:ind w:firstLineChars="200" w:firstLine="420"/>
              <w:rPr>
                <w:rFonts w:asciiTheme="minorEastAsia" w:hAnsiTheme="minorEastAsia"/>
                <w:bCs/>
                <w:szCs w:val="21"/>
              </w:rPr>
            </w:pPr>
          </w:p>
        </w:tc>
        <w:tc>
          <w:tcPr>
            <w:tcW w:w="5380"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bCs/>
                <w:szCs w:val="21"/>
              </w:rPr>
              <w:t>二、变更后的</w:t>
            </w:r>
            <w:r>
              <w:rPr>
                <w:rFonts w:asciiTheme="minorEastAsia" w:hAnsiTheme="minorEastAsia" w:hint="eastAsia"/>
                <w:bCs/>
                <w:szCs w:val="21"/>
              </w:rPr>
              <w:t>“</w:t>
            </w:r>
            <w:r>
              <w:rPr>
                <w:rFonts w:asciiTheme="minorEastAsia" w:hAnsiTheme="minorEastAsia"/>
                <w:bCs/>
                <w:szCs w:val="21"/>
              </w:rPr>
              <w:t>交银施罗德</w:t>
            </w:r>
            <w:r>
              <w:rPr>
                <w:rFonts w:asciiTheme="minorEastAsia" w:hAnsiTheme="minorEastAsia" w:hint="eastAsia"/>
                <w:bCs/>
                <w:szCs w:val="21"/>
              </w:rPr>
              <w:t>安心收益</w:t>
            </w:r>
            <w:r>
              <w:rPr>
                <w:rFonts w:asciiTheme="minorEastAsia" w:hAnsiTheme="minorEastAsia"/>
                <w:bCs/>
                <w:szCs w:val="21"/>
              </w:rPr>
              <w:t>债券型证券投资基金</w:t>
            </w:r>
            <w:r>
              <w:rPr>
                <w:rFonts w:asciiTheme="minorEastAsia" w:hAnsiTheme="minorEastAsia" w:hint="eastAsia"/>
                <w:bCs/>
                <w:szCs w:val="21"/>
              </w:rPr>
              <w:t>”</w:t>
            </w:r>
            <w:r>
              <w:rPr>
                <w:rFonts w:asciiTheme="minorEastAsia" w:hAnsiTheme="minorEastAsia"/>
                <w:bCs/>
                <w:szCs w:val="21"/>
              </w:rPr>
              <w:t>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bCs/>
                <w:szCs w:val="21"/>
              </w:rPr>
              <w:t>（二）投资范围</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基金的投资组合比例为：该基金投资于债券的比例不低于基金资产的80%；对股票、权证等权益类资产的投资比例不高于基金资产净值的20%；现金或到期日在一年以内的政府债券的投资比例合计不低于基金资产净值的5%，其中现金不包括结算备付金、存出保证金和应收申购款等</w:t>
            </w:r>
            <w:r>
              <w:rPr>
                <w:rFonts w:asciiTheme="minorEastAsia" w:hAnsiTheme="minorEastAsia"/>
                <w:bCs/>
                <w:szCs w:val="21"/>
              </w:rPr>
              <w:t>。</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第十四部分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基金的投资</w:t>
            </w:r>
          </w:p>
        </w:tc>
        <w:tc>
          <w:tcPr>
            <w:tcW w:w="5387"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二、变更后的“交银施罗德安心收益债券型证券投资基金”的投资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（四）投资限制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1、组合限制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（2）保持不低于基金资产净值5％的现金或者到期日在一年以内的政府债券；</w:t>
            </w:r>
          </w:p>
          <w:p w:rsidR="007167FD" w:rsidRDefault="007167FD">
            <w:pPr>
              <w:spacing w:line="360" w:lineRule="auto"/>
              <w:ind w:firstLineChars="200" w:firstLine="420"/>
              <w:rPr>
                <w:rFonts w:asciiTheme="minorEastAsia" w:hAnsiTheme="minorEastAsia"/>
                <w:bCs/>
                <w:szCs w:val="21"/>
              </w:rPr>
            </w:pPr>
          </w:p>
        </w:tc>
        <w:tc>
          <w:tcPr>
            <w:tcW w:w="5380"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二、变更后的“交银施罗德安心收益债券型证券投资基金”的投资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（四）投资限制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1、组合限制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（2）保持不低于基金资产净值5％的现金或者到期日在一年以内的政府债券，其中现金不包括结算备付金、存出保证金和应收申购款等；</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（19）本基金与私募类证券资管产品及中国证监会认定的其他主体为交易对手开展逆回购交易的，可接受质押品的资质要求应当与基金合同约定的投资范围保持一致；</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lastRenderedPageBreak/>
              <w:t>第十四部分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基金的投资</w:t>
            </w:r>
          </w:p>
        </w:tc>
        <w:tc>
          <w:tcPr>
            <w:tcW w:w="5387"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二、变更后的“交银施罗德安心收益债券型证券投资基金”的投资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（四）投资限制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1、组合限制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5380" w:type="dxa"/>
          </w:tcPr>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二、变更后的“交银施罗德安心收益债券型证券投资基金”的投资</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（四）投资限制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1、组合限制</w:t>
            </w:r>
          </w:p>
          <w:p w:rsidR="007167FD" w:rsidRDefault="008D2CF0">
            <w:pPr>
              <w:spacing w:line="360" w:lineRule="auto"/>
              <w:ind w:firstLineChars="200" w:firstLine="420"/>
              <w:rPr>
                <w:rFonts w:asciiTheme="minorEastAsia" w:hAnsiTheme="minorEastAsia"/>
                <w:bCs/>
                <w:szCs w:val="21"/>
              </w:rPr>
            </w:pPr>
            <w:r>
              <w:rPr>
                <w:rFonts w:asciiTheme="minorEastAsia" w:hAnsiTheme="minorEastAsia" w:hint="eastAsia"/>
                <w:bCs/>
                <w:szCs w:val="21"/>
              </w:rPr>
              <w:t>除上述第（2）、（12）、（18）、（19）项以外，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r>
      <w:tr w:rsidR="007167FD">
        <w:trPr>
          <w:jc w:val="center"/>
        </w:trPr>
        <w:tc>
          <w:tcPr>
            <w:tcW w:w="1063" w:type="dxa"/>
          </w:tcPr>
          <w:p w:rsidR="007167FD" w:rsidRDefault="008D2CF0">
            <w:pPr>
              <w:spacing w:line="360" w:lineRule="auto"/>
              <w:jc w:val="center"/>
              <w:rPr>
                <w:rFonts w:ascii="Times New Roman" w:eastAsia="宋体" w:hAnsi="Times New Roman" w:cs="Times New Roman"/>
                <w:b/>
                <w:szCs w:val="21"/>
              </w:rPr>
            </w:pPr>
            <w:bookmarkStart w:id="10" w:name="_Toc17782"/>
            <w:bookmarkStart w:id="11" w:name="_Toc7802"/>
            <w:bookmarkStart w:id="12" w:name="_Toc27832"/>
            <w:bookmarkStart w:id="13" w:name="_Toc19714"/>
            <w:bookmarkStart w:id="14" w:name="_Toc31917"/>
            <w:bookmarkStart w:id="15" w:name="_Toc871"/>
            <w:bookmarkStart w:id="16" w:name="_Toc466827099"/>
            <w:r>
              <w:rPr>
                <w:rFonts w:ascii="Times New Roman" w:eastAsia="宋体" w:hAnsi="Times New Roman" w:cs="Times New Roman"/>
                <w:b/>
                <w:szCs w:val="21"/>
              </w:rPr>
              <w:t>第十</w:t>
            </w:r>
            <w:r>
              <w:rPr>
                <w:rFonts w:ascii="Times New Roman" w:eastAsia="宋体" w:hAnsi="Times New Roman" w:cs="Times New Roman" w:hint="eastAsia"/>
                <w:b/>
                <w:szCs w:val="21"/>
              </w:rPr>
              <w:t>六</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b/>
                <w:szCs w:val="21"/>
              </w:rPr>
              <w:t>基金资产估值</w:t>
            </w:r>
            <w:bookmarkEnd w:id="10"/>
            <w:bookmarkEnd w:id="11"/>
            <w:bookmarkEnd w:id="12"/>
            <w:bookmarkEnd w:id="13"/>
            <w:bookmarkEnd w:id="14"/>
            <w:bookmarkEnd w:id="15"/>
            <w:bookmarkEnd w:id="16"/>
          </w:p>
          <w:p w:rsidR="007167FD" w:rsidRDefault="007167FD">
            <w:pPr>
              <w:spacing w:line="360" w:lineRule="auto"/>
              <w:jc w:val="center"/>
              <w:rPr>
                <w:rFonts w:ascii="Times New Roman" w:eastAsia="宋体" w:hAnsi="Times New Roman" w:cs="Times New Roman"/>
                <w:szCs w:val="21"/>
              </w:rPr>
            </w:pPr>
          </w:p>
        </w:tc>
        <w:tc>
          <w:tcPr>
            <w:tcW w:w="5387" w:type="dxa"/>
          </w:tcPr>
          <w:p w:rsidR="007167FD" w:rsidRDefault="008D2CF0">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六、暂停估值的情形</w:t>
            </w:r>
          </w:p>
        </w:tc>
        <w:tc>
          <w:tcPr>
            <w:tcW w:w="5380" w:type="dxa"/>
          </w:tcPr>
          <w:p w:rsidR="007167FD" w:rsidRDefault="008D2CF0">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六、暂停估值的情形</w:t>
            </w:r>
          </w:p>
          <w:p w:rsidR="007167FD" w:rsidRDefault="008D2CF0">
            <w:pPr>
              <w:spacing w:line="360" w:lineRule="auto"/>
              <w:ind w:firstLine="420"/>
              <w:rPr>
                <w:rFonts w:asciiTheme="minorEastAsia" w:hAnsiTheme="minorEastAsia" w:cs="Times New Roman"/>
                <w:bCs/>
                <w:szCs w:val="21"/>
                <w:u w:val="single"/>
              </w:rPr>
            </w:pPr>
            <w:r>
              <w:rPr>
                <w:rFonts w:asciiTheme="minorEastAsia" w:hAnsiTheme="minorEastAsia" w:cs="Times New Roman" w:hint="eastAsia"/>
                <w:bCs/>
                <w:szCs w:val="21"/>
              </w:rPr>
              <w:t>新增内容如下：</w:t>
            </w:r>
          </w:p>
          <w:p w:rsidR="007167FD" w:rsidRDefault="008D2CF0">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4、当前一估值日基金资产净值50%以上的资产出现无可参考的活跃市场价格且采用估值技术仍导致公允价</w:t>
            </w:r>
            <w:r>
              <w:rPr>
                <w:rFonts w:asciiTheme="minorEastAsia" w:hAnsiTheme="minorEastAsia" w:cs="Times New Roman" w:hint="eastAsia"/>
                <w:bCs/>
                <w:szCs w:val="21"/>
              </w:rPr>
              <w:lastRenderedPageBreak/>
              <w:t>值存在重大不确定性时，经与基金托管人协商确认后，基金管理人应当暂停估值；</w:t>
            </w:r>
          </w:p>
        </w:tc>
      </w:tr>
      <w:tr w:rsidR="007167FD">
        <w:trPr>
          <w:jc w:val="center"/>
        </w:trPr>
        <w:tc>
          <w:tcPr>
            <w:tcW w:w="1063" w:type="dxa"/>
          </w:tcPr>
          <w:p w:rsidR="007167FD" w:rsidRDefault="008D2CF0">
            <w:pPr>
              <w:jc w:val="center"/>
              <w:rPr>
                <w:b/>
              </w:rPr>
            </w:pPr>
            <w:r>
              <w:rPr>
                <w:rFonts w:hint="eastAsia"/>
                <w:b/>
              </w:rPr>
              <w:lastRenderedPageBreak/>
              <w:t>第二十部分</w:t>
            </w:r>
            <w:r>
              <w:rPr>
                <w:rFonts w:hint="eastAsia"/>
                <w:b/>
              </w:rPr>
              <w:t xml:space="preserve">  </w:t>
            </w:r>
            <w:r>
              <w:rPr>
                <w:rFonts w:hint="eastAsia"/>
                <w:b/>
              </w:rPr>
              <w:t>基金的信息披露</w:t>
            </w:r>
          </w:p>
        </w:tc>
        <w:tc>
          <w:tcPr>
            <w:tcW w:w="5387"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一、本基金的信息披露应符合《基金法》、《运作办法》、《信息披露办法》、《基金合同》及其他有关规定。</w:t>
            </w:r>
          </w:p>
        </w:tc>
        <w:tc>
          <w:tcPr>
            <w:tcW w:w="5380"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一、本基金的信息披露应符合《基金法》、《运作办法》、《信息披露办法》、</w:t>
            </w:r>
            <w:r>
              <w:rPr>
                <w:rFonts w:ascii="Times New Roman" w:eastAsia="宋体" w:hAnsi="Times New Roman" w:cs="Times New Roman" w:hint="eastAsia"/>
                <w:bCs/>
                <w:szCs w:val="21"/>
              </w:rPr>
              <w:t>《流动性规定》、</w:t>
            </w:r>
            <w:r>
              <w:rPr>
                <w:rFonts w:ascii="Times New Roman" w:eastAsia="宋体" w:hAnsi="Times New Roman" w:cs="Times New Roman"/>
                <w:bCs/>
                <w:szCs w:val="21"/>
              </w:rPr>
              <w:t>《基金合同》及其他有关规定。</w:t>
            </w:r>
          </w:p>
        </w:tc>
      </w:tr>
      <w:tr w:rsidR="007167FD">
        <w:trPr>
          <w:jc w:val="center"/>
        </w:trPr>
        <w:tc>
          <w:tcPr>
            <w:tcW w:w="1063" w:type="dxa"/>
          </w:tcPr>
          <w:p w:rsidR="007167FD" w:rsidRDefault="008D2CF0">
            <w:pPr>
              <w:jc w:val="center"/>
            </w:pPr>
            <w:bookmarkStart w:id="17" w:name="_Toc93226151"/>
            <w:bookmarkStart w:id="18" w:name="_Toc92662709"/>
            <w:bookmarkStart w:id="19" w:name="_Toc3056"/>
            <w:bookmarkStart w:id="20" w:name="_Toc193"/>
            <w:bookmarkStart w:id="21" w:name="_Toc141703898"/>
            <w:bookmarkStart w:id="22" w:name="_Toc139991748"/>
            <w:bookmarkStart w:id="23" w:name="_Toc128310501"/>
            <w:bookmarkStart w:id="24" w:name="_Toc1421"/>
            <w:bookmarkStart w:id="25" w:name="_Toc8512"/>
            <w:bookmarkStart w:id="26" w:name="_Toc11049"/>
            <w:bookmarkStart w:id="27" w:name="_Toc1173"/>
            <w:bookmarkStart w:id="28" w:name="_Toc12028"/>
            <w:bookmarkStart w:id="29" w:name="_Toc31866"/>
            <w:bookmarkStart w:id="30" w:name="_Toc29289"/>
            <w:bookmarkStart w:id="31" w:name="_Toc11802"/>
            <w:bookmarkStart w:id="32" w:name="_Toc466827103"/>
            <w:r>
              <w:rPr>
                <w:rFonts w:hint="eastAsia"/>
                <w:b/>
              </w:rPr>
              <w:t>第二十部分</w:t>
            </w:r>
            <w:r>
              <w:rPr>
                <w:b/>
              </w:rPr>
              <w:t xml:space="preserve">  </w:t>
            </w:r>
            <w:r>
              <w:rPr>
                <w:rFonts w:hint="eastAsia"/>
                <w:b/>
              </w:rPr>
              <w:t>基金</w:t>
            </w:r>
            <w:bookmarkEnd w:id="17"/>
            <w:bookmarkEnd w:id="18"/>
            <w:r>
              <w:rPr>
                <w:rFonts w:hint="eastAsia"/>
                <w:b/>
              </w:rPr>
              <w:t>的信息披露</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167FD" w:rsidRDefault="007167FD">
            <w:pPr>
              <w:spacing w:line="360" w:lineRule="auto"/>
              <w:jc w:val="center"/>
              <w:rPr>
                <w:rFonts w:ascii="Times New Roman" w:eastAsia="宋体" w:hAnsi="Times New Roman" w:cs="Times New Roman"/>
                <w:bCs/>
                <w:szCs w:val="21"/>
              </w:rPr>
            </w:pPr>
          </w:p>
        </w:tc>
        <w:tc>
          <w:tcPr>
            <w:tcW w:w="5387"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五、公开披露的基金信息</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（六）基金定期报告，包括基金年度报告、基金半年度报告和基金季度报告</w:t>
            </w:r>
          </w:p>
          <w:p w:rsidR="007167FD" w:rsidRDefault="007167FD">
            <w:pPr>
              <w:spacing w:line="360" w:lineRule="auto"/>
              <w:ind w:firstLineChars="200" w:firstLine="420"/>
              <w:rPr>
                <w:rFonts w:ascii="Times New Roman" w:eastAsia="宋体" w:hAnsi="Times New Roman" w:cs="Times New Roman"/>
                <w:bCs/>
                <w:strike/>
                <w:szCs w:val="21"/>
              </w:rPr>
            </w:pPr>
          </w:p>
        </w:tc>
        <w:tc>
          <w:tcPr>
            <w:tcW w:w="5380"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五、公开披露的基金信息</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（六）基金定期报告，包括基金年度报告、基金半年度报告和基金季度报告</w:t>
            </w:r>
          </w:p>
          <w:p w:rsidR="007167FD" w:rsidRDefault="008D2CF0">
            <w:pPr>
              <w:spacing w:line="360" w:lineRule="auto"/>
              <w:ind w:firstLineChars="200" w:firstLine="420"/>
              <w:rPr>
                <w:rFonts w:ascii="Times New Roman" w:eastAsia="宋体" w:hAnsi="Times New Roman" w:cs="Times New Roman"/>
                <w:bCs/>
                <w:color w:val="FF0000"/>
                <w:szCs w:val="21"/>
                <w:u w:val="single"/>
              </w:rPr>
            </w:pPr>
            <w:r>
              <w:rPr>
                <w:rFonts w:ascii="Times New Roman" w:eastAsia="宋体" w:hAnsi="Times New Roman" w:cs="Times New Roman"/>
                <w:bCs/>
                <w:szCs w:val="21"/>
              </w:rPr>
              <w:t>新增内容如下：</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如报告期内出现单一投资者持有基金份额达到或超过基金总份额</w:t>
            </w:r>
            <w:r>
              <w:rPr>
                <w:rFonts w:ascii="Times New Roman" w:eastAsia="宋体" w:hAnsi="Times New Roman" w:cs="Times New Roman" w:hint="eastAsia"/>
                <w:bCs/>
                <w:szCs w:val="21"/>
              </w:rPr>
              <w:t>20%</w:t>
            </w:r>
            <w:r>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167FD">
        <w:trPr>
          <w:jc w:val="center"/>
        </w:trPr>
        <w:tc>
          <w:tcPr>
            <w:tcW w:w="1063" w:type="dxa"/>
          </w:tcPr>
          <w:p w:rsidR="007167FD" w:rsidRDefault="008D2CF0">
            <w:pPr>
              <w:jc w:val="center"/>
            </w:pPr>
            <w:r>
              <w:rPr>
                <w:rFonts w:hint="eastAsia"/>
                <w:b/>
              </w:rPr>
              <w:lastRenderedPageBreak/>
              <w:t>第二十部分</w:t>
            </w:r>
            <w:r>
              <w:rPr>
                <w:b/>
              </w:rPr>
              <w:t xml:space="preserve">  </w:t>
            </w:r>
            <w:r>
              <w:rPr>
                <w:rFonts w:hint="eastAsia"/>
                <w:b/>
              </w:rPr>
              <w:t>基金的信息披露</w:t>
            </w:r>
          </w:p>
          <w:p w:rsidR="007167FD" w:rsidRDefault="007167FD">
            <w:pPr>
              <w:spacing w:line="360" w:lineRule="auto"/>
              <w:jc w:val="center"/>
              <w:rPr>
                <w:rFonts w:ascii="Times New Roman" w:hAnsi="Times New Roman" w:cs="Times New Roman"/>
                <w:szCs w:val="21"/>
              </w:rPr>
            </w:pPr>
          </w:p>
        </w:tc>
        <w:tc>
          <w:tcPr>
            <w:tcW w:w="5387" w:type="dxa"/>
          </w:tcPr>
          <w:p w:rsidR="007167FD" w:rsidRDefault="008D2CF0">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五、公开披露的基金信息</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（七）临时报告</w:t>
            </w:r>
          </w:p>
        </w:tc>
        <w:tc>
          <w:tcPr>
            <w:tcW w:w="5380" w:type="dxa"/>
          </w:tcPr>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五、公开披露的基金信息</w:t>
            </w:r>
          </w:p>
          <w:p w:rsidR="007167FD" w:rsidRDefault="008D2CF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（七）临时报告</w:t>
            </w:r>
          </w:p>
          <w:p w:rsidR="007167FD" w:rsidRDefault="008D2CF0">
            <w:pPr>
              <w:spacing w:line="360" w:lineRule="auto"/>
              <w:ind w:firstLineChars="200" w:firstLine="420"/>
              <w:rPr>
                <w:rFonts w:ascii="Times New Roman" w:eastAsia="宋体" w:hAnsi="Times New Roman" w:cs="Times New Roman"/>
                <w:bCs/>
                <w:color w:val="FF0000"/>
                <w:szCs w:val="21"/>
                <w:u w:val="single"/>
              </w:rPr>
            </w:pPr>
            <w:r>
              <w:rPr>
                <w:rFonts w:ascii="Times New Roman" w:eastAsia="宋体" w:hAnsi="Times New Roman" w:cs="Times New Roman"/>
                <w:bCs/>
                <w:szCs w:val="21"/>
              </w:rPr>
              <w:t>新增内容如下：</w:t>
            </w:r>
          </w:p>
          <w:p w:rsidR="007167FD" w:rsidRDefault="008D2CF0">
            <w:pPr>
              <w:spacing w:line="360" w:lineRule="auto"/>
              <w:ind w:firstLineChars="200" w:firstLine="420"/>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hint="eastAsia"/>
                <w:bCs/>
                <w:szCs w:val="21"/>
              </w:rPr>
              <w:t>8</w:t>
            </w:r>
            <w:r>
              <w:rPr>
                <w:rFonts w:ascii="Times New Roman" w:hAnsi="Times New Roman" w:cs="Times New Roman"/>
                <w:bCs/>
                <w:szCs w:val="21"/>
              </w:rPr>
              <w:t>、</w:t>
            </w:r>
            <w:r>
              <w:rPr>
                <w:rFonts w:ascii="Times New Roman" w:hAnsi="Times New Roman" w:cs="Times New Roman" w:hint="eastAsia"/>
                <w:bCs/>
                <w:szCs w:val="21"/>
              </w:rPr>
              <w:t>发生涉及基金申购、赎回事项调整或潜在影响投资者赎回等重大事项时；</w:t>
            </w:r>
          </w:p>
        </w:tc>
      </w:tr>
      <w:tr w:rsidR="007167FD">
        <w:trPr>
          <w:jc w:val="center"/>
        </w:trPr>
        <w:tc>
          <w:tcPr>
            <w:tcW w:w="1063" w:type="dxa"/>
          </w:tcPr>
          <w:p w:rsidR="007167FD" w:rsidRDefault="008D2CF0">
            <w:r>
              <w:rPr>
                <w:rFonts w:hint="eastAsia"/>
                <w:b/>
              </w:rPr>
              <w:t>第二十七部分</w:t>
            </w:r>
            <w:r>
              <w:rPr>
                <w:rFonts w:hint="eastAsia"/>
                <w:b/>
              </w:rPr>
              <w:t xml:space="preserve"> </w:t>
            </w:r>
            <w:r>
              <w:rPr>
                <w:b/>
              </w:rPr>
              <w:t xml:space="preserve"> </w:t>
            </w:r>
            <w:r>
              <w:rPr>
                <w:rFonts w:hint="eastAsia"/>
                <w:b/>
              </w:rPr>
              <w:t>基金合同内容摘要</w:t>
            </w:r>
          </w:p>
        </w:tc>
        <w:tc>
          <w:tcPr>
            <w:tcW w:w="10767" w:type="dxa"/>
            <w:gridSpan w:val="2"/>
          </w:tcPr>
          <w:p w:rsidR="007167FD" w:rsidRDefault="008D2CF0">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7167FD" w:rsidRDefault="007167FD">
      <w:pPr>
        <w:widowControl/>
        <w:jc w:val="left"/>
        <w:rPr>
          <w:rFonts w:ascii="Times New Roman" w:eastAsia="宋体" w:hAnsi="Times New Roman" w:cs="Times New Roman"/>
          <w:b/>
          <w:sz w:val="24"/>
          <w:szCs w:val="23"/>
        </w:rPr>
      </w:pPr>
    </w:p>
    <w:p w:rsidR="007167FD" w:rsidRDefault="007167FD">
      <w:pPr>
        <w:tabs>
          <w:tab w:val="left" w:pos="1843"/>
        </w:tabs>
        <w:spacing w:beforeLines="50" w:before="156" w:afterLines="50" w:after="156" w:line="305" w:lineRule="auto"/>
        <w:jc w:val="left"/>
        <w:rPr>
          <w:rFonts w:ascii="Times New Roman" w:eastAsia="宋体" w:hAnsi="Times New Roman" w:cs="Times New Roman"/>
          <w:b/>
          <w:sz w:val="24"/>
          <w:szCs w:val="23"/>
        </w:rPr>
      </w:pPr>
    </w:p>
    <w:p w:rsidR="007167FD" w:rsidRDefault="007167FD">
      <w:pPr>
        <w:tabs>
          <w:tab w:val="left" w:pos="1843"/>
        </w:tabs>
        <w:spacing w:line="305" w:lineRule="auto"/>
        <w:rPr>
          <w:sz w:val="23"/>
          <w:szCs w:val="23"/>
        </w:rPr>
      </w:pPr>
    </w:p>
    <w:sectPr w:rsidR="007167FD">
      <w:footerReference w:type="default" r:id="rId1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8E8" w:rsidRDefault="003938E8">
      <w:r>
        <w:separator/>
      </w:r>
    </w:p>
  </w:endnote>
  <w:endnote w:type="continuationSeparator" w:id="0">
    <w:p w:rsidR="003938E8" w:rsidRDefault="0039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EB4E7E" w:rsidRPr="006468E7" w:rsidRDefault="00EB4E7E">
        <w:pPr>
          <w:pStyle w:val="a6"/>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BA4FED" w:rsidRPr="00BA4FED">
          <w:rPr>
            <w:rFonts w:ascii="Times New Roman" w:hAnsi="Times New Roman" w:cs="Times New Roman"/>
            <w:noProof/>
            <w:lang w:val="zh-CN"/>
          </w:rPr>
          <w:t>1</w:t>
        </w:r>
        <w:r w:rsidRPr="006468E7">
          <w:rPr>
            <w:rFonts w:ascii="Times New Roman" w:hAnsi="Times New Roman" w:cs="Times New Roman"/>
          </w:rPr>
          <w:fldChar w:fldCharType="end"/>
        </w:r>
      </w:p>
    </w:sdtContent>
  </w:sdt>
  <w:p w:rsidR="00EB4E7E" w:rsidRDefault="00EB4E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sdtPr>
    <w:sdtEndPr>
      <w:rPr>
        <w:rFonts w:ascii="Times New Roman" w:hAnsi="Times New Roman" w:cs="Times New Roman"/>
      </w:rPr>
    </w:sdtEndPr>
    <w:sdtContent>
      <w:p w:rsidR="007167FD" w:rsidRDefault="008D2CF0">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A4FED" w:rsidRPr="00BA4FED">
          <w:rPr>
            <w:rFonts w:ascii="Times New Roman" w:hAnsi="Times New Roman" w:cs="Times New Roman"/>
            <w:noProof/>
            <w:lang w:val="zh-CN"/>
          </w:rPr>
          <w:t>4</w:t>
        </w:r>
        <w:r>
          <w:rPr>
            <w:rFonts w:ascii="Times New Roman" w:hAnsi="Times New Roman" w:cs="Times New Roman"/>
          </w:rPr>
          <w:fldChar w:fldCharType="end"/>
        </w:r>
      </w:p>
    </w:sdtContent>
  </w:sdt>
  <w:p w:rsidR="007167FD" w:rsidRDefault="007167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8E8" w:rsidRDefault="003938E8">
      <w:r>
        <w:separator/>
      </w:r>
    </w:p>
  </w:footnote>
  <w:footnote w:type="continuationSeparator" w:id="0">
    <w:p w:rsidR="003938E8" w:rsidRDefault="00393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D2BB8"/>
    <w:multiLevelType w:val="singleLevel"/>
    <w:tmpl w:val="5A9D2BB8"/>
    <w:lvl w:ilvl="0">
      <w:start w:val="1"/>
      <w:numFmt w:val="chineseCounting"/>
      <w:suff w:val="nothing"/>
      <w:lvlText w:val="%1、"/>
      <w:lvlJc w:val="left"/>
    </w:lvl>
  </w:abstractNum>
  <w:abstractNum w:abstractNumId="1" w15:restartNumberingAfterBreak="0">
    <w:nsid w:val="5A9D2BD7"/>
    <w:multiLevelType w:val="singleLevel"/>
    <w:tmpl w:val="5A9D2BD7"/>
    <w:lvl w:ilvl="0">
      <w:start w:val="1"/>
      <w:numFmt w:val="chineseCount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55299"/>
    <w:rsid w:val="000577EB"/>
    <w:rsid w:val="00077802"/>
    <w:rsid w:val="00077C65"/>
    <w:rsid w:val="00083EE8"/>
    <w:rsid w:val="000940B4"/>
    <w:rsid w:val="00097FFE"/>
    <w:rsid w:val="000A6E6B"/>
    <w:rsid w:val="000B03C3"/>
    <w:rsid w:val="000B5107"/>
    <w:rsid w:val="000C1A68"/>
    <w:rsid w:val="000D4406"/>
    <w:rsid w:val="000D4E50"/>
    <w:rsid w:val="000F3056"/>
    <w:rsid w:val="00100921"/>
    <w:rsid w:val="00102E95"/>
    <w:rsid w:val="00106B4C"/>
    <w:rsid w:val="001230E4"/>
    <w:rsid w:val="00126885"/>
    <w:rsid w:val="00144100"/>
    <w:rsid w:val="00150BD1"/>
    <w:rsid w:val="00171208"/>
    <w:rsid w:val="0018446F"/>
    <w:rsid w:val="001863EA"/>
    <w:rsid w:val="0019157E"/>
    <w:rsid w:val="001A6CAE"/>
    <w:rsid w:val="001B189B"/>
    <w:rsid w:val="001C0F2B"/>
    <w:rsid w:val="001C3CED"/>
    <w:rsid w:val="001D0B44"/>
    <w:rsid w:val="001D6459"/>
    <w:rsid w:val="001E087C"/>
    <w:rsid w:val="001E0EAB"/>
    <w:rsid w:val="001E32F4"/>
    <w:rsid w:val="001F4A5A"/>
    <w:rsid w:val="00202806"/>
    <w:rsid w:val="0021390F"/>
    <w:rsid w:val="0021577A"/>
    <w:rsid w:val="002165A4"/>
    <w:rsid w:val="00226DF3"/>
    <w:rsid w:val="0023134E"/>
    <w:rsid w:val="002366A3"/>
    <w:rsid w:val="00243B58"/>
    <w:rsid w:val="0024478E"/>
    <w:rsid w:val="00246199"/>
    <w:rsid w:val="00246DCF"/>
    <w:rsid w:val="00256461"/>
    <w:rsid w:val="0025692E"/>
    <w:rsid w:val="00260B33"/>
    <w:rsid w:val="002615C4"/>
    <w:rsid w:val="00262AE8"/>
    <w:rsid w:val="00266C04"/>
    <w:rsid w:val="002706B9"/>
    <w:rsid w:val="00273744"/>
    <w:rsid w:val="00281321"/>
    <w:rsid w:val="00283EFC"/>
    <w:rsid w:val="00290B49"/>
    <w:rsid w:val="00295226"/>
    <w:rsid w:val="002B2BEC"/>
    <w:rsid w:val="002B7C4D"/>
    <w:rsid w:val="002C3133"/>
    <w:rsid w:val="002C6457"/>
    <w:rsid w:val="002C7AD1"/>
    <w:rsid w:val="002E0830"/>
    <w:rsid w:val="002E566B"/>
    <w:rsid w:val="002F5712"/>
    <w:rsid w:val="002F6691"/>
    <w:rsid w:val="00300698"/>
    <w:rsid w:val="003046E7"/>
    <w:rsid w:val="00307A30"/>
    <w:rsid w:val="0031703B"/>
    <w:rsid w:val="00322B1F"/>
    <w:rsid w:val="00323121"/>
    <w:rsid w:val="003302D7"/>
    <w:rsid w:val="00331747"/>
    <w:rsid w:val="00334BC0"/>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38E8"/>
    <w:rsid w:val="00395675"/>
    <w:rsid w:val="003A78F7"/>
    <w:rsid w:val="003A7C07"/>
    <w:rsid w:val="003B0BAE"/>
    <w:rsid w:val="003B3377"/>
    <w:rsid w:val="003C0938"/>
    <w:rsid w:val="003D1A90"/>
    <w:rsid w:val="003D6003"/>
    <w:rsid w:val="003F1817"/>
    <w:rsid w:val="003F39C1"/>
    <w:rsid w:val="003F6C40"/>
    <w:rsid w:val="004005BE"/>
    <w:rsid w:val="004015DB"/>
    <w:rsid w:val="00402802"/>
    <w:rsid w:val="00411FF0"/>
    <w:rsid w:val="00413907"/>
    <w:rsid w:val="00417D25"/>
    <w:rsid w:val="00430969"/>
    <w:rsid w:val="00441B53"/>
    <w:rsid w:val="0045694B"/>
    <w:rsid w:val="00463421"/>
    <w:rsid w:val="0046735C"/>
    <w:rsid w:val="00484F8C"/>
    <w:rsid w:val="00491781"/>
    <w:rsid w:val="004937C4"/>
    <w:rsid w:val="0049403F"/>
    <w:rsid w:val="004A5F7F"/>
    <w:rsid w:val="004A66BF"/>
    <w:rsid w:val="004C259C"/>
    <w:rsid w:val="004C7796"/>
    <w:rsid w:val="004D1E24"/>
    <w:rsid w:val="004E2D62"/>
    <w:rsid w:val="004F2B78"/>
    <w:rsid w:val="004F390D"/>
    <w:rsid w:val="004F7F12"/>
    <w:rsid w:val="00501169"/>
    <w:rsid w:val="00504319"/>
    <w:rsid w:val="00512CC0"/>
    <w:rsid w:val="00516627"/>
    <w:rsid w:val="00516FCE"/>
    <w:rsid w:val="005174F5"/>
    <w:rsid w:val="00524B95"/>
    <w:rsid w:val="005304F6"/>
    <w:rsid w:val="00536FD2"/>
    <w:rsid w:val="005567D5"/>
    <w:rsid w:val="00565B19"/>
    <w:rsid w:val="0056642B"/>
    <w:rsid w:val="0056732A"/>
    <w:rsid w:val="00574D75"/>
    <w:rsid w:val="0058235F"/>
    <w:rsid w:val="0058296C"/>
    <w:rsid w:val="00582D0D"/>
    <w:rsid w:val="0058737E"/>
    <w:rsid w:val="005A4A49"/>
    <w:rsid w:val="005B022A"/>
    <w:rsid w:val="005B13A0"/>
    <w:rsid w:val="005D2D0E"/>
    <w:rsid w:val="005E1C51"/>
    <w:rsid w:val="00614DEE"/>
    <w:rsid w:val="00617489"/>
    <w:rsid w:val="006241CA"/>
    <w:rsid w:val="00625D27"/>
    <w:rsid w:val="00633016"/>
    <w:rsid w:val="006342E8"/>
    <w:rsid w:val="00634453"/>
    <w:rsid w:val="006365BA"/>
    <w:rsid w:val="00641A0E"/>
    <w:rsid w:val="0064379D"/>
    <w:rsid w:val="006468E7"/>
    <w:rsid w:val="0064745B"/>
    <w:rsid w:val="00656275"/>
    <w:rsid w:val="00666A1D"/>
    <w:rsid w:val="00666DC3"/>
    <w:rsid w:val="006738CF"/>
    <w:rsid w:val="0067487D"/>
    <w:rsid w:val="00677BF6"/>
    <w:rsid w:val="006853D0"/>
    <w:rsid w:val="006863D4"/>
    <w:rsid w:val="00695569"/>
    <w:rsid w:val="006A5DC7"/>
    <w:rsid w:val="006B110E"/>
    <w:rsid w:val="006B7406"/>
    <w:rsid w:val="006B7FC8"/>
    <w:rsid w:val="006C35E3"/>
    <w:rsid w:val="006C6890"/>
    <w:rsid w:val="006D1102"/>
    <w:rsid w:val="006D1F76"/>
    <w:rsid w:val="006D7E29"/>
    <w:rsid w:val="006E11CA"/>
    <w:rsid w:val="006E3CC7"/>
    <w:rsid w:val="006F1BE4"/>
    <w:rsid w:val="006F676D"/>
    <w:rsid w:val="00705E9D"/>
    <w:rsid w:val="007167FD"/>
    <w:rsid w:val="00717A95"/>
    <w:rsid w:val="00717FBB"/>
    <w:rsid w:val="0072442B"/>
    <w:rsid w:val="00731DAD"/>
    <w:rsid w:val="007367AB"/>
    <w:rsid w:val="007373BD"/>
    <w:rsid w:val="007544DF"/>
    <w:rsid w:val="007573DB"/>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947BC"/>
    <w:rsid w:val="008D2CF0"/>
    <w:rsid w:val="008D7B86"/>
    <w:rsid w:val="008E0C7B"/>
    <w:rsid w:val="008E7AC3"/>
    <w:rsid w:val="008F148D"/>
    <w:rsid w:val="008F5218"/>
    <w:rsid w:val="00901EB3"/>
    <w:rsid w:val="009040A2"/>
    <w:rsid w:val="00913956"/>
    <w:rsid w:val="00914B9B"/>
    <w:rsid w:val="009222DE"/>
    <w:rsid w:val="00926C41"/>
    <w:rsid w:val="0093644A"/>
    <w:rsid w:val="00937B55"/>
    <w:rsid w:val="009421D0"/>
    <w:rsid w:val="0094524B"/>
    <w:rsid w:val="00954C81"/>
    <w:rsid w:val="009554EF"/>
    <w:rsid w:val="00963D5E"/>
    <w:rsid w:val="00964F9A"/>
    <w:rsid w:val="00974069"/>
    <w:rsid w:val="00976051"/>
    <w:rsid w:val="009806E4"/>
    <w:rsid w:val="00983489"/>
    <w:rsid w:val="009A47F1"/>
    <w:rsid w:val="009B02AC"/>
    <w:rsid w:val="009B11F8"/>
    <w:rsid w:val="009B34D2"/>
    <w:rsid w:val="009C3B5C"/>
    <w:rsid w:val="009C6FF7"/>
    <w:rsid w:val="009C7D5F"/>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8233D"/>
    <w:rsid w:val="00A83765"/>
    <w:rsid w:val="00A85B89"/>
    <w:rsid w:val="00A90805"/>
    <w:rsid w:val="00A91520"/>
    <w:rsid w:val="00AB36A5"/>
    <w:rsid w:val="00AC1E5E"/>
    <w:rsid w:val="00AC4E2A"/>
    <w:rsid w:val="00AD33B2"/>
    <w:rsid w:val="00AD727C"/>
    <w:rsid w:val="00AE0306"/>
    <w:rsid w:val="00AE6615"/>
    <w:rsid w:val="00AF445C"/>
    <w:rsid w:val="00AF69FD"/>
    <w:rsid w:val="00B14489"/>
    <w:rsid w:val="00B361D4"/>
    <w:rsid w:val="00B411BC"/>
    <w:rsid w:val="00B418E7"/>
    <w:rsid w:val="00B448A1"/>
    <w:rsid w:val="00B459A0"/>
    <w:rsid w:val="00B51EAD"/>
    <w:rsid w:val="00B64D4F"/>
    <w:rsid w:val="00B674B9"/>
    <w:rsid w:val="00B702B7"/>
    <w:rsid w:val="00B766DF"/>
    <w:rsid w:val="00B87A79"/>
    <w:rsid w:val="00B93F00"/>
    <w:rsid w:val="00BA0CAA"/>
    <w:rsid w:val="00BA35F6"/>
    <w:rsid w:val="00BA4FED"/>
    <w:rsid w:val="00BB0F03"/>
    <w:rsid w:val="00BB23E7"/>
    <w:rsid w:val="00BB5DD2"/>
    <w:rsid w:val="00BB7638"/>
    <w:rsid w:val="00BB79D0"/>
    <w:rsid w:val="00BC2746"/>
    <w:rsid w:val="00BD2166"/>
    <w:rsid w:val="00BE68AA"/>
    <w:rsid w:val="00BF057B"/>
    <w:rsid w:val="00C05825"/>
    <w:rsid w:val="00C073BA"/>
    <w:rsid w:val="00C10401"/>
    <w:rsid w:val="00C14FEC"/>
    <w:rsid w:val="00C155FC"/>
    <w:rsid w:val="00C15FD0"/>
    <w:rsid w:val="00C206FB"/>
    <w:rsid w:val="00C23165"/>
    <w:rsid w:val="00C27D0C"/>
    <w:rsid w:val="00C35814"/>
    <w:rsid w:val="00C3630F"/>
    <w:rsid w:val="00C40D0C"/>
    <w:rsid w:val="00C4211F"/>
    <w:rsid w:val="00C47025"/>
    <w:rsid w:val="00C52047"/>
    <w:rsid w:val="00C57EC4"/>
    <w:rsid w:val="00C655FA"/>
    <w:rsid w:val="00C73B3C"/>
    <w:rsid w:val="00C80395"/>
    <w:rsid w:val="00C822A1"/>
    <w:rsid w:val="00C85E8D"/>
    <w:rsid w:val="00CA105A"/>
    <w:rsid w:val="00CA2839"/>
    <w:rsid w:val="00CA3456"/>
    <w:rsid w:val="00CA43FF"/>
    <w:rsid w:val="00CD24EF"/>
    <w:rsid w:val="00CE5685"/>
    <w:rsid w:val="00D035B3"/>
    <w:rsid w:val="00D03F12"/>
    <w:rsid w:val="00D04C49"/>
    <w:rsid w:val="00D07B21"/>
    <w:rsid w:val="00D1154B"/>
    <w:rsid w:val="00D16FA0"/>
    <w:rsid w:val="00D208C2"/>
    <w:rsid w:val="00D23CDB"/>
    <w:rsid w:val="00D2494B"/>
    <w:rsid w:val="00D41EC9"/>
    <w:rsid w:val="00D47417"/>
    <w:rsid w:val="00D67A77"/>
    <w:rsid w:val="00D70F23"/>
    <w:rsid w:val="00D776F4"/>
    <w:rsid w:val="00D9080D"/>
    <w:rsid w:val="00D9505E"/>
    <w:rsid w:val="00DA6462"/>
    <w:rsid w:val="00DC1818"/>
    <w:rsid w:val="00DD1BA3"/>
    <w:rsid w:val="00DF1809"/>
    <w:rsid w:val="00DF7459"/>
    <w:rsid w:val="00E02701"/>
    <w:rsid w:val="00E12145"/>
    <w:rsid w:val="00E318CB"/>
    <w:rsid w:val="00E31AF6"/>
    <w:rsid w:val="00E52766"/>
    <w:rsid w:val="00E6187E"/>
    <w:rsid w:val="00E646BD"/>
    <w:rsid w:val="00E66C99"/>
    <w:rsid w:val="00E81D82"/>
    <w:rsid w:val="00E8200B"/>
    <w:rsid w:val="00E84341"/>
    <w:rsid w:val="00E84E48"/>
    <w:rsid w:val="00E86CAE"/>
    <w:rsid w:val="00E95C70"/>
    <w:rsid w:val="00EA4304"/>
    <w:rsid w:val="00EA75C1"/>
    <w:rsid w:val="00EB0523"/>
    <w:rsid w:val="00EB4E7E"/>
    <w:rsid w:val="00EB528D"/>
    <w:rsid w:val="00ED5BF2"/>
    <w:rsid w:val="00EF136D"/>
    <w:rsid w:val="00EF4035"/>
    <w:rsid w:val="00EF73FC"/>
    <w:rsid w:val="00F000D4"/>
    <w:rsid w:val="00F028E3"/>
    <w:rsid w:val="00F0425A"/>
    <w:rsid w:val="00F0616B"/>
    <w:rsid w:val="00F141C4"/>
    <w:rsid w:val="00F14901"/>
    <w:rsid w:val="00F15BD8"/>
    <w:rsid w:val="00F17488"/>
    <w:rsid w:val="00F20377"/>
    <w:rsid w:val="00F24525"/>
    <w:rsid w:val="00F35C72"/>
    <w:rsid w:val="00F36651"/>
    <w:rsid w:val="00F414C5"/>
    <w:rsid w:val="00F42A1C"/>
    <w:rsid w:val="00F467F6"/>
    <w:rsid w:val="00F57693"/>
    <w:rsid w:val="00F60B70"/>
    <w:rsid w:val="00F6596F"/>
    <w:rsid w:val="00F66A8D"/>
    <w:rsid w:val="00F67CB5"/>
    <w:rsid w:val="00F67E0F"/>
    <w:rsid w:val="00F74070"/>
    <w:rsid w:val="00F763F6"/>
    <w:rsid w:val="00F76704"/>
    <w:rsid w:val="00F77B64"/>
    <w:rsid w:val="00F80563"/>
    <w:rsid w:val="00F806AC"/>
    <w:rsid w:val="00F81483"/>
    <w:rsid w:val="00F84311"/>
    <w:rsid w:val="00FA0D7A"/>
    <w:rsid w:val="00FA6C74"/>
    <w:rsid w:val="00FB370C"/>
    <w:rsid w:val="00FC387C"/>
    <w:rsid w:val="00FC788C"/>
    <w:rsid w:val="00FD0B68"/>
    <w:rsid w:val="00FD1877"/>
    <w:rsid w:val="00FD4D94"/>
    <w:rsid w:val="1D951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0513B-6B83-4493-99C5-A2F089B3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20">
    <w:name w:val="Body Text Indent 2"/>
    <w:basedOn w:val="a"/>
    <w:link w:val="2Char0"/>
    <w:pPr>
      <w:spacing w:before="60" w:after="60"/>
      <w:ind w:left="479"/>
    </w:pPr>
    <w:rPr>
      <w:rFonts w:ascii="宋体"/>
      <w:sz w:val="24"/>
    </w:r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paragraph" w:styleId="a8">
    <w:name w:val="footnote text"/>
    <w:basedOn w:val="a"/>
    <w:link w:val="Char4"/>
    <w:uiPriority w:val="99"/>
    <w:unhideWhenUsed/>
    <w:pPr>
      <w:snapToGrid w:val="0"/>
      <w:jc w:val="left"/>
    </w:pPr>
    <w:rPr>
      <w:sz w:val="18"/>
      <w:szCs w:val="18"/>
    </w:rPr>
  </w:style>
  <w:style w:type="character" w:styleId="a9">
    <w:name w:val="annotation reference"/>
    <w:basedOn w:val="a0"/>
    <w:uiPriority w:val="99"/>
    <w:unhideWhenUsed/>
    <w:qFormat/>
    <w:rPr>
      <w:sz w:val="21"/>
      <w:szCs w:val="21"/>
    </w:rPr>
  </w:style>
  <w:style w:type="character" w:styleId="aa">
    <w:name w:val="footnote reference"/>
    <w:basedOn w:val="a0"/>
    <w:uiPriority w:val="99"/>
    <w:unhideWhenUsed/>
    <w:qFormat/>
    <w:rPr>
      <w:vertAlign w:val="superscript"/>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Chars="200" w:firstLine="420"/>
    </w:pPr>
  </w:style>
  <w:style w:type="character" w:customStyle="1" w:styleId="Char1">
    <w:name w:val="批注框文本 Char"/>
    <w:basedOn w:val="a0"/>
    <w:link w:val="a5"/>
    <w:uiPriority w:val="99"/>
    <w:semiHidden/>
    <w:rPr>
      <w:sz w:val="18"/>
      <w:szCs w:val="18"/>
    </w:rPr>
  </w:style>
  <w:style w:type="character" w:customStyle="1" w:styleId="Char4">
    <w:name w:val="脚注文本 Char"/>
    <w:basedOn w:val="a0"/>
    <w:link w:val="a8"/>
    <w:uiPriority w:val="99"/>
    <w:semiHidden/>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qFormat/>
    <w:rPr>
      <w:b/>
      <w:bCs/>
    </w:rPr>
  </w:style>
  <w:style w:type="character" w:customStyle="1" w:styleId="Char3">
    <w:name w:val="页眉 Char"/>
    <w:basedOn w:val="a0"/>
    <w:link w:val="a7"/>
    <w:rPr>
      <w:rFonts w:ascii="Times New Roman" w:eastAsia="宋体" w:hAnsi="Times New Roman" w:cs="Times New Roman"/>
      <w:kern w:val="0"/>
      <w:sz w:val="18"/>
      <w:szCs w:val="18"/>
    </w:rPr>
  </w:style>
  <w:style w:type="character" w:customStyle="1" w:styleId="Char2">
    <w:name w:val="页脚 Char"/>
    <w:basedOn w:val="a0"/>
    <w:link w:val="a6"/>
    <w:uiPriority w:val="99"/>
    <w:rPr>
      <w:sz w:val="18"/>
      <w:szCs w:val="18"/>
    </w:rPr>
  </w:style>
  <w:style w:type="character" w:customStyle="1" w:styleId="1Char">
    <w:name w:val="标题 1 Char"/>
    <w:basedOn w:val="a0"/>
    <w:link w:val="1"/>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2Char0">
    <w:name w:val="正文文本缩进 2 Char"/>
    <w:link w:val="20"/>
    <w:rPr>
      <w:rFonts w:ascii="宋体"/>
      <w:sz w:val="24"/>
    </w:rPr>
  </w:style>
  <w:style w:type="character" w:customStyle="1" w:styleId="2Char1">
    <w:name w:val="正文文本缩进 2 Char1"/>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9474B-1A84-42AD-97B4-556D2C0B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931</Words>
  <Characters>5310</Characters>
  <Application>Microsoft Office Word</Application>
  <DocSecurity>0</DocSecurity>
  <Lines>44</Lines>
  <Paragraphs>12</Paragraphs>
  <ScaleCrop>false</ScaleCrop>
  <Company>Sky123.Org</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190</cp:revision>
  <dcterms:created xsi:type="dcterms:W3CDTF">2018-01-12T10:20:00Z</dcterms:created>
  <dcterms:modified xsi:type="dcterms:W3CDTF">2018-03-19T08:25:00Z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