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31C" w:rsidRPr="00B87C7F" w:rsidRDefault="0076331C" w:rsidP="0076331C">
      <w:pPr>
        <w:spacing w:line="360" w:lineRule="auto"/>
        <w:jc w:val="center"/>
        <w:rPr>
          <w:rFonts w:ascii="Times New Roman" w:eastAsia="宋体" w:hAnsi="宋体" w:cs="Times New Roman"/>
          <w:b/>
          <w:sz w:val="28"/>
          <w:szCs w:val="28"/>
        </w:rPr>
      </w:pPr>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Pr="0076331C">
        <w:rPr>
          <w:rFonts w:ascii="Times New Roman" w:eastAsia="宋体" w:hAnsi="宋体" w:cs="Times New Roman" w:hint="eastAsia"/>
          <w:b/>
          <w:sz w:val="28"/>
          <w:szCs w:val="28"/>
        </w:rPr>
        <w:t>交银施罗德现金宝货币市场基金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rsidR="0076331C" w:rsidRDefault="0076331C" w:rsidP="0076331C">
      <w:pPr>
        <w:widowControl/>
        <w:jc w:val="left"/>
        <w:rPr>
          <w:rFonts w:ascii="Times New Roman" w:eastAsia="宋体" w:hAnsi="Times New Roman" w:cs="Times New Roman"/>
          <w:b/>
          <w:sz w:val="24"/>
          <w:szCs w:val="23"/>
        </w:rPr>
      </w:pPr>
    </w:p>
    <w:p w:rsidR="0076331C" w:rsidRDefault="0076331C" w:rsidP="0076331C">
      <w:pPr>
        <w:widowControl/>
        <w:jc w:val="left"/>
        <w:rPr>
          <w:rFonts w:ascii="Times New Roman" w:eastAsia="宋体" w:hAnsi="Times New Roman" w:cs="Times New Roman"/>
          <w:b/>
          <w:sz w:val="24"/>
          <w:szCs w:val="23"/>
        </w:rPr>
      </w:pPr>
    </w:p>
    <w:p w:rsidR="0076331C" w:rsidRPr="00E45F39" w:rsidRDefault="0076331C" w:rsidP="0076331C">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007A591E" w:rsidRPr="007A591E">
        <w:rPr>
          <w:rFonts w:ascii="Times New Roman" w:hAnsi="宋体" w:hint="eastAsia"/>
          <w:sz w:val="24"/>
          <w:szCs w:val="24"/>
        </w:rPr>
        <w:t>中国证监会</w:t>
      </w:r>
      <w:r w:rsidR="007A591E" w:rsidRPr="007A591E">
        <w:rPr>
          <w:rFonts w:ascii="Times New Roman" w:hAnsi="宋体" w:hint="eastAsia"/>
          <w:sz w:val="24"/>
          <w:szCs w:val="24"/>
        </w:rPr>
        <w:t>2017</w:t>
      </w:r>
      <w:r w:rsidR="007A591E" w:rsidRPr="007A591E">
        <w:rPr>
          <w:rFonts w:ascii="Times New Roman" w:hAnsi="宋体" w:hint="eastAsia"/>
          <w:sz w:val="24"/>
          <w:szCs w:val="24"/>
        </w:rPr>
        <w:t>年</w:t>
      </w:r>
      <w:r w:rsidR="007A591E" w:rsidRPr="007A591E">
        <w:rPr>
          <w:rFonts w:ascii="Times New Roman" w:hAnsi="宋体" w:hint="eastAsia"/>
          <w:sz w:val="24"/>
          <w:szCs w:val="24"/>
        </w:rPr>
        <w:t>8</w:t>
      </w:r>
      <w:r w:rsidR="007A591E" w:rsidRPr="007A591E">
        <w:rPr>
          <w:rFonts w:ascii="Times New Roman" w:hAnsi="宋体" w:hint="eastAsia"/>
          <w:sz w:val="24"/>
          <w:szCs w:val="24"/>
        </w:rPr>
        <w:t>月</w:t>
      </w:r>
      <w:r w:rsidR="007A591E" w:rsidRPr="007A591E">
        <w:rPr>
          <w:rFonts w:ascii="Times New Roman" w:hAnsi="宋体" w:hint="eastAsia"/>
          <w:sz w:val="24"/>
          <w:szCs w:val="24"/>
        </w:rPr>
        <w:t>31</w:t>
      </w:r>
      <w:r w:rsidR="007A591E" w:rsidRPr="007A591E">
        <w:rPr>
          <w:rFonts w:ascii="Times New Roman" w:hAnsi="宋体" w:hint="eastAsia"/>
          <w:sz w:val="24"/>
          <w:szCs w:val="24"/>
        </w:rPr>
        <w:t>日颁布、同年</w:t>
      </w:r>
      <w:r w:rsidR="007A591E" w:rsidRPr="007A591E">
        <w:rPr>
          <w:rFonts w:ascii="Times New Roman" w:hAnsi="宋体" w:hint="eastAsia"/>
          <w:sz w:val="24"/>
          <w:szCs w:val="24"/>
        </w:rPr>
        <w:t>10</w:t>
      </w:r>
      <w:r w:rsidR="007A591E" w:rsidRPr="007A591E">
        <w:rPr>
          <w:rFonts w:ascii="Times New Roman" w:hAnsi="宋体" w:hint="eastAsia"/>
          <w:sz w:val="24"/>
          <w:szCs w:val="24"/>
        </w:rPr>
        <w:t>月</w:t>
      </w:r>
      <w:r w:rsidR="007A591E" w:rsidRPr="007A591E">
        <w:rPr>
          <w:rFonts w:ascii="Times New Roman" w:hAnsi="宋体" w:hint="eastAsia"/>
          <w:sz w:val="24"/>
          <w:szCs w:val="24"/>
        </w:rPr>
        <w:t>1</w:t>
      </w:r>
      <w:r w:rsidR="007A591E"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Pr="0076331C">
        <w:rPr>
          <w:rFonts w:ascii="Times New Roman" w:hAnsi="宋体" w:hint="eastAsia"/>
          <w:sz w:val="24"/>
          <w:szCs w:val="24"/>
        </w:rPr>
        <w:t>交银施罗德现金宝货币市场基金</w:t>
      </w:r>
      <w:r>
        <w:rPr>
          <w:rFonts w:ascii="Times New Roman" w:hAnsi="宋体" w:hint="eastAsia"/>
          <w:sz w:val="24"/>
          <w:szCs w:val="24"/>
        </w:rPr>
        <w:t>（以下简称“本基金”）</w:t>
      </w:r>
      <w:r w:rsidRPr="00E45F39">
        <w:rPr>
          <w:rFonts w:ascii="Times New Roman" w:hAnsi="宋体"/>
          <w:sz w:val="24"/>
          <w:szCs w:val="24"/>
        </w:rPr>
        <w:t>的基金合同作相应修改</w:t>
      </w:r>
      <w:r w:rsidR="00E5199A">
        <w:rPr>
          <w:rFonts w:ascii="Times New Roman" w:hAnsi="宋体" w:hint="eastAsia"/>
          <w:sz w:val="24"/>
          <w:szCs w:val="24"/>
        </w:rPr>
        <w:t>，前述修改已</w:t>
      </w:r>
      <w:r w:rsidR="00E5199A" w:rsidRPr="00E5199A">
        <w:rPr>
          <w:rFonts w:ascii="Times New Roman" w:hAnsi="宋体" w:hint="eastAsia"/>
          <w:sz w:val="24"/>
          <w:szCs w:val="24"/>
        </w:rPr>
        <w:t>与</w:t>
      </w:r>
      <w:r w:rsidR="00E5199A">
        <w:rPr>
          <w:rFonts w:ascii="Times New Roman" w:hAnsi="宋体" w:hint="eastAsia"/>
          <w:sz w:val="24"/>
          <w:szCs w:val="24"/>
        </w:rPr>
        <w:t>基金托管人</w:t>
      </w:r>
      <w:r w:rsidR="00E5199A" w:rsidRPr="00E5199A">
        <w:rPr>
          <w:rFonts w:ascii="Times New Roman" w:hAnsi="宋体" w:hint="eastAsia"/>
          <w:sz w:val="24"/>
          <w:szCs w:val="24"/>
        </w:rPr>
        <w:t>协商一致，并报监管机构备案</w:t>
      </w:r>
      <w:r w:rsidRPr="00E45F39">
        <w:rPr>
          <w:rFonts w:ascii="Times New Roman" w:hAnsi="宋体"/>
          <w:sz w:val="24"/>
          <w:szCs w:val="24"/>
        </w:rPr>
        <w:t>。</w:t>
      </w:r>
    </w:p>
    <w:p w:rsidR="007A591E" w:rsidRDefault="007A591E" w:rsidP="007A591E">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w:t>
      </w:r>
    </w:p>
    <w:p w:rsidR="007A591E" w:rsidRPr="00C83FFB" w:rsidRDefault="007A591E" w:rsidP="007A591E">
      <w:pPr>
        <w:adjustRightInd w:val="0"/>
        <w:snapToGrid w:val="0"/>
        <w:spacing w:line="360" w:lineRule="auto"/>
        <w:ind w:firstLine="480"/>
        <w:jc w:val="left"/>
        <w:rPr>
          <w:rFonts w:ascii="Times New Roman" w:hAnsi="宋体"/>
          <w:sz w:val="24"/>
          <w:szCs w:val="24"/>
        </w:rPr>
      </w:pPr>
    </w:p>
    <w:p w:rsidR="0076331C" w:rsidRPr="00E45F39" w:rsidRDefault="0076331C" w:rsidP="007A591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rsidR="007A591E"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w:t>
      </w:r>
      <w:bookmarkStart w:id="0" w:name="_GoBack"/>
      <w:bookmarkEnd w:id="0"/>
      <w:r>
        <w:rPr>
          <w:rFonts w:ascii="Times New Roman" w:hAnsi="宋体" w:hint="eastAsia"/>
          <w:sz w:val="24"/>
          <w:szCs w:val="24"/>
        </w:rPr>
        <w:t>，</w:t>
      </w:r>
      <w:r w:rsidR="004B6894">
        <w:rPr>
          <w:rFonts w:ascii="Times New Roman" w:hAnsi="宋体" w:hint="eastAsia"/>
          <w:sz w:val="24"/>
          <w:szCs w:val="24"/>
        </w:rPr>
        <w:t>本基金</w:t>
      </w:r>
      <w:r w:rsidR="004B6894" w:rsidRPr="004B6894">
        <w:rPr>
          <w:rFonts w:ascii="Times New Roman" w:hAnsi="宋体" w:hint="eastAsia"/>
          <w:sz w:val="24"/>
          <w:szCs w:val="24"/>
        </w:rPr>
        <w:t>托管协议中相关条款</w:t>
      </w:r>
      <w:r w:rsidR="004B6894">
        <w:rPr>
          <w:rFonts w:ascii="Times New Roman" w:hAnsi="宋体" w:hint="eastAsia"/>
          <w:sz w:val="24"/>
          <w:szCs w:val="24"/>
        </w:rPr>
        <w:t>根据基金合同</w:t>
      </w:r>
      <w:r w:rsidR="004B6894" w:rsidRPr="004B6894">
        <w:rPr>
          <w:rFonts w:ascii="Times New Roman" w:hAnsi="宋体" w:hint="eastAsia"/>
          <w:sz w:val="24"/>
          <w:szCs w:val="24"/>
        </w:rPr>
        <w:t>进行修订。</w:t>
      </w:r>
      <w:r w:rsidR="001674F7">
        <w:rPr>
          <w:rFonts w:ascii="Times New Roman" w:hAnsi="宋体" w:hint="eastAsia"/>
          <w:sz w:val="24"/>
          <w:szCs w:val="24"/>
        </w:rPr>
        <w:t>本公司</w:t>
      </w:r>
      <w:r w:rsidRPr="00E45F39">
        <w:rPr>
          <w:rFonts w:ascii="Times New Roman" w:hAnsi="宋体" w:hint="eastAsia"/>
          <w:sz w:val="24"/>
          <w:szCs w:val="24"/>
        </w:rPr>
        <w:t>将在网站上公布经修改后的</w:t>
      </w:r>
      <w:r w:rsidRPr="0076331C">
        <w:rPr>
          <w:rFonts w:ascii="Times New Roman" w:hAnsi="宋体" w:hint="eastAsia"/>
          <w:sz w:val="24"/>
          <w:szCs w:val="24"/>
        </w:rPr>
        <w:t>交银施罗德现金宝货币市场基金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rsidR="0076331C" w:rsidRPr="00E45F39" w:rsidRDefault="007A591E"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w:t>
      </w:r>
      <w:r w:rsidR="0076331C">
        <w:rPr>
          <w:rFonts w:ascii="Times New Roman" w:hAnsi="宋体" w:hint="eastAsia"/>
          <w:sz w:val="24"/>
          <w:szCs w:val="24"/>
        </w:rPr>
        <w:t>本</w:t>
      </w:r>
      <w:r w:rsidR="001674F7">
        <w:rPr>
          <w:rFonts w:ascii="Times New Roman" w:hAnsi="宋体" w:hint="eastAsia"/>
          <w:sz w:val="24"/>
          <w:szCs w:val="24"/>
        </w:rPr>
        <w:t>公司</w:t>
      </w:r>
      <w:r w:rsidR="0076331C">
        <w:rPr>
          <w:rFonts w:ascii="Times New Roman" w:hAnsi="宋体" w:hint="eastAsia"/>
          <w:sz w:val="24"/>
          <w:szCs w:val="24"/>
        </w:rPr>
        <w:t>将</w:t>
      </w:r>
      <w:r w:rsidR="0076331C" w:rsidRPr="007815EA">
        <w:rPr>
          <w:rFonts w:ascii="Times New Roman" w:hAnsi="宋体" w:hint="eastAsia"/>
          <w:sz w:val="24"/>
          <w:szCs w:val="24"/>
        </w:rPr>
        <w:t>在更新基金招募说明书时，对上述相关内容进行相应修订。</w:t>
      </w:r>
    </w:p>
    <w:p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sidR="001674F7">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sidR="001674F7">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rsidR="0076331C" w:rsidRPr="001674F7" w:rsidRDefault="0076331C" w:rsidP="0076331C">
      <w:pPr>
        <w:adjustRightInd w:val="0"/>
        <w:snapToGrid w:val="0"/>
        <w:spacing w:line="360" w:lineRule="auto"/>
        <w:ind w:firstLine="480"/>
        <w:jc w:val="left"/>
        <w:rPr>
          <w:rFonts w:ascii="Times New Roman" w:hAnsi="宋体"/>
          <w:sz w:val="24"/>
          <w:szCs w:val="24"/>
        </w:rPr>
      </w:pPr>
    </w:p>
    <w:p w:rsidR="0076331C" w:rsidRPr="00E45F39"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sidR="001674F7">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rsidR="0076331C" w:rsidRDefault="0076331C"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 xml:space="preserve"> </w:t>
      </w:r>
    </w:p>
    <w:p w:rsidR="0076331C" w:rsidRPr="00E45F39" w:rsidRDefault="0076331C" w:rsidP="0076331C">
      <w:pPr>
        <w:adjustRightInd w:val="0"/>
        <w:snapToGrid w:val="0"/>
        <w:spacing w:line="360" w:lineRule="auto"/>
        <w:ind w:firstLine="480"/>
        <w:jc w:val="left"/>
        <w:rPr>
          <w:rFonts w:ascii="Times New Roman" w:hAnsi="宋体"/>
          <w:sz w:val="24"/>
          <w:szCs w:val="24"/>
        </w:rPr>
      </w:pPr>
    </w:p>
    <w:p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lastRenderedPageBreak/>
        <w:t xml:space="preserve">  </w:t>
      </w:r>
      <w:r w:rsidRPr="00E45F39">
        <w:rPr>
          <w:rFonts w:ascii="Times New Roman" w:hAnsi="宋体" w:hint="eastAsia"/>
          <w:sz w:val="24"/>
          <w:szCs w:val="24"/>
        </w:rPr>
        <w:t>交银施罗德基金管理有限公司</w:t>
      </w:r>
    </w:p>
    <w:p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sidR="007C523D">
        <w:rPr>
          <w:rFonts w:ascii="Times New Roman" w:hAnsi="宋体" w:hint="eastAsia"/>
          <w:sz w:val="24"/>
          <w:szCs w:val="24"/>
        </w:rPr>
        <w:t>二十</w:t>
      </w:r>
      <w:r w:rsidR="007A6742">
        <w:rPr>
          <w:rFonts w:ascii="Times New Roman" w:hAnsi="宋体" w:hint="eastAsia"/>
          <w:kern w:val="0"/>
          <w:sz w:val="24"/>
          <w:szCs w:val="24"/>
        </w:rPr>
        <w:t>二</w:t>
      </w:r>
      <w:r w:rsidRPr="00E45F39">
        <w:rPr>
          <w:rFonts w:ascii="Times New Roman" w:hAnsi="宋体" w:hint="eastAsia"/>
          <w:sz w:val="24"/>
          <w:szCs w:val="24"/>
        </w:rPr>
        <w:t>日</w:t>
      </w:r>
    </w:p>
    <w:p w:rsidR="0076331C" w:rsidRDefault="0076331C" w:rsidP="007A6742">
      <w:pPr>
        <w:tabs>
          <w:tab w:val="left" w:pos="1843"/>
        </w:tabs>
        <w:spacing w:beforeLines="50" w:afterLines="50" w:line="305" w:lineRule="auto"/>
        <w:jc w:val="left"/>
        <w:rPr>
          <w:rFonts w:ascii="Times New Roman" w:eastAsia="宋体" w:hAnsi="Times New Roman" w:cs="Times New Roman"/>
          <w:b/>
          <w:sz w:val="24"/>
          <w:szCs w:val="23"/>
        </w:rPr>
        <w:sectPr w:rsidR="0076331C" w:rsidSect="0076331C">
          <w:footerReference w:type="default" r:id="rId8"/>
          <w:pgSz w:w="11906" w:h="16838"/>
          <w:pgMar w:top="1440" w:right="1800" w:bottom="1440" w:left="1800" w:header="851" w:footer="992" w:gutter="0"/>
          <w:cols w:space="425"/>
          <w:docGrid w:type="lines" w:linePitch="312"/>
        </w:sectPr>
      </w:pPr>
    </w:p>
    <w:p w:rsidR="007327FE" w:rsidRDefault="00323121" w:rsidP="007A6742">
      <w:pPr>
        <w:tabs>
          <w:tab w:val="left" w:pos="1843"/>
        </w:tabs>
        <w:spacing w:beforeLines="50" w:afterLines="50"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1230E4" w:rsidRPr="001230E4">
        <w:rPr>
          <w:rFonts w:ascii="Times New Roman" w:eastAsia="宋体" w:hAnsi="Times New Roman" w:cs="Times New Roman" w:hint="eastAsia"/>
          <w:b/>
          <w:sz w:val="24"/>
          <w:szCs w:val="23"/>
        </w:rPr>
        <w:t>《</w:t>
      </w:r>
      <w:r w:rsidR="006241CA" w:rsidRPr="006241CA">
        <w:rPr>
          <w:rFonts w:ascii="Times New Roman" w:eastAsia="宋体" w:hAnsi="Times New Roman" w:cs="Times New Roman" w:hint="eastAsia"/>
          <w:b/>
          <w:sz w:val="24"/>
          <w:szCs w:val="23"/>
        </w:rPr>
        <w:t>交银施罗德现金宝货币市场基金基金合同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a7"/>
        <w:tblW w:w="4173" w:type="pct"/>
        <w:jc w:val="center"/>
        <w:tblLook w:val="04A0"/>
      </w:tblPr>
      <w:tblGrid>
        <w:gridCol w:w="3452"/>
        <w:gridCol w:w="3847"/>
        <w:gridCol w:w="4531"/>
      </w:tblGrid>
      <w:tr w:rsidR="003302D7" w:rsidRPr="006C7529" w:rsidTr="001F4A5A">
        <w:trPr>
          <w:jc w:val="center"/>
        </w:trPr>
        <w:tc>
          <w:tcPr>
            <w:tcW w:w="1459" w:type="pct"/>
          </w:tcPr>
          <w:p w:rsidR="003302D7" w:rsidRPr="006C7529" w:rsidRDefault="003302D7"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1626" w:type="pct"/>
          </w:tcPr>
          <w:p w:rsidR="003302D7" w:rsidRPr="006C7529"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1915" w:type="pct"/>
          </w:tcPr>
          <w:p w:rsidR="003302D7" w:rsidRPr="00F000D4"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3302D7" w:rsidRPr="006C7529" w:rsidTr="001F4A5A">
        <w:trPr>
          <w:jc w:val="center"/>
        </w:trPr>
        <w:tc>
          <w:tcPr>
            <w:tcW w:w="1459" w:type="pct"/>
          </w:tcPr>
          <w:p w:rsidR="003302D7" w:rsidRDefault="003302D7"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第一部分</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前言</w:t>
            </w:r>
          </w:p>
          <w:p w:rsidR="00F77255" w:rsidRPr="00F77255" w:rsidRDefault="00F77255" w:rsidP="00E12145">
            <w:pPr>
              <w:spacing w:line="360" w:lineRule="auto"/>
              <w:jc w:val="center"/>
              <w:rPr>
                <w:rFonts w:ascii="Times New Roman" w:eastAsia="宋体" w:hAnsi="Times New Roman" w:cs="Times New Roman"/>
                <w:szCs w:val="21"/>
              </w:rPr>
            </w:pPr>
            <w:r w:rsidRPr="00F77255">
              <w:rPr>
                <w:rFonts w:ascii="Times New Roman" w:eastAsia="宋体" w:hAnsi="Times New Roman" w:cs="Times New Roman" w:hint="eastAsia"/>
                <w:szCs w:val="21"/>
              </w:rPr>
              <w:t>一、订立本基金合同的目的、依据和原则</w:t>
            </w:r>
          </w:p>
        </w:tc>
        <w:tc>
          <w:tcPr>
            <w:tcW w:w="1626" w:type="pct"/>
          </w:tcPr>
          <w:p w:rsidR="003302D7" w:rsidRPr="006C7529" w:rsidRDefault="003302D7" w:rsidP="00E12145">
            <w:pPr>
              <w:spacing w:line="360" w:lineRule="auto"/>
              <w:ind w:firstLineChars="200" w:firstLine="420"/>
              <w:rPr>
                <w:rFonts w:ascii="Times New Roman" w:eastAsia="宋体" w:hAnsi="Times New Roman" w:cs="Times New Roman"/>
                <w:szCs w:val="21"/>
              </w:rPr>
            </w:pPr>
            <w:r w:rsidRPr="003302D7">
              <w:rPr>
                <w:rFonts w:ascii="Times New Roman" w:eastAsia="宋体" w:hAnsi="Times New Roman" w:cs="Times New Roman" w:hint="eastAsia"/>
                <w:szCs w:val="21"/>
              </w:rPr>
              <w:t>2</w:t>
            </w:r>
            <w:r w:rsidRPr="003302D7">
              <w:rPr>
                <w:rFonts w:ascii="Times New Roman" w:eastAsia="宋体" w:hAnsi="Times New Roman" w:cs="Times New Roman" w:hint="eastAsia"/>
                <w:szCs w:val="21"/>
              </w:rPr>
              <w:t>、订立本基金合同的依据是《中华人民共和国合同法》、《中华人民共和国证券投资基金法》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以下简称“《基金法》”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、《公开募集证券投资基金运作管理办法》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以下简称“《运作办法》”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、《证券投资基金销售管理办法》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以下简称“《销售办法》”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、《证券投资基金信息披露管理办法》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以下简称“《信息披露办法》”</w:t>
            </w:r>
            <w:r w:rsidRPr="003302D7">
              <w:rPr>
                <w:rFonts w:ascii="Times New Roman" w:eastAsia="宋体" w:hAnsi="Times New Roman" w:cs="Times New Roman" w:hint="eastAsia"/>
                <w:szCs w:val="21"/>
              </w:rPr>
              <w:t>)</w:t>
            </w:r>
            <w:r>
              <w:rPr>
                <w:rFonts w:hint="eastAsia"/>
              </w:rPr>
              <w:t xml:space="preserve"> </w:t>
            </w:r>
            <w:r w:rsidRPr="003302D7">
              <w:rPr>
                <w:rFonts w:ascii="Times New Roman" w:eastAsia="宋体" w:hAnsi="Times New Roman" w:cs="Times New Roman" w:hint="eastAsia"/>
                <w:szCs w:val="21"/>
              </w:rPr>
              <w:t>和其他有关法律法规。</w:t>
            </w:r>
          </w:p>
        </w:tc>
        <w:tc>
          <w:tcPr>
            <w:tcW w:w="1915" w:type="pct"/>
          </w:tcPr>
          <w:p w:rsidR="003302D7" w:rsidRPr="00F000D4" w:rsidRDefault="003302D7" w:rsidP="00425684">
            <w:pPr>
              <w:spacing w:line="360" w:lineRule="auto"/>
              <w:ind w:firstLineChars="200" w:firstLine="420"/>
              <w:rPr>
                <w:rFonts w:ascii="Times New Roman" w:eastAsia="宋体" w:hAnsi="Times New Roman" w:cs="Times New Roman"/>
                <w:szCs w:val="21"/>
              </w:rPr>
            </w:pPr>
            <w:r w:rsidRPr="003302D7">
              <w:rPr>
                <w:rFonts w:ascii="Times New Roman" w:eastAsia="宋体" w:hAnsi="Times New Roman" w:cs="Times New Roman" w:hint="eastAsia"/>
                <w:szCs w:val="21"/>
              </w:rPr>
              <w:t>2</w:t>
            </w:r>
            <w:r w:rsidRPr="003302D7">
              <w:rPr>
                <w:rFonts w:ascii="Times New Roman" w:eastAsia="宋体" w:hAnsi="Times New Roman" w:cs="Times New Roman" w:hint="eastAsia"/>
                <w:szCs w:val="21"/>
              </w:rPr>
              <w:t>、订立本基金合同的依据是《中华人民共和国合同法》、《中华人民共和国证券投资基金法》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以下简称“《基金法》”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、《公开募集证券投资基金运作管理办法》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以下简称“《运作办法》”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、《证券投资基金销售管理办法》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以下简称“《销售办法》”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、《证券投资基金信息披露管理办法》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以下简称“《信息披露办法》”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、《公开募集开放式证券投资基金流动性风险管理规定》</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以下简称“《流动性规定》”</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和其他有关法律法规。</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第二部分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释义</w:t>
            </w:r>
          </w:p>
        </w:tc>
        <w:tc>
          <w:tcPr>
            <w:tcW w:w="1626" w:type="pct"/>
          </w:tcPr>
          <w:p w:rsidR="006365BA" w:rsidRPr="006C7529" w:rsidRDefault="006365BA" w:rsidP="00E12145">
            <w:pPr>
              <w:spacing w:line="360" w:lineRule="auto"/>
              <w:ind w:firstLineChars="200" w:firstLine="420"/>
              <w:rPr>
                <w:rFonts w:ascii="Times New Roman" w:eastAsia="宋体" w:hAnsi="Times New Roman" w:cs="Times New Roman"/>
                <w:szCs w:val="21"/>
              </w:rPr>
            </w:pPr>
          </w:p>
        </w:tc>
        <w:tc>
          <w:tcPr>
            <w:tcW w:w="1915" w:type="pct"/>
          </w:tcPr>
          <w:p w:rsidR="006365BA" w:rsidRPr="00F000D4" w:rsidRDefault="006365BA" w:rsidP="00E12145">
            <w:pPr>
              <w:spacing w:line="360" w:lineRule="auto"/>
              <w:ind w:firstLineChars="200" w:firstLine="420"/>
              <w:rPr>
                <w:rFonts w:ascii="Times New Roman" w:eastAsia="宋体" w:hAnsi="Times New Roman" w:cs="Times New Roman"/>
                <w:szCs w:val="21"/>
              </w:rPr>
            </w:pPr>
            <w:r w:rsidRPr="00F000D4">
              <w:rPr>
                <w:rFonts w:ascii="Times New Roman" w:eastAsia="宋体" w:hAnsi="Times New Roman" w:cs="Times New Roman"/>
                <w:szCs w:val="21"/>
              </w:rPr>
              <w:t>新增内容如下：</w:t>
            </w:r>
          </w:p>
          <w:p w:rsidR="006365BA" w:rsidRPr="00F000D4" w:rsidRDefault="00BE68AA" w:rsidP="00C655FA">
            <w:pPr>
              <w:spacing w:line="360" w:lineRule="auto"/>
              <w:ind w:firstLineChars="200" w:firstLine="420"/>
              <w:rPr>
                <w:rFonts w:ascii="Times New Roman" w:eastAsia="宋体" w:hAnsi="Times New Roman" w:cs="Times New Roman"/>
                <w:szCs w:val="21"/>
              </w:rPr>
            </w:pPr>
            <w:r w:rsidRPr="00BE68AA">
              <w:rPr>
                <w:rFonts w:ascii="Times New Roman" w:hAnsi="Times New Roman" w:cs="Times New Roman" w:hint="eastAsia"/>
                <w:bCs/>
                <w:szCs w:val="21"/>
              </w:rPr>
              <w:t>13</w:t>
            </w:r>
            <w:r w:rsidRPr="00BE68AA">
              <w:rPr>
                <w:rFonts w:ascii="Times New Roman" w:hAnsi="Times New Roman" w:cs="Times New Roman" w:hint="eastAsia"/>
                <w:bCs/>
                <w:szCs w:val="21"/>
              </w:rPr>
              <w:t>、《流动性规定》：指中国证监会</w:t>
            </w:r>
            <w:r w:rsidRPr="00BE68AA">
              <w:rPr>
                <w:rFonts w:ascii="Times New Roman" w:hAnsi="Times New Roman" w:cs="Times New Roman" w:hint="eastAsia"/>
                <w:bCs/>
                <w:szCs w:val="21"/>
              </w:rPr>
              <w:t>2017</w:t>
            </w:r>
            <w:r w:rsidRPr="00BE68AA">
              <w:rPr>
                <w:rFonts w:ascii="Times New Roman" w:hAnsi="Times New Roman" w:cs="Times New Roman" w:hint="eastAsia"/>
                <w:bCs/>
                <w:szCs w:val="21"/>
              </w:rPr>
              <w:t>年</w:t>
            </w:r>
            <w:r w:rsidRPr="00BE68AA">
              <w:rPr>
                <w:rFonts w:ascii="Times New Roman" w:hAnsi="Times New Roman" w:cs="Times New Roman" w:hint="eastAsia"/>
                <w:bCs/>
                <w:szCs w:val="21"/>
              </w:rPr>
              <w:t>8</w:t>
            </w:r>
            <w:r w:rsidRPr="00BE68AA">
              <w:rPr>
                <w:rFonts w:ascii="Times New Roman" w:hAnsi="Times New Roman" w:cs="Times New Roman" w:hint="eastAsia"/>
                <w:bCs/>
                <w:szCs w:val="21"/>
              </w:rPr>
              <w:t>月</w:t>
            </w:r>
            <w:r w:rsidRPr="00BE68AA">
              <w:rPr>
                <w:rFonts w:ascii="Times New Roman" w:hAnsi="Times New Roman" w:cs="Times New Roman" w:hint="eastAsia"/>
                <w:bCs/>
                <w:szCs w:val="21"/>
              </w:rPr>
              <w:t>31</w:t>
            </w:r>
            <w:r w:rsidRPr="00BE68AA">
              <w:rPr>
                <w:rFonts w:ascii="Times New Roman" w:hAnsi="Times New Roman" w:cs="Times New Roman" w:hint="eastAsia"/>
                <w:bCs/>
                <w:szCs w:val="21"/>
              </w:rPr>
              <w:t>日颁布、同年</w:t>
            </w:r>
            <w:r w:rsidRPr="00BE68AA">
              <w:rPr>
                <w:rFonts w:ascii="Times New Roman" w:hAnsi="Times New Roman" w:cs="Times New Roman" w:hint="eastAsia"/>
                <w:bCs/>
                <w:szCs w:val="21"/>
              </w:rPr>
              <w:t>10</w:t>
            </w:r>
            <w:r w:rsidRPr="00BE68AA">
              <w:rPr>
                <w:rFonts w:ascii="Times New Roman" w:hAnsi="Times New Roman" w:cs="Times New Roman" w:hint="eastAsia"/>
                <w:bCs/>
                <w:szCs w:val="21"/>
              </w:rPr>
              <w:t>月</w:t>
            </w:r>
            <w:r w:rsidRPr="00BE68AA">
              <w:rPr>
                <w:rFonts w:ascii="Times New Roman" w:hAnsi="Times New Roman" w:cs="Times New Roman" w:hint="eastAsia"/>
                <w:bCs/>
                <w:szCs w:val="21"/>
              </w:rPr>
              <w:t>1</w:t>
            </w:r>
            <w:r w:rsidRPr="00BE68AA">
              <w:rPr>
                <w:rFonts w:ascii="Times New Roman" w:hAnsi="Times New Roman" w:cs="Times New Roman" w:hint="eastAsia"/>
                <w:bCs/>
                <w:szCs w:val="21"/>
              </w:rPr>
              <w:t>日实施的《公开募集开放式证券投资基金流动性风险管理规定》及颁布机关对其不时做出的修订</w:t>
            </w:r>
          </w:p>
          <w:p w:rsidR="006365BA" w:rsidRPr="00F000D4" w:rsidRDefault="00A65CA5" w:rsidP="00E12145">
            <w:pPr>
              <w:spacing w:line="360" w:lineRule="auto"/>
              <w:ind w:firstLineChars="200" w:firstLine="420"/>
              <w:rPr>
                <w:rFonts w:ascii="Times New Roman" w:eastAsia="宋体" w:hAnsi="Times New Roman" w:cs="Times New Roman"/>
                <w:szCs w:val="21"/>
              </w:rPr>
            </w:pPr>
            <w:r>
              <w:rPr>
                <w:rFonts w:ascii="Times New Roman" w:hAnsi="Times New Roman" w:cs="Times New Roman" w:hint="eastAsia"/>
                <w:bCs/>
                <w:szCs w:val="21"/>
              </w:rPr>
              <w:lastRenderedPageBreak/>
              <w:t>……</w:t>
            </w:r>
          </w:p>
          <w:p w:rsidR="006365BA" w:rsidRPr="00A65CA5" w:rsidRDefault="00C655FA" w:rsidP="00425684">
            <w:pPr>
              <w:spacing w:line="360" w:lineRule="auto"/>
              <w:ind w:firstLineChars="200" w:firstLine="420"/>
              <w:rPr>
                <w:rFonts w:ascii="Times New Roman" w:hAnsi="Times New Roman" w:cs="Times New Roman"/>
                <w:bCs/>
                <w:szCs w:val="21"/>
              </w:rPr>
            </w:pPr>
            <w:r w:rsidRPr="00F000D4">
              <w:rPr>
                <w:rFonts w:ascii="Times New Roman" w:hAnsi="Times New Roman" w:cs="Times New Roman"/>
                <w:bCs/>
                <w:szCs w:val="21"/>
              </w:rPr>
              <w:t>5</w:t>
            </w:r>
            <w:r w:rsidR="00425684">
              <w:rPr>
                <w:rFonts w:ascii="Times New Roman" w:hAnsi="Times New Roman" w:cs="Times New Roman" w:hint="eastAsia"/>
                <w:bCs/>
                <w:szCs w:val="21"/>
              </w:rPr>
              <w:t>5</w:t>
            </w:r>
            <w:r w:rsidRPr="00F000D4">
              <w:rPr>
                <w:rFonts w:ascii="Times New Roman" w:hAnsi="Times New Roman" w:cs="Times New Roman"/>
                <w:bCs/>
                <w:szCs w:val="21"/>
              </w:rPr>
              <w:t>、流动性受限资产：</w:t>
            </w:r>
            <w:r w:rsidR="00BE68AA" w:rsidRPr="00BE68AA">
              <w:rPr>
                <w:rFonts w:ascii="Times New Roman" w:hAnsi="Times New Roman" w:cs="Times New Roman" w:hint="eastAsia"/>
                <w:bCs/>
                <w:szCs w:val="21"/>
              </w:rPr>
              <w:t>指由于法律法规、监管、合同或操作障碍等原因无法以合理价格予以变现的资产，包括但不限于到期日在</w:t>
            </w:r>
            <w:r w:rsidR="00BE68AA" w:rsidRPr="00BE68AA">
              <w:rPr>
                <w:rFonts w:ascii="Times New Roman" w:hAnsi="Times New Roman" w:cs="Times New Roman" w:hint="eastAsia"/>
                <w:bCs/>
                <w:szCs w:val="21"/>
              </w:rPr>
              <w:t>10</w:t>
            </w:r>
            <w:r w:rsidR="00BE68AA" w:rsidRPr="00BE68AA">
              <w:rPr>
                <w:rFonts w:ascii="Times New Roman"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就本基金而言，指货币市场基金依法可投资的符合前述条件的资产，但中国证监会认可的特殊情形除外</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bookmarkStart w:id="2" w:name="_Toc466827091"/>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bookmarkEnd w:id="2"/>
          </w:p>
          <w:p w:rsidR="006365BA" w:rsidRPr="006C7529" w:rsidRDefault="006365BA" w:rsidP="00E12145">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五、申购和赎回的数量限制</w:t>
            </w:r>
          </w:p>
        </w:tc>
        <w:tc>
          <w:tcPr>
            <w:tcW w:w="1626" w:type="pct"/>
          </w:tcPr>
          <w:p w:rsidR="006365BA" w:rsidRPr="006C7529" w:rsidRDefault="006365BA" w:rsidP="00E12145">
            <w:pPr>
              <w:spacing w:line="360" w:lineRule="auto"/>
              <w:rPr>
                <w:rFonts w:ascii="Times New Roman" w:eastAsia="宋体" w:hAnsi="Times New Roman" w:cs="Times New Roman"/>
                <w:szCs w:val="21"/>
              </w:rPr>
            </w:pPr>
          </w:p>
        </w:tc>
        <w:tc>
          <w:tcPr>
            <w:tcW w:w="1915" w:type="pct"/>
          </w:tcPr>
          <w:p w:rsidR="006365BA" w:rsidRPr="00F000D4" w:rsidRDefault="006365BA" w:rsidP="00E12145">
            <w:pPr>
              <w:spacing w:line="360" w:lineRule="auto"/>
              <w:ind w:firstLineChars="200" w:firstLine="420"/>
              <w:rPr>
                <w:rFonts w:ascii="Times New Roman" w:eastAsia="宋体" w:hAnsi="Times New Roman" w:cs="Times New Roman"/>
                <w:szCs w:val="21"/>
                <w:u w:val="single"/>
              </w:rPr>
            </w:pPr>
            <w:r w:rsidRPr="00F000D4">
              <w:rPr>
                <w:rFonts w:ascii="Times New Roman" w:eastAsia="宋体" w:hAnsi="Times New Roman" w:cs="Times New Roman"/>
                <w:szCs w:val="21"/>
              </w:rPr>
              <w:t>新增内容如下：</w:t>
            </w:r>
          </w:p>
          <w:p w:rsidR="006365BA" w:rsidRPr="00F000D4" w:rsidRDefault="00BE68AA" w:rsidP="00425684">
            <w:pPr>
              <w:spacing w:line="360" w:lineRule="auto"/>
              <w:ind w:firstLineChars="200" w:firstLine="420"/>
              <w:rPr>
                <w:rFonts w:ascii="Times New Roman" w:eastAsia="宋体" w:hAnsi="Times New Roman" w:cs="Times New Roman"/>
                <w:szCs w:val="21"/>
              </w:rPr>
            </w:pPr>
            <w:r w:rsidRPr="00BE68AA">
              <w:rPr>
                <w:rFonts w:ascii="Times New Roman" w:hAnsi="Times New Roman" w:cs="Times New Roman" w:hint="eastAsia"/>
                <w:bCs/>
                <w:szCs w:val="21"/>
              </w:rPr>
              <w:t>6</w:t>
            </w:r>
            <w:r w:rsidRPr="00BE68AA">
              <w:rPr>
                <w:rFonts w:ascii="Times New Roman"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w:t>
            </w:r>
            <w:r w:rsidRPr="00BE68AA">
              <w:rPr>
                <w:rFonts w:ascii="Times New Roman" w:hAnsi="Times New Roman" w:cs="Times New Roman" w:hint="eastAsia"/>
                <w:bCs/>
                <w:szCs w:val="21"/>
              </w:rPr>
              <w:lastRenderedPageBreak/>
              <w:t>益。具体请参见招募说明书或相关公告。</w:t>
            </w:r>
          </w:p>
        </w:tc>
      </w:tr>
      <w:tr w:rsidR="00BE68AA" w:rsidRPr="006C7529" w:rsidTr="001F4A5A">
        <w:trPr>
          <w:jc w:val="center"/>
        </w:trPr>
        <w:tc>
          <w:tcPr>
            <w:tcW w:w="1459" w:type="pct"/>
          </w:tcPr>
          <w:p w:rsidR="00BE68AA" w:rsidRPr="006C7529" w:rsidRDefault="00BE68AA" w:rsidP="00BE68A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BE68AA" w:rsidRPr="006C7529" w:rsidRDefault="00BE68AA" w:rsidP="00BE68A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szCs w:val="21"/>
              </w:rPr>
              <w:t>六、申购和赎回的价格、费用及其用途</w:t>
            </w:r>
          </w:p>
        </w:tc>
        <w:tc>
          <w:tcPr>
            <w:tcW w:w="1626" w:type="pct"/>
          </w:tcPr>
          <w:p w:rsidR="00BE68AA" w:rsidRPr="006C7529" w:rsidRDefault="00BE68AA" w:rsidP="00BE68AA">
            <w:pPr>
              <w:spacing w:line="360" w:lineRule="auto"/>
              <w:ind w:firstLineChars="200" w:firstLine="420"/>
              <w:rPr>
                <w:rFonts w:ascii="Times New Roman" w:eastAsia="宋体" w:hAnsi="Times New Roman" w:cs="Times New Roman"/>
                <w:szCs w:val="21"/>
              </w:rPr>
            </w:pPr>
            <w:r w:rsidRPr="00BE68AA">
              <w:rPr>
                <w:rFonts w:ascii="Times New Roman" w:eastAsia="宋体" w:hAnsi="Times New Roman" w:cs="Times New Roman" w:hint="eastAsia"/>
                <w:szCs w:val="21"/>
              </w:rPr>
              <w:t>1</w:t>
            </w:r>
            <w:r w:rsidRPr="00BE68AA">
              <w:rPr>
                <w:rFonts w:ascii="Times New Roman" w:eastAsia="宋体" w:hAnsi="Times New Roman" w:cs="Times New Roman" w:hint="eastAsia"/>
                <w:szCs w:val="21"/>
              </w:rPr>
              <w:t>、本基金不收取申购费用和赎回费用</w:t>
            </w:r>
            <w:r>
              <w:rPr>
                <w:rFonts w:ascii="Times New Roman" w:eastAsia="宋体" w:hAnsi="Times New Roman" w:cs="Times New Roman" w:hint="eastAsia"/>
                <w:szCs w:val="21"/>
              </w:rPr>
              <w:t>。</w:t>
            </w:r>
          </w:p>
        </w:tc>
        <w:tc>
          <w:tcPr>
            <w:tcW w:w="1915" w:type="pct"/>
          </w:tcPr>
          <w:p w:rsidR="00BE68AA" w:rsidRPr="00F000D4" w:rsidRDefault="00BE68AA" w:rsidP="00425684">
            <w:pPr>
              <w:spacing w:line="360" w:lineRule="auto"/>
              <w:ind w:firstLineChars="200" w:firstLine="420"/>
              <w:rPr>
                <w:rFonts w:ascii="Times New Roman" w:eastAsia="宋体" w:hAnsi="Times New Roman" w:cs="Times New Roman"/>
                <w:szCs w:val="21"/>
              </w:rPr>
            </w:pPr>
            <w:r w:rsidRPr="00BE68AA">
              <w:rPr>
                <w:rFonts w:ascii="Times New Roman" w:eastAsia="宋体" w:hAnsi="Times New Roman" w:cs="Times New Roman" w:hint="eastAsia"/>
                <w:szCs w:val="21"/>
              </w:rPr>
              <w:t>1</w:t>
            </w:r>
            <w:r w:rsidRPr="00BE68AA">
              <w:rPr>
                <w:rFonts w:ascii="Times New Roman" w:eastAsia="宋体" w:hAnsi="Times New Roman" w:cs="Times New Roman" w:hint="eastAsia"/>
                <w:szCs w:val="21"/>
              </w:rPr>
              <w:t>、</w:t>
            </w:r>
            <w:r w:rsidR="006C108E" w:rsidRPr="006C108E">
              <w:rPr>
                <w:rFonts w:ascii="Times New Roman" w:eastAsia="宋体" w:hAnsi="Times New Roman" w:cs="Times New Roman" w:hint="eastAsia"/>
                <w:szCs w:val="21"/>
              </w:rPr>
              <w:t>除法律法规另有规定或基金合同另有约定外，</w:t>
            </w:r>
            <w:r w:rsidRPr="00BE68AA">
              <w:rPr>
                <w:rFonts w:ascii="Times New Roman" w:eastAsia="宋体" w:hAnsi="Times New Roman" w:cs="Times New Roman" w:hint="eastAsia"/>
                <w:szCs w:val="21"/>
              </w:rPr>
              <w:t>本基金不收取申购费用和赎回费用；当本基金前</w:t>
            </w:r>
            <w:r w:rsidRPr="00BE68AA">
              <w:rPr>
                <w:rFonts w:ascii="Times New Roman" w:eastAsia="宋体" w:hAnsi="Times New Roman" w:cs="Times New Roman" w:hint="eastAsia"/>
                <w:szCs w:val="21"/>
              </w:rPr>
              <w:t>10</w:t>
            </w:r>
            <w:r w:rsidRPr="00BE68AA">
              <w:rPr>
                <w:rFonts w:ascii="Times New Roman" w:eastAsia="宋体" w:hAnsi="Times New Roman" w:cs="Times New Roman" w:hint="eastAsia"/>
                <w:szCs w:val="21"/>
              </w:rPr>
              <w:t>名基金份额持有人的持有份额合计超过基金总份额</w:t>
            </w:r>
            <w:r w:rsidRPr="00BE68AA">
              <w:rPr>
                <w:rFonts w:ascii="Times New Roman" w:eastAsia="宋体" w:hAnsi="Times New Roman" w:cs="Times New Roman" w:hint="eastAsia"/>
                <w:szCs w:val="21"/>
              </w:rPr>
              <w:t>50%</w:t>
            </w:r>
            <w:r w:rsidRPr="00BE68AA">
              <w:rPr>
                <w:rFonts w:ascii="Times New Roman" w:eastAsia="宋体" w:hAnsi="Times New Roman" w:cs="Times New Roman" w:hint="eastAsia"/>
                <w:szCs w:val="21"/>
              </w:rPr>
              <w:t>，且本基金投资组合中现金、国债、中央银行票据、政策性金融债券以及</w:t>
            </w:r>
            <w:r w:rsidRPr="00BE68AA">
              <w:rPr>
                <w:rFonts w:ascii="Times New Roman" w:eastAsia="宋体" w:hAnsi="Times New Roman" w:cs="Times New Roman" w:hint="eastAsia"/>
                <w:szCs w:val="21"/>
              </w:rPr>
              <w:t>5</w:t>
            </w:r>
            <w:r w:rsidRPr="00BE68AA">
              <w:rPr>
                <w:rFonts w:ascii="Times New Roman" w:eastAsia="宋体" w:hAnsi="Times New Roman" w:cs="Times New Roman" w:hint="eastAsia"/>
                <w:szCs w:val="21"/>
              </w:rPr>
              <w:t>个交易日内到期的其他金融工具占基金资产净值的比例合计低于</w:t>
            </w:r>
            <w:r w:rsidRPr="00BE68AA">
              <w:rPr>
                <w:rFonts w:ascii="Times New Roman" w:eastAsia="宋体" w:hAnsi="Times New Roman" w:cs="Times New Roman" w:hint="eastAsia"/>
                <w:szCs w:val="21"/>
              </w:rPr>
              <w:t>10%</w:t>
            </w:r>
            <w:r w:rsidRPr="00BE68AA">
              <w:rPr>
                <w:rFonts w:ascii="Times New Roman" w:eastAsia="宋体" w:hAnsi="Times New Roman" w:cs="Times New Roman" w:hint="eastAsia"/>
                <w:szCs w:val="21"/>
              </w:rPr>
              <w:t>且偏离度为负时，基金管理人应当对当日单个基金份额持有人超过基金总份额</w:t>
            </w:r>
            <w:r w:rsidRPr="00BE68AA">
              <w:rPr>
                <w:rFonts w:ascii="Times New Roman" w:eastAsia="宋体" w:hAnsi="Times New Roman" w:cs="Times New Roman" w:hint="eastAsia"/>
                <w:szCs w:val="21"/>
              </w:rPr>
              <w:t>1%</w:t>
            </w:r>
            <w:r w:rsidRPr="00BE68AA">
              <w:rPr>
                <w:rFonts w:ascii="Times New Roman" w:eastAsia="宋体" w:hAnsi="Times New Roman" w:cs="Times New Roman" w:hint="eastAsia"/>
                <w:szCs w:val="21"/>
              </w:rPr>
              <w:t>以上的赎回申请征收</w:t>
            </w:r>
            <w:r w:rsidRPr="00BE68AA">
              <w:rPr>
                <w:rFonts w:ascii="Times New Roman" w:eastAsia="宋体" w:hAnsi="Times New Roman" w:cs="Times New Roman" w:hint="eastAsia"/>
                <w:szCs w:val="21"/>
              </w:rPr>
              <w:t>1%</w:t>
            </w:r>
            <w:r w:rsidRPr="00BE68AA">
              <w:rPr>
                <w:rFonts w:ascii="Times New Roman" w:eastAsia="宋体" w:hAnsi="Times New Roman" w:cs="Times New Roman" w:hint="eastAsia"/>
                <w:szCs w:val="21"/>
              </w:rPr>
              <w:t>的强制赎回费用，并将上述赎回费用全额计入基金财产。</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Pr="006C7529" w:rsidRDefault="006365BA" w:rsidP="00E12145">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七、拒绝或暂停申购的情形</w:t>
            </w:r>
          </w:p>
        </w:tc>
        <w:tc>
          <w:tcPr>
            <w:tcW w:w="1626" w:type="pct"/>
          </w:tcPr>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77BF6" w:rsidRPr="00E12145" w:rsidRDefault="00677BF6" w:rsidP="00E12145">
            <w:pPr>
              <w:spacing w:line="360" w:lineRule="auto"/>
              <w:ind w:firstLineChars="200" w:firstLine="420"/>
              <w:rPr>
                <w:rFonts w:asciiTheme="minorEastAsia" w:hAnsiTheme="minorEastAsia" w:cs="Times New Roman"/>
                <w:bCs/>
                <w:szCs w:val="21"/>
              </w:rPr>
            </w:pPr>
          </w:p>
          <w:p w:rsidR="00677BF6" w:rsidRPr="00E12145" w:rsidRDefault="00677BF6" w:rsidP="00E12145">
            <w:pPr>
              <w:spacing w:line="360" w:lineRule="auto"/>
              <w:ind w:firstLineChars="200" w:firstLine="420"/>
              <w:rPr>
                <w:rFonts w:asciiTheme="minorEastAsia" w:hAnsiTheme="minorEastAsia" w:cs="Times New Roman"/>
                <w:bCs/>
                <w:szCs w:val="21"/>
              </w:rPr>
            </w:pPr>
          </w:p>
          <w:p w:rsidR="00C655FA" w:rsidRDefault="00C655FA" w:rsidP="00C655FA">
            <w:pPr>
              <w:spacing w:line="360" w:lineRule="auto"/>
              <w:rPr>
                <w:rFonts w:asciiTheme="minorEastAsia" w:hAnsiTheme="minorEastAsia" w:cs="Times New Roman"/>
                <w:bCs/>
                <w:szCs w:val="21"/>
              </w:rPr>
            </w:pPr>
          </w:p>
          <w:p w:rsidR="00BE68AA" w:rsidRDefault="00BE68AA" w:rsidP="00C655FA">
            <w:pPr>
              <w:spacing w:line="360" w:lineRule="auto"/>
              <w:rPr>
                <w:rFonts w:asciiTheme="minorEastAsia" w:hAnsiTheme="minorEastAsia" w:cs="Times New Roman"/>
                <w:bCs/>
                <w:szCs w:val="21"/>
              </w:rPr>
            </w:pPr>
          </w:p>
          <w:p w:rsidR="00BE68AA" w:rsidRDefault="00BE68AA" w:rsidP="00C655FA">
            <w:pPr>
              <w:spacing w:line="360" w:lineRule="auto"/>
              <w:rPr>
                <w:rFonts w:asciiTheme="minorEastAsia" w:hAnsiTheme="minorEastAsia" w:cs="Times New Roman"/>
                <w:bCs/>
                <w:szCs w:val="21"/>
              </w:rPr>
            </w:pPr>
          </w:p>
          <w:p w:rsidR="006365BA" w:rsidRPr="00E12145" w:rsidRDefault="00BE68AA" w:rsidP="00E12145">
            <w:pPr>
              <w:spacing w:line="360" w:lineRule="auto"/>
              <w:ind w:firstLineChars="200" w:firstLine="420"/>
              <w:rPr>
                <w:rFonts w:asciiTheme="minorEastAsia" w:hAnsiTheme="minorEastAsia" w:cs="Times New Roman"/>
                <w:szCs w:val="21"/>
              </w:rPr>
            </w:pPr>
            <w:r w:rsidRPr="00BE68AA">
              <w:rPr>
                <w:rFonts w:asciiTheme="minorEastAsia" w:hAnsiTheme="minorEastAsia" w:hint="eastAsia"/>
                <w:bCs/>
                <w:szCs w:val="21"/>
              </w:rPr>
              <w:t>发生上述第1、2、3、4、6、8、9项暂停申购情形之一且基金管理人决定暂停接受投资人的申购申请时，基金管理人应当根据有关规定在指定媒介上刊登暂停申购公告。对于上述第7项拒绝申购的情形，基金管理人将在基金管理人网站上公布相关申购上限设定。如果投资人的申购申请被拒绝，被拒绝的申购款项将退还给投资人。在暂停申购的情况消除时，基金管理人应及时恢复申购业务的办理。</w:t>
            </w:r>
          </w:p>
        </w:tc>
        <w:tc>
          <w:tcPr>
            <w:tcW w:w="1915" w:type="pct"/>
          </w:tcPr>
          <w:p w:rsidR="00677BF6" w:rsidRPr="00E12145" w:rsidRDefault="00677BF6" w:rsidP="00BE68AA">
            <w:pPr>
              <w:spacing w:line="360" w:lineRule="auto"/>
              <w:ind w:firstLineChars="200" w:firstLine="420"/>
              <w:rPr>
                <w:rFonts w:asciiTheme="minorEastAsia" w:hAnsiTheme="minorEastAsia" w:cs="Times New Roman"/>
                <w:szCs w:val="21"/>
                <w:u w:val="single"/>
              </w:rPr>
            </w:pPr>
            <w:r w:rsidRPr="00E12145">
              <w:rPr>
                <w:rFonts w:asciiTheme="minorEastAsia" w:hAnsiTheme="minorEastAsia" w:cs="Times New Roman" w:hint="eastAsia"/>
                <w:szCs w:val="21"/>
              </w:rPr>
              <w:lastRenderedPageBreak/>
              <w:t>新增内容如下：</w:t>
            </w:r>
          </w:p>
          <w:p w:rsidR="00BE68AA" w:rsidRPr="00BE68AA" w:rsidRDefault="00425684" w:rsidP="00BE68AA">
            <w:pPr>
              <w:spacing w:line="360" w:lineRule="auto"/>
              <w:ind w:firstLineChars="200" w:firstLine="420"/>
              <w:rPr>
                <w:rFonts w:asciiTheme="minorEastAsia" w:hAnsiTheme="minorEastAsia"/>
                <w:bCs/>
                <w:szCs w:val="21"/>
              </w:rPr>
            </w:pPr>
            <w:r>
              <w:rPr>
                <w:rFonts w:asciiTheme="minorEastAsia" w:hAnsiTheme="minorEastAsia" w:hint="eastAsia"/>
                <w:bCs/>
                <w:szCs w:val="21"/>
              </w:rPr>
              <w:t>9</w:t>
            </w:r>
            <w:r w:rsidR="00BE68AA" w:rsidRPr="00BE68AA">
              <w:rPr>
                <w:rFonts w:asciiTheme="minorEastAsia" w:hAnsiTheme="minorEastAsia" w:hint="eastAsia"/>
                <w:bCs/>
                <w:szCs w:val="21"/>
              </w:rPr>
              <w:t>、当前一估值日基金资产净值50%以上的资产出现无可参考的活跃市场价格且采用估值技术仍导致公允价值存在重大不确定性时，经与基金托管人协商确认后，基金管理人应当暂停接受基金申购申请。</w:t>
            </w:r>
          </w:p>
          <w:p w:rsidR="006365BA" w:rsidRPr="00E12145" w:rsidRDefault="00425684" w:rsidP="00BE68AA">
            <w:pPr>
              <w:spacing w:line="360" w:lineRule="auto"/>
              <w:ind w:firstLineChars="200" w:firstLine="420"/>
              <w:rPr>
                <w:rFonts w:asciiTheme="minorEastAsia" w:hAnsiTheme="minorEastAsia" w:cs="Times New Roman"/>
                <w:bCs/>
                <w:szCs w:val="21"/>
              </w:rPr>
            </w:pPr>
            <w:r>
              <w:rPr>
                <w:rFonts w:asciiTheme="minorEastAsia" w:hAnsiTheme="minorEastAsia" w:hint="eastAsia"/>
                <w:bCs/>
                <w:szCs w:val="21"/>
              </w:rPr>
              <w:lastRenderedPageBreak/>
              <w:t>10</w:t>
            </w:r>
            <w:r w:rsidR="00BE68AA" w:rsidRPr="00BE68AA">
              <w:rPr>
                <w:rFonts w:asciiTheme="minorEastAsia" w:hAnsiTheme="minorEastAsia" w:hint="eastAsia"/>
                <w:bCs/>
                <w:szCs w:val="21"/>
              </w:rPr>
              <w:t>、基金管理人接受某笔或者某些申购申请有可能导致单一投资者持有基金份额的比例超过50%，或者变相规避50%集中度的情形时。出现上述情形时，基金管理人有权将上述申购申请全部或部分确认失败。</w:t>
            </w:r>
          </w:p>
          <w:p w:rsidR="006365BA" w:rsidRPr="00E12145" w:rsidRDefault="00A65CA5" w:rsidP="00E12145">
            <w:pPr>
              <w:spacing w:line="360" w:lineRule="auto"/>
              <w:ind w:firstLineChars="200" w:firstLine="420"/>
              <w:rPr>
                <w:rFonts w:asciiTheme="minorEastAsia" w:hAnsiTheme="minorEastAsia" w:cs="Times New Roman"/>
                <w:bCs/>
                <w:szCs w:val="21"/>
              </w:rPr>
            </w:pPr>
            <w:r w:rsidRPr="00E12145">
              <w:rPr>
                <w:rFonts w:asciiTheme="minorEastAsia" w:hAnsiTheme="minorEastAsia" w:cs="Times New Roman" w:hint="eastAsia"/>
                <w:bCs/>
                <w:szCs w:val="21"/>
              </w:rPr>
              <w:t>……</w:t>
            </w:r>
          </w:p>
          <w:p w:rsidR="006365BA" w:rsidRPr="00E12145" w:rsidRDefault="00BE68AA" w:rsidP="00795661">
            <w:pPr>
              <w:spacing w:line="360" w:lineRule="auto"/>
              <w:ind w:firstLineChars="200" w:firstLine="420"/>
              <w:rPr>
                <w:rFonts w:asciiTheme="minorEastAsia" w:hAnsiTheme="minorEastAsia" w:cs="Times New Roman"/>
                <w:szCs w:val="21"/>
              </w:rPr>
            </w:pPr>
            <w:r w:rsidRPr="00BE68AA">
              <w:rPr>
                <w:rFonts w:asciiTheme="minorEastAsia" w:hAnsiTheme="minorEastAsia" w:hint="eastAsia"/>
                <w:bCs/>
                <w:szCs w:val="21"/>
              </w:rPr>
              <w:t>发生上述第1、2、3、4、6、8、</w:t>
            </w:r>
            <w:r w:rsidR="00795661">
              <w:rPr>
                <w:rFonts w:asciiTheme="minorEastAsia" w:hAnsiTheme="minorEastAsia" w:hint="eastAsia"/>
                <w:bCs/>
                <w:szCs w:val="21"/>
              </w:rPr>
              <w:t>9</w:t>
            </w:r>
            <w:r w:rsidRPr="00BE68AA">
              <w:rPr>
                <w:rFonts w:asciiTheme="minorEastAsia" w:hAnsiTheme="minorEastAsia" w:hint="eastAsia"/>
                <w:bCs/>
                <w:szCs w:val="21"/>
              </w:rPr>
              <w:t>、11项暂停申购情形之一且基金管理人决定暂停接受投资人的申购申请时，基金管理人应当根据有关规定在指定媒介上刊登暂停申购公告。对于上述第7项拒绝申购的情形，基金管理人将在基金管理人网站上公布相关申购上限设定。如果投资人的申购申请被拒绝，被拒绝的申购款项将退还给投资人。在暂停申购的情况消除时，基金管理人应及时恢复申购业务的办理。</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Pr="006C7529" w:rsidRDefault="006365BA" w:rsidP="00E12145">
            <w:pPr>
              <w:spacing w:line="360" w:lineRule="auto"/>
              <w:jc w:val="center"/>
              <w:rPr>
                <w:rFonts w:ascii="Times New Roman" w:eastAsia="宋体" w:hAnsi="Times New Roman" w:cs="Times New Roman"/>
                <w:szCs w:val="21"/>
                <w:u w:val="single"/>
              </w:rPr>
            </w:pPr>
            <w:r w:rsidRPr="006C7529">
              <w:rPr>
                <w:rFonts w:ascii="Times New Roman" w:eastAsia="宋体" w:hAnsi="Times New Roman" w:cs="Times New Roman"/>
                <w:szCs w:val="21"/>
              </w:rPr>
              <w:lastRenderedPageBreak/>
              <w:t>八、暂停赎回或延缓支付赎回款项的情形</w:t>
            </w:r>
          </w:p>
        </w:tc>
        <w:tc>
          <w:tcPr>
            <w:tcW w:w="1626" w:type="pct"/>
          </w:tcPr>
          <w:p w:rsidR="006365BA" w:rsidRPr="00E12145" w:rsidRDefault="006365BA" w:rsidP="00E12145">
            <w:pPr>
              <w:spacing w:line="360" w:lineRule="auto"/>
              <w:ind w:firstLineChars="200" w:firstLine="420"/>
              <w:rPr>
                <w:rFonts w:asciiTheme="minorEastAsia" w:hAnsiTheme="minorEastAsia" w:cs="Times New Roman"/>
                <w:szCs w:val="21"/>
              </w:rPr>
            </w:pPr>
          </w:p>
        </w:tc>
        <w:tc>
          <w:tcPr>
            <w:tcW w:w="1915" w:type="pct"/>
          </w:tcPr>
          <w:p w:rsidR="00AD33B2" w:rsidRDefault="00AD33B2" w:rsidP="00AD33B2">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rsidR="00AD33B2" w:rsidRPr="00E12145" w:rsidRDefault="00AD33B2" w:rsidP="00425684">
            <w:pPr>
              <w:spacing w:line="360" w:lineRule="auto"/>
              <w:ind w:firstLineChars="200" w:firstLine="420"/>
              <w:rPr>
                <w:rFonts w:asciiTheme="minorEastAsia" w:hAnsiTheme="minorEastAsia" w:cs="Times New Roman"/>
                <w:szCs w:val="21"/>
              </w:rPr>
            </w:pPr>
            <w:r w:rsidRPr="00AD33B2">
              <w:rPr>
                <w:rFonts w:asciiTheme="minorEastAsia" w:hAnsiTheme="minorEastAsia" w:hint="eastAsia"/>
                <w:bCs/>
                <w:szCs w:val="21"/>
              </w:rPr>
              <w:lastRenderedPageBreak/>
              <w:t>8、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Default="006365BA" w:rsidP="00E12145">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九、巨额赎回的情形及处理方式</w:t>
            </w:r>
          </w:p>
          <w:p w:rsidR="00AD33B2" w:rsidRDefault="00AD33B2" w:rsidP="00E12145">
            <w:pPr>
              <w:spacing w:line="360" w:lineRule="auto"/>
              <w:jc w:val="center"/>
              <w:rPr>
                <w:rFonts w:ascii="Times New Roman" w:eastAsia="宋体" w:hAnsi="Times New Roman" w:cs="Times New Roman"/>
                <w:szCs w:val="21"/>
              </w:rPr>
            </w:pPr>
            <w:r w:rsidRPr="00AD33B2">
              <w:rPr>
                <w:rFonts w:ascii="Times New Roman" w:eastAsia="宋体" w:hAnsi="Times New Roman" w:cs="Times New Roman" w:hint="eastAsia"/>
                <w:szCs w:val="21"/>
              </w:rPr>
              <w:t>2</w:t>
            </w:r>
            <w:r w:rsidRPr="00AD33B2">
              <w:rPr>
                <w:rFonts w:ascii="Times New Roman" w:eastAsia="宋体" w:hAnsi="Times New Roman" w:cs="Times New Roman" w:hint="eastAsia"/>
                <w:szCs w:val="21"/>
              </w:rPr>
              <w:t>、巨额赎回的处理方式</w:t>
            </w:r>
          </w:p>
          <w:p w:rsidR="00AD33B2" w:rsidRPr="006C7529" w:rsidRDefault="00AD33B2" w:rsidP="00E12145">
            <w:pPr>
              <w:spacing w:line="360" w:lineRule="auto"/>
              <w:jc w:val="center"/>
              <w:rPr>
                <w:rFonts w:ascii="Times New Roman" w:eastAsia="宋体" w:hAnsi="Times New Roman" w:cs="Times New Roman"/>
                <w:b/>
                <w:szCs w:val="21"/>
              </w:rPr>
            </w:pPr>
            <w:r w:rsidRPr="00AD33B2">
              <w:rPr>
                <w:rFonts w:ascii="Times New Roman" w:eastAsia="宋体" w:hAnsi="Times New Roman" w:cs="Times New Roman" w:hint="eastAsia"/>
                <w:szCs w:val="21"/>
              </w:rPr>
              <w:t>（</w:t>
            </w:r>
            <w:r w:rsidRPr="00AD33B2">
              <w:rPr>
                <w:rFonts w:ascii="Times New Roman" w:eastAsia="宋体" w:hAnsi="Times New Roman" w:cs="Times New Roman" w:hint="eastAsia"/>
                <w:szCs w:val="21"/>
              </w:rPr>
              <w:t>2</w:t>
            </w:r>
            <w:r>
              <w:rPr>
                <w:rFonts w:ascii="Times New Roman" w:eastAsia="宋体" w:hAnsi="Times New Roman" w:cs="Times New Roman" w:hint="eastAsia"/>
                <w:szCs w:val="21"/>
              </w:rPr>
              <w:t>）部分延期赎回</w:t>
            </w:r>
          </w:p>
        </w:tc>
        <w:tc>
          <w:tcPr>
            <w:tcW w:w="1626" w:type="pct"/>
          </w:tcPr>
          <w:p w:rsidR="006365BA" w:rsidRPr="00E12145" w:rsidRDefault="006365BA" w:rsidP="00E12145">
            <w:pPr>
              <w:spacing w:line="360" w:lineRule="auto"/>
              <w:ind w:firstLineChars="200" w:firstLine="420"/>
              <w:rPr>
                <w:rFonts w:asciiTheme="minorEastAsia" w:hAnsiTheme="minorEastAsia" w:cs="Times New Roman"/>
                <w:bCs/>
                <w:szCs w:val="21"/>
              </w:rPr>
            </w:pPr>
            <w:r w:rsidRPr="00E12145" w:rsidDel="00EC378F">
              <w:rPr>
                <w:rFonts w:asciiTheme="minorEastAsia" w:hAnsiTheme="minorEastAsia" w:cs="Times New Roman"/>
                <w:bCs/>
                <w:szCs w:val="21"/>
              </w:rPr>
              <w:t xml:space="preserve"> </w:t>
            </w:r>
          </w:p>
        </w:tc>
        <w:tc>
          <w:tcPr>
            <w:tcW w:w="1915" w:type="pct"/>
          </w:tcPr>
          <w:p w:rsidR="00AD33B2" w:rsidRDefault="00AD33B2" w:rsidP="00E12145">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rsidR="006365BA" w:rsidRPr="00E12145" w:rsidRDefault="002726C6" w:rsidP="00E12145">
            <w:pPr>
              <w:spacing w:line="360" w:lineRule="auto"/>
              <w:ind w:firstLineChars="200" w:firstLine="420"/>
              <w:rPr>
                <w:rFonts w:asciiTheme="minorEastAsia" w:hAnsiTheme="minorEastAsia" w:cs="Times New Roman"/>
                <w:bCs/>
                <w:szCs w:val="21"/>
              </w:rPr>
            </w:pPr>
            <w:r w:rsidRPr="002726C6">
              <w:rPr>
                <w:rFonts w:asciiTheme="minorEastAsia" w:hAnsiTheme="minorEastAsia" w:hint="eastAsia"/>
                <w:bCs/>
                <w:szCs w:val="21"/>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bookmarkStart w:id="3" w:name="_Toc16437"/>
            <w:bookmarkStart w:id="4" w:name="_Toc11351"/>
            <w:bookmarkStart w:id="5" w:name="_Toc5477"/>
            <w:bookmarkStart w:id="6" w:name="_Toc3872"/>
            <w:bookmarkStart w:id="7" w:name="_Toc21917"/>
            <w:bookmarkStart w:id="8" w:name="_Toc2981"/>
            <w:bookmarkStart w:id="9" w:name="_Toc801"/>
            <w:bookmarkStart w:id="10" w:name="_Toc578"/>
            <w:bookmarkStart w:id="11" w:name="_Toc22538"/>
            <w:bookmarkStart w:id="12" w:name="_Toc11395"/>
            <w:bookmarkStart w:id="13" w:name="_Toc466827097"/>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sidR="00797707">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bookmarkEnd w:id="3"/>
            <w:bookmarkEnd w:id="4"/>
            <w:bookmarkEnd w:id="5"/>
            <w:bookmarkEnd w:id="6"/>
            <w:bookmarkEnd w:id="7"/>
            <w:bookmarkEnd w:id="8"/>
            <w:bookmarkEnd w:id="9"/>
            <w:bookmarkEnd w:id="10"/>
            <w:bookmarkEnd w:id="11"/>
            <w:bookmarkEnd w:id="12"/>
            <w:bookmarkEnd w:id="13"/>
          </w:p>
          <w:p w:rsidR="006365BA" w:rsidRDefault="006365BA" w:rsidP="00E12145">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四、投资限制</w:t>
            </w:r>
          </w:p>
          <w:p w:rsidR="006241CA" w:rsidRPr="003046E7" w:rsidRDefault="006241CA" w:rsidP="006241CA">
            <w:pPr>
              <w:spacing w:line="360" w:lineRule="auto"/>
              <w:ind w:firstLineChars="200" w:firstLine="420"/>
              <w:jc w:val="center"/>
              <w:rPr>
                <w:rFonts w:asciiTheme="minorEastAsia" w:hAnsiTheme="minorEastAsia"/>
                <w:bCs/>
                <w:szCs w:val="21"/>
              </w:rPr>
            </w:pPr>
            <w:r w:rsidRPr="003046E7">
              <w:rPr>
                <w:rFonts w:asciiTheme="minorEastAsia" w:hAnsiTheme="minorEastAsia" w:hint="eastAsia"/>
                <w:bCs/>
                <w:szCs w:val="21"/>
              </w:rPr>
              <w:t>1</w:t>
            </w:r>
            <w:r>
              <w:rPr>
                <w:rFonts w:asciiTheme="minorEastAsia" w:hAnsiTheme="minorEastAsia" w:hint="eastAsia"/>
                <w:bCs/>
                <w:szCs w:val="21"/>
              </w:rPr>
              <w:t>、本基金不得投资于以下金融工具</w:t>
            </w:r>
          </w:p>
          <w:p w:rsidR="006365BA" w:rsidRPr="006C7529" w:rsidRDefault="006365BA" w:rsidP="003046E7">
            <w:pPr>
              <w:spacing w:line="360" w:lineRule="auto"/>
              <w:rPr>
                <w:rFonts w:ascii="Times New Roman" w:eastAsia="宋体" w:hAnsi="Times New Roman" w:cs="Times New Roman"/>
                <w:szCs w:val="21"/>
              </w:rPr>
            </w:pPr>
          </w:p>
        </w:tc>
        <w:tc>
          <w:tcPr>
            <w:tcW w:w="1626" w:type="pct"/>
          </w:tcPr>
          <w:p w:rsidR="006365BA" w:rsidRPr="00E12145" w:rsidRDefault="006365BA" w:rsidP="00425684">
            <w:pPr>
              <w:spacing w:line="360" w:lineRule="auto"/>
              <w:ind w:firstLineChars="200" w:firstLine="420"/>
              <w:rPr>
                <w:rFonts w:asciiTheme="minorEastAsia" w:hAnsiTheme="minorEastAsia" w:cs="Times New Roman"/>
                <w:szCs w:val="21"/>
              </w:rPr>
            </w:pPr>
          </w:p>
        </w:tc>
        <w:tc>
          <w:tcPr>
            <w:tcW w:w="1915" w:type="pct"/>
          </w:tcPr>
          <w:p w:rsidR="00F6596F" w:rsidRPr="00E12145" w:rsidRDefault="00F6596F" w:rsidP="00F6596F">
            <w:pPr>
              <w:spacing w:line="360" w:lineRule="auto"/>
              <w:ind w:firstLineChars="200" w:firstLine="420"/>
              <w:rPr>
                <w:rFonts w:asciiTheme="minorEastAsia" w:hAnsiTheme="minorEastAsia" w:cs="Times New Roman"/>
                <w:szCs w:val="21"/>
                <w:u w:val="single"/>
              </w:rPr>
            </w:pPr>
            <w:r w:rsidRPr="00E12145">
              <w:rPr>
                <w:rFonts w:asciiTheme="minorEastAsia" w:hAnsiTheme="minorEastAsia" w:cs="Times New Roman" w:hint="eastAsia"/>
                <w:szCs w:val="21"/>
              </w:rPr>
              <w:t>新增内容如下：</w:t>
            </w:r>
          </w:p>
          <w:p w:rsidR="006365BA" w:rsidRPr="009554EF" w:rsidRDefault="003046E7" w:rsidP="009554EF">
            <w:pPr>
              <w:spacing w:line="360" w:lineRule="auto"/>
              <w:ind w:firstLineChars="200" w:firstLine="420"/>
              <w:rPr>
                <w:rFonts w:asciiTheme="minorEastAsia" w:hAnsiTheme="minorEastAsia" w:cs="Times New Roman"/>
                <w:bCs/>
                <w:szCs w:val="21"/>
              </w:rPr>
            </w:pPr>
            <w:r w:rsidRPr="003046E7">
              <w:rPr>
                <w:rFonts w:asciiTheme="minorEastAsia" w:hAnsiTheme="minorEastAsia" w:cs="Times New Roman" w:hint="eastAsia"/>
                <w:bCs/>
                <w:szCs w:val="21"/>
              </w:rPr>
              <w:t>本基金拟投资于主体信用评级低于AA+的商业银行的银行存款与同业存单的，应当经基金管理人董事会审议批准，相关交易应当事先征得基金托管人的同意，并作为重大事项履行信息披露程序。</w:t>
            </w:r>
          </w:p>
        </w:tc>
      </w:tr>
      <w:tr w:rsidR="006241CA" w:rsidRPr="006C7529" w:rsidTr="001F4A5A">
        <w:trPr>
          <w:jc w:val="center"/>
        </w:trPr>
        <w:tc>
          <w:tcPr>
            <w:tcW w:w="1459" w:type="pct"/>
          </w:tcPr>
          <w:p w:rsidR="006241CA" w:rsidRPr="006C7529" w:rsidRDefault="006241CA" w:rsidP="006241C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p>
          <w:p w:rsidR="006241CA" w:rsidRDefault="006241CA" w:rsidP="006241CA">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四、投资限制</w:t>
            </w:r>
          </w:p>
          <w:p w:rsidR="006241CA" w:rsidRPr="006241CA" w:rsidRDefault="006241CA" w:rsidP="00E12145">
            <w:pPr>
              <w:spacing w:line="360" w:lineRule="auto"/>
              <w:jc w:val="center"/>
              <w:rPr>
                <w:rFonts w:ascii="Times New Roman" w:eastAsia="宋体" w:hAnsi="Times New Roman" w:cs="Times New Roman"/>
                <w:b/>
                <w:szCs w:val="21"/>
              </w:rPr>
            </w:pPr>
            <w:r w:rsidRPr="006241CA">
              <w:rPr>
                <w:rFonts w:ascii="Times New Roman" w:eastAsia="宋体" w:hAnsi="Times New Roman" w:cs="Times New Roman" w:hint="eastAsia"/>
                <w:szCs w:val="21"/>
              </w:rPr>
              <w:t>2</w:t>
            </w:r>
            <w:r w:rsidRPr="006241CA">
              <w:rPr>
                <w:rFonts w:ascii="Times New Roman" w:eastAsia="宋体" w:hAnsi="Times New Roman" w:cs="Times New Roman" w:hint="eastAsia"/>
                <w:szCs w:val="21"/>
              </w:rPr>
              <w:t>、组合限制</w:t>
            </w:r>
          </w:p>
        </w:tc>
        <w:tc>
          <w:tcPr>
            <w:tcW w:w="1626" w:type="pct"/>
          </w:tcPr>
          <w:p w:rsidR="006241CA" w:rsidRPr="003046E7" w:rsidRDefault="006241CA" w:rsidP="00731DAD">
            <w:pPr>
              <w:spacing w:line="360" w:lineRule="auto"/>
              <w:ind w:firstLineChars="200" w:firstLine="420"/>
              <w:rPr>
                <w:rFonts w:asciiTheme="minorEastAsia" w:hAnsiTheme="minorEastAsia"/>
                <w:bCs/>
                <w:szCs w:val="21"/>
              </w:rPr>
            </w:pPr>
          </w:p>
        </w:tc>
        <w:tc>
          <w:tcPr>
            <w:tcW w:w="1915" w:type="pct"/>
          </w:tcPr>
          <w:p w:rsidR="00425684" w:rsidRDefault="00425684" w:rsidP="00425684">
            <w:pPr>
              <w:spacing w:line="360" w:lineRule="auto"/>
              <w:ind w:firstLineChars="200" w:firstLine="420"/>
              <w:rPr>
                <w:rFonts w:asciiTheme="minorEastAsia" w:hAnsiTheme="minorEastAsia"/>
                <w:bCs/>
                <w:szCs w:val="21"/>
              </w:rPr>
            </w:pPr>
            <w:r w:rsidRPr="00790B01">
              <w:rPr>
                <w:rFonts w:asciiTheme="minorEastAsia" w:hAnsiTheme="minorEastAsia" w:hint="eastAsia"/>
                <w:bCs/>
                <w:szCs w:val="21"/>
              </w:rPr>
              <w:t>新增内容如下</w:t>
            </w:r>
            <w:r>
              <w:rPr>
                <w:rFonts w:asciiTheme="minorEastAsia" w:hAnsiTheme="minorEastAsia" w:hint="eastAsia"/>
                <w:bCs/>
                <w:szCs w:val="21"/>
              </w:rPr>
              <w:t>:</w:t>
            </w:r>
          </w:p>
          <w:p w:rsidR="00425684" w:rsidRPr="00425684" w:rsidRDefault="00425684" w:rsidP="00425684">
            <w:pPr>
              <w:spacing w:line="360" w:lineRule="auto"/>
              <w:ind w:firstLineChars="200" w:firstLine="420"/>
              <w:rPr>
                <w:rFonts w:asciiTheme="minorEastAsia" w:hAnsiTheme="minorEastAsia"/>
                <w:bCs/>
                <w:szCs w:val="21"/>
              </w:rPr>
            </w:pPr>
            <w:r w:rsidRPr="00425684">
              <w:rPr>
                <w:rFonts w:asciiTheme="minorEastAsia" w:hAnsiTheme="minorEastAsia" w:hint="eastAsia"/>
                <w:bCs/>
                <w:szCs w:val="21"/>
              </w:rPr>
              <w:t>（9）本基金管理人管理的全部货币市场基金投资于同一商业银行的银行存款及其发行的同业存单与债券，不得超过该商业银行最近一个季度末净资产的10%；</w:t>
            </w:r>
          </w:p>
          <w:p w:rsidR="00425684" w:rsidRPr="00425684" w:rsidRDefault="00425684" w:rsidP="00425684">
            <w:pPr>
              <w:spacing w:line="360" w:lineRule="auto"/>
              <w:ind w:firstLineChars="200" w:firstLine="420"/>
              <w:rPr>
                <w:rFonts w:asciiTheme="minorEastAsia" w:hAnsiTheme="minorEastAsia"/>
                <w:bCs/>
                <w:szCs w:val="21"/>
              </w:rPr>
            </w:pPr>
            <w:r w:rsidRPr="00425684">
              <w:rPr>
                <w:rFonts w:asciiTheme="minorEastAsia" w:hAnsiTheme="minorEastAsia" w:hint="eastAsia"/>
                <w:bCs/>
                <w:szCs w:val="21"/>
              </w:rPr>
              <w:t>（10）当本基金前10 名份额持有人的持有份额合计超过基金总份额的50%时，本基金投资组合的平均剩余期限不得超过60 天，平均剩余存续期不得超过120天；投资组合中现金、国债、中央银行票据、政策性金融债券以及5 个交易日内到期的其他金融工具占基金资产净值的比</w:t>
            </w:r>
            <w:r w:rsidRPr="00425684">
              <w:rPr>
                <w:rFonts w:asciiTheme="minorEastAsia" w:hAnsiTheme="minorEastAsia" w:hint="eastAsia"/>
                <w:bCs/>
                <w:szCs w:val="21"/>
              </w:rPr>
              <w:lastRenderedPageBreak/>
              <w:t>例合计不得低于30%；</w:t>
            </w:r>
          </w:p>
          <w:p w:rsidR="00425684" w:rsidRPr="00425684" w:rsidRDefault="00425684" w:rsidP="00425684">
            <w:pPr>
              <w:spacing w:line="360" w:lineRule="auto"/>
              <w:ind w:firstLineChars="200" w:firstLine="420"/>
              <w:rPr>
                <w:rFonts w:asciiTheme="minorEastAsia" w:hAnsiTheme="minorEastAsia"/>
                <w:bCs/>
                <w:szCs w:val="21"/>
              </w:rPr>
            </w:pPr>
            <w:r w:rsidRPr="00425684">
              <w:rPr>
                <w:rFonts w:asciiTheme="minorEastAsia" w:hAnsiTheme="minorEastAsia" w:hint="eastAsia"/>
                <w:bCs/>
                <w:szCs w:val="21"/>
              </w:rPr>
              <w:t>（11）当本基金前10 名份额持有人的持有份额合计超过基金总份额的20%时，本基金投资组合的平均剩余期限不得超过90 天，平均剩余存续期不得超过180天；投资组合中现金、国债、中央银行票据、政策性金融债券以及5 个交易日内到期的其他金融工具占基金资产净值的比例合计不得低于20%；</w:t>
            </w:r>
          </w:p>
          <w:p w:rsidR="00425684" w:rsidRPr="00425684" w:rsidRDefault="00425684" w:rsidP="00425684">
            <w:pPr>
              <w:spacing w:line="360" w:lineRule="auto"/>
              <w:ind w:firstLineChars="200" w:firstLine="420"/>
              <w:rPr>
                <w:rFonts w:asciiTheme="minorEastAsia" w:hAnsiTheme="minorEastAsia"/>
                <w:bCs/>
                <w:szCs w:val="21"/>
              </w:rPr>
            </w:pPr>
            <w:r w:rsidRPr="00425684">
              <w:rPr>
                <w:rFonts w:asciiTheme="minorEastAsia" w:hAnsiTheme="minorEastAsia" w:hint="eastAsia"/>
                <w:bCs/>
                <w:szCs w:val="21"/>
              </w:rPr>
              <w:t>（12）本基金投资于主体信用评级低于AAA 的机构发行的金融工具占基金资产净值的比例合计不得超过10%，其中单一机构发行的金融工具占基金资产净值的比例合计不得超过2%；前述金融工具包括债券、非金融企业债务融资工具、银行存款、同业存单、相关机构作为原始权益人的资产支持证券及中国证监会认定的其他品种；</w:t>
            </w:r>
          </w:p>
          <w:p w:rsidR="00425684" w:rsidRPr="00425684" w:rsidRDefault="00425684" w:rsidP="00425684">
            <w:pPr>
              <w:spacing w:line="360" w:lineRule="auto"/>
              <w:ind w:firstLineChars="200" w:firstLine="420"/>
              <w:rPr>
                <w:rFonts w:asciiTheme="minorEastAsia" w:hAnsiTheme="minorEastAsia"/>
                <w:bCs/>
                <w:szCs w:val="21"/>
              </w:rPr>
            </w:pPr>
            <w:r w:rsidRPr="00425684">
              <w:rPr>
                <w:rFonts w:asciiTheme="minorEastAsia" w:hAnsiTheme="minorEastAsia" w:hint="eastAsia"/>
                <w:bCs/>
                <w:szCs w:val="21"/>
              </w:rPr>
              <w:t>（13）本基金主动投资于流动性受限资产的</w:t>
            </w:r>
            <w:r w:rsidRPr="00425684">
              <w:rPr>
                <w:rFonts w:asciiTheme="minorEastAsia" w:hAnsiTheme="minorEastAsia" w:hint="eastAsia"/>
                <w:bCs/>
                <w:szCs w:val="21"/>
              </w:rPr>
              <w:lastRenderedPageBreak/>
              <w:t>市值合计不得超过基金资产净值的 10%；因证券市场波动、基金规模变动等基金管理人之外的因素致使基金不符合前款所规定比例限制的，基金管理人不得主动新增流动性受限资产的投资；</w:t>
            </w:r>
          </w:p>
          <w:p w:rsidR="006241CA" w:rsidRPr="003046E7" w:rsidRDefault="00425684" w:rsidP="00425684">
            <w:pPr>
              <w:spacing w:line="360" w:lineRule="auto"/>
              <w:ind w:firstLineChars="200" w:firstLine="420"/>
              <w:rPr>
                <w:rFonts w:asciiTheme="minorEastAsia" w:hAnsiTheme="minorEastAsia"/>
                <w:bCs/>
                <w:szCs w:val="21"/>
              </w:rPr>
            </w:pPr>
            <w:r w:rsidRPr="00425684">
              <w:rPr>
                <w:rFonts w:asciiTheme="minorEastAsia" w:hAnsiTheme="minorEastAsia" w:hint="eastAsia"/>
                <w:bCs/>
                <w:szCs w:val="21"/>
              </w:rPr>
              <w:t>（14）本基金与私募类证券资管产品及中国证监会认定的其他主体为交易对手开展逆回购交易的，可接受质押品的资质要求应当与本基金合同约定的投资范围保持一致；</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bookmarkStart w:id="14" w:name="_Toc17782"/>
            <w:bookmarkStart w:id="15" w:name="_Toc7802"/>
            <w:bookmarkStart w:id="16" w:name="_Toc19714"/>
            <w:bookmarkStart w:id="17" w:name="_Toc31917"/>
            <w:bookmarkStart w:id="18" w:name="_Toc27832"/>
            <w:bookmarkStart w:id="19" w:name="_Toc871"/>
            <w:bookmarkStart w:id="20" w:name="_Toc466827099"/>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四</w:t>
            </w:r>
            <w:r w:rsidRPr="006C7529">
              <w:rPr>
                <w:rFonts w:ascii="Times New Roman" w:eastAsia="宋体" w:hAnsi="Times New Roman" w:cs="Times New Roman"/>
                <w:b/>
                <w:szCs w:val="21"/>
              </w:rPr>
              <w:t>部分</w:t>
            </w:r>
            <w:r w:rsidR="00797707">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基金资产估值</w:t>
            </w:r>
            <w:bookmarkEnd w:id="14"/>
            <w:bookmarkEnd w:id="15"/>
            <w:bookmarkEnd w:id="16"/>
            <w:bookmarkEnd w:id="17"/>
            <w:bookmarkEnd w:id="18"/>
            <w:bookmarkEnd w:id="19"/>
            <w:bookmarkEnd w:id="20"/>
          </w:p>
          <w:p w:rsidR="006365BA" w:rsidRPr="006C7529" w:rsidRDefault="006365BA" w:rsidP="00E12145">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六、暂停估值的情形</w:t>
            </w:r>
          </w:p>
        </w:tc>
        <w:tc>
          <w:tcPr>
            <w:tcW w:w="1626" w:type="pct"/>
          </w:tcPr>
          <w:p w:rsidR="006365BA" w:rsidRPr="00E12145" w:rsidRDefault="006365BA" w:rsidP="00E12145">
            <w:pPr>
              <w:spacing w:line="360" w:lineRule="auto"/>
              <w:rPr>
                <w:rFonts w:asciiTheme="minorEastAsia" w:hAnsiTheme="minorEastAsia" w:cs="Times New Roman"/>
                <w:szCs w:val="21"/>
              </w:rPr>
            </w:pPr>
          </w:p>
        </w:tc>
        <w:tc>
          <w:tcPr>
            <w:tcW w:w="1915" w:type="pct"/>
          </w:tcPr>
          <w:p w:rsidR="006365BA" w:rsidRPr="00E12145" w:rsidRDefault="006365BA" w:rsidP="00E12145">
            <w:pPr>
              <w:spacing w:line="360" w:lineRule="auto"/>
              <w:rPr>
                <w:rFonts w:asciiTheme="minorEastAsia" w:hAnsiTheme="minorEastAsia" w:cs="Times New Roman"/>
                <w:bCs/>
                <w:szCs w:val="21"/>
                <w:u w:val="single"/>
              </w:rPr>
            </w:pPr>
            <w:r w:rsidRPr="00E12145">
              <w:rPr>
                <w:rFonts w:asciiTheme="minorEastAsia" w:hAnsiTheme="minorEastAsia" w:cs="Times New Roman"/>
                <w:bCs/>
                <w:szCs w:val="21"/>
              </w:rPr>
              <w:t xml:space="preserve">    </w:t>
            </w:r>
            <w:r w:rsidRPr="00E12145">
              <w:rPr>
                <w:rFonts w:asciiTheme="minorEastAsia" w:hAnsiTheme="minorEastAsia" w:cs="Times New Roman" w:hint="eastAsia"/>
                <w:bCs/>
                <w:szCs w:val="21"/>
              </w:rPr>
              <w:t>新增内容如下：</w:t>
            </w:r>
          </w:p>
          <w:p w:rsidR="006365BA" w:rsidRPr="00E12145" w:rsidRDefault="001D0B44" w:rsidP="005E73CB">
            <w:pPr>
              <w:spacing w:line="360" w:lineRule="auto"/>
              <w:ind w:firstLineChars="200" w:firstLine="420"/>
              <w:rPr>
                <w:rFonts w:asciiTheme="minorEastAsia" w:hAnsiTheme="minorEastAsia" w:cs="Times New Roman"/>
                <w:bCs/>
                <w:szCs w:val="21"/>
              </w:rPr>
            </w:pPr>
            <w:r w:rsidRPr="001D0B44">
              <w:rPr>
                <w:rFonts w:asciiTheme="minorEastAsia" w:hAnsiTheme="minorEastAsia" w:cs="Times New Roman" w:hint="eastAsia"/>
                <w:bCs/>
                <w:szCs w:val="21"/>
              </w:rPr>
              <w:t>4、当前一估值日基金资产净值50%以上的资产出现无可参考的活跃市场价格且采用估值技术仍导致公允价值存在重大不确定性时，经与基金托管人协商</w:t>
            </w:r>
            <w:r w:rsidR="005E73CB">
              <w:rPr>
                <w:rFonts w:asciiTheme="minorEastAsia" w:hAnsiTheme="minorEastAsia" w:cs="Times New Roman" w:hint="eastAsia"/>
                <w:bCs/>
                <w:szCs w:val="21"/>
              </w:rPr>
              <w:t>确认后</w:t>
            </w:r>
            <w:r w:rsidRPr="001D0B44">
              <w:rPr>
                <w:rFonts w:asciiTheme="minorEastAsia" w:hAnsiTheme="minorEastAsia" w:cs="Times New Roman" w:hint="eastAsia"/>
                <w:bCs/>
                <w:szCs w:val="21"/>
              </w:rPr>
              <w:t>，基金管理人应当暂停估值；</w:t>
            </w:r>
          </w:p>
        </w:tc>
      </w:tr>
      <w:tr w:rsidR="00417D25" w:rsidRPr="006C7529" w:rsidTr="001F4A5A">
        <w:trPr>
          <w:jc w:val="center"/>
        </w:trPr>
        <w:tc>
          <w:tcPr>
            <w:tcW w:w="1459" w:type="pct"/>
          </w:tcPr>
          <w:p w:rsidR="00417D25" w:rsidRDefault="00417D25" w:rsidP="00E12145">
            <w:pPr>
              <w:spacing w:line="360" w:lineRule="auto"/>
              <w:jc w:val="center"/>
              <w:rPr>
                <w:rFonts w:ascii="Times New Roman" w:eastAsia="宋体" w:hAnsi="Times New Roman" w:cs="Times New Roman"/>
                <w:b/>
                <w:szCs w:val="21"/>
              </w:rPr>
            </w:pPr>
            <w:r w:rsidRPr="00417D25">
              <w:rPr>
                <w:rFonts w:ascii="Times New Roman" w:eastAsia="宋体" w:hAnsi="Times New Roman" w:cs="Times New Roman" w:hint="eastAsia"/>
                <w:b/>
                <w:szCs w:val="21"/>
              </w:rPr>
              <w:t>第十八部分</w:t>
            </w:r>
            <w:r w:rsidRPr="00417D25">
              <w:rPr>
                <w:rFonts w:ascii="Times New Roman" w:eastAsia="宋体" w:hAnsi="Times New Roman" w:cs="Times New Roman" w:hint="eastAsia"/>
                <w:b/>
                <w:szCs w:val="21"/>
              </w:rPr>
              <w:t xml:space="preserve">  </w:t>
            </w:r>
            <w:r w:rsidRPr="00417D25">
              <w:rPr>
                <w:rFonts w:ascii="Times New Roman" w:eastAsia="宋体" w:hAnsi="Times New Roman" w:cs="Times New Roman" w:hint="eastAsia"/>
                <w:b/>
                <w:szCs w:val="21"/>
              </w:rPr>
              <w:t>基金的信息披露</w:t>
            </w:r>
          </w:p>
          <w:p w:rsidR="00417D25" w:rsidRPr="001D0B44" w:rsidRDefault="00417D25" w:rsidP="00E12145">
            <w:pPr>
              <w:spacing w:line="360" w:lineRule="auto"/>
              <w:jc w:val="center"/>
              <w:rPr>
                <w:rFonts w:ascii="Times New Roman" w:eastAsia="宋体" w:hAnsi="Times New Roman" w:cs="Times New Roman"/>
                <w:b/>
                <w:szCs w:val="21"/>
              </w:rPr>
            </w:pPr>
          </w:p>
        </w:tc>
        <w:tc>
          <w:tcPr>
            <w:tcW w:w="1626" w:type="pct"/>
          </w:tcPr>
          <w:p w:rsidR="00417D25" w:rsidRPr="001D0B44" w:rsidRDefault="00417D25" w:rsidP="00417D25">
            <w:pPr>
              <w:spacing w:line="360" w:lineRule="auto"/>
              <w:ind w:firstLineChars="200" w:firstLine="420"/>
              <w:rPr>
                <w:rFonts w:asciiTheme="minorEastAsia" w:hAnsiTheme="minorEastAsia" w:cs="Times New Roman"/>
                <w:szCs w:val="21"/>
              </w:rPr>
            </w:pPr>
            <w:r w:rsidRPr="00417D25">
              <w:rPr>
                <w:rFonts w:asciiTheme="minorEastAsia" w:hAnsiTheme="minorEastAsia" w:cs="Times New Roman" w:hint="eastAsia"/>
                <w:szCs w:val="21"/>
              </w:rPr>
              <w:t>一、本基金的信息披露应符合《基金法》、《运作办法》、《信息披露办法》、《基金合同》及其他有关规定。</w:t>
            </w:r>
          </w:p>
        </w:tc>
        <w:tc>
          <w:tcPr>
            <w:tcW w:w="1915" w:type="pct"/>
          </w:tcPr>
          <w:p w:rsidR="00417D25" w:rsidRPr="001D0B44" w:rsidRDefault="00417D25" w:rsidP="001D0B44">
            <w:pPr>
              <w:spacing w:line="360" w:lineRule="auto"/>
              <w:ind w:firstLineChars="200" w:firstLine="420"/>
              <w:rPr>
                <w:rFonts w:asciiTheme="minorEastAsia" w:hAnsiTheme="minorEastAsia" w:cs="Times New Roman"/>
                <w:bCs/>
                <w:szCs w:val="21"/>
              </w:rPr>
            </w:pPr>
            <w:r w:rsidRPr="00417D25">
              <w:rPr>
                <w:rFonts w:asciiTheme="minorEastAsia" w:hAnsiTheme="minorEastAsia" w:cs="Times New Roman" w:hint="eastAsia"/>
                <w:bCs/>
                <w:szCs w:val="21"/>
              </w:rPr>
              <w:t>一、本基金的信息披露应符合《基金法》、《运作办法》、《信息披露办法》、《管理办法》、《流动性规定》、《基金合同》及其他有关规定。</w:t>
            </w:r>
          </w:p>
        </w:tc>
      </w:tr>
      <w:tr w:rsidR="00797707" w:rsidRPr="006C7529" w:rsidTr="001F4A5A">
        <w:trPr>
          <w:jc w:val="center"/>
        </w:trPr>
        <w:tc>
          <w:tcPr>
            <w:tcW w:w="1459" w:type="pct"/>
          </w:tcPr>
          <w:p w:rsidR="006365BA" w:rsidRPr="00A8233D" w:rsidRDefault="006365BA" w:rsidP="00417D25">
            <w:pPr>
              <w:jc w:val="center"/>
            </w:pPr>
            <w:bookmarkStart w:id="21" w:name="_Toc93226151"/>
            <w:bookmarkStart w:id="22" w:name="_Toc92662709"/>
            <w:bookmarkStart w:id="23" w:name="_Toc3056"/>
            <w:bookmarkStart w:id="24" w:name="_Toc193"/>
            <w:bookmarkStart w:id="25" w:name="_Toc141703898"/>
            <w:bookmarkStart w:id="26" w:name="_Toc139991748"/>
            <w:bookmarkStart w:id="27" w:name="_Toc128310501"/>
            <w:bookmarkStart w:id="28" w:name="_Toc1421"/>
            <w:bookmarkStart w:id="29" w:name="_Toc8512"/>
            <w:bookmarkStart w:id="30" w:name="_Toc11049"/>
            <w:bookmarkStart w:id="31" w:name="_Toc1173"/>
            <w:bookmarkStart w:id="32" w:name="_Toc12028"/>
            <w:bookmarkStart w:id="33" w:name="_Toc31866"/>
            <w:bookmarkStart w:id="34" w:name="_Toc29289"/>
            <w:bookmarkStart w:id="35" w:name="_Toc11802"/>
            <w:bookmarkStart w:id="36" w:name="_Toc466827103"/>
            <w:r w:rsidRPr="00E12145">
              <w:rPr>
                <w:rFonts w:hint="eastAsia"/>
                <w:b/>
              </w:rPr>
              <w:lastRenderedPageBreak/>
              <w:t>第十八部分</w:t>
            </w:r>
            <w:r w:rsidRPr="00E12145">
              <w:rPr>
                <w:b/>
              </w:rPr>
              <w:t xml:space="preserve">  </w:t>
            </w:r>
            <w:r w:rsidRPr="00E12145">
              <w:rPr>
                <w:rFonts w:hint="eastAsia"/>
                <w:b/>
              </w:rPr>
              <w:t>基金</w:t>
            </w:r>
            <w:bookmarkEnd w:id="21"/>
            <w:bookmarkEnd w:id="22"/>
            <w:r w:rsidRPr="00E12145">
              <w:rPr>
                <w:rFonts w:hint="eastAsia"/>
                <w:b/>
              </w:rPr>
              <w:t>的信息披露</w:t>
            </w:r>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6365BA" w:rsidRPr="006C7529" w:rsidRDefault="006365BA" w:rsidP="00E12145">
            <w:pPr>
              <w:spacing w:line="360" w:lineRule="auto"/>
              <w:jc w:val="center"/>
              <w:rPr>
                <w:rFonts w:ascii="Times New Roman" w:hAnsi="Times New Roman" w:cs="Times New Roman"/>
                <w:szCs w:val="21"/>
              </w:rPr>
            </w:pPr>
            <w:r w:rsidRPr="006C7529">
              <w:rPr>
                <w:rFonts w:ascii="Times New Roman" w:hAnsi="Times New Roman" w:cs="Times New Roman"/>
                <w:szCs w:val="21"/>
              </w:rPr>
              <w:t>五、公开披露的基金信息</w:t>
            </w:r>
          </w:p>
          <w:p w:rsidR="006365BA" w:rsidRPr="006C7529" w:rsidRDefault="00417D25" w:rsidP="00417D25">
            <w:pPr>
              <w:spacing w:line="360" w:lineRule="auto"/>
              <w:jc w:val="center"/>
              <w:rPr>
                <w:rFonts w:ascii="Times New Roman" w:eastAsia="宋体" w:hAnsi="Times New Roman" w:cs="Times New Roman"/>
                <w:szCs w:val="21"/>
              </w:rPr>
            </w:pPr>
            <w:r w:rsidRPr="00417D25">
              <w:rPr>
                <w:rFonts w:ascii="Times New Roman" w:eastAsia="宋体" w:hAnsi="Times New Roman" w:cs="Times New Roman" w:hint="eastAsia"/>
                <w:bCs/>
                <w:szCs w:val="21"/>
              </w:rPr>
              <w:t>（五）基金定期报告，包括基金年度报告、基金半年度报告和基金季度报告</w:t>
            </w:r>
          </w:p>
        </w:tc>
        <w:tc>
          <w:tcPr>
            <w:tcW w:w="1626" w:type="pct"/>
          </w:tcPr>
          <w:p w:rsidR="00F6596F" w:rsidRPr="008001FB" w:rsidRDefault="00F6596F" w:rsidP="00F6596F">
            <w:pPr>
              <w:spacing w:line="360" w:lineRule="auto"/>
              <w:ind w:firstLineChars="200" w:firstLine="420"/>
              <w:rPr>
                <w:rFonts w:ascii="Times New Roman" w:eastAsia="宋体" w:hAnsi="Times New Roman" w:cs="Times New Roman"/>
                <w:bCs/>
                <w:strike/>
                <w:szCs w:val="21"/>
              </w:rPr>
            </w:pPr>
          </w:p>
          <w:p w:rsidR="006365BA" w:rsidRPr="008001FB" w:rsidRDefault="006365BA" w:rsidP="00E12145">
            <w:pPr>
              <w:spacing w:line="360" w:lineRule="auto"/>
              <w:ind w:firstLineChars="200" w:firstLine="420"/>
              <w:rPr>
                <w:rFonts w:ascii="Times New Roman" w:eastAsia="宋体" w:hAnsi="Times New Roman" w:cs="Times New Roman"/>
                <w:bCs/>
                <w:strike/>
                <w:szCs w:val="21"/>
              </w:rPr>
            </w:pPr>
          </w:p>
        </w:tc>
        <w:tc>
          <w:tcPr>
            <w:tcW w:w="1915" w:type="pct"/>
          </w:tcPr>
          <w:p w:rsidR="00077C65" w:rsidRPr="00F000D4" w:rsidRDefault="00077C65" w:rsidP="00077C65">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417D25" w:rsidRPr="00417D25" w:rsidRDefault="00417D25" w:rsidP="00417D25">
            <w:pPr>
              <w:spacing w:line="360" w:lineRule="auto"/>
              <w:ind w:firstLineChars="200" w:firstLine="420"/>
              <w:rPr>
                <w:rFonts w:ascii="Times New Roman" w:eastAsia="宋体" w:hAnsi="Times New Roman" w:cs="Times New Roman"/>
                <w:bCs/>
                <w:szCs w:val="21"/>
              </w:rPr>
            </w:pPr>
            <w:r w:rsidRPr="00417D25">
              <w:rPr>
                <w:rFonts w:ascii="Times New Roman" w:eastAsia="宋体" w:hAnsi="Times New Roman" w:cs="Times New Roman" w:hint="eastAsia"/>
                <w:bCs/>
                <w:szCs w:val="21"/>
              </w:rPr>
              <w:t>如报告期内出现单一投资者持有基金份额达到或超过基金总份额</w:t>
            </w:r>
            <w:r w:rsidRPr="00417D25">
              <w:rPr>
                <w:rFonts w:ascii="Times New Roman" w:eastAsia="宋体" w:hAnsi="Times New Roman" w:cs="Times New Roman" w:hint="eastAsia"/>
                <w:bCs/>
                <w:szCs w:val="21"/>
              </w:rPr>
              <w:t>20%</w:t>
            </w:r>
            <w:r w:rsidRPr="00417D25">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417D25" w:rsidRPr="00417D25" w:rsidRDefault="00417D25" w:rsidP="00417D25">
            <w:pPr>
              <w:spacing w:line="360" w:lineRule="auto"/>
              <w:ind w:firstLineChars="200" w:firstLine="420"/>
              <w:rPr>
                <w:rFonts w:ascii="Times New Roman" w:eastAsia="宋体" w:hAnsi="Times New Roman" w:cs="Times New Roman"/>
                <w:bCs/>
                <w:szCs w:val="21"/>
              </w:rPr>
            </w:pPr>
            <w:r w:rsidRPr="00417D25">
              <w:rPr>
                <w:rFonts w:ascii="Times New Roman" w:eastAsia="宋体" w:hAnsi="Times New Roman" w:cs="Times New Roman" w:hint="eastAsia"/>
                <w:bCs/>
                <w:szCs w:val="21"/>
              </w:rPr>
              <w:t>基金管理人应当在基金年度报告和半年度报告中披露基金组合资产情况及其流动性风险分析等。</w:t>
            </w:r>
          </w:p>
          <w:p w:rsidR="006365BA" w:rsidRPr="00F000D4" w:rsidRDefault="00417D25" w:rsidP="00417D25">
            <w:pPr>
              <w:spacing w:line="360" w:lineRule="auto"/>
              <w:ind w:firstLineChars="200" w:firstLine="420"/>
              <w:rPr>
                <w:rFonts w:ascii="Times New Roman" w:eastAsia="宋体" w:hAnsi="Times New Roman" w:cs="Times New Roman"/>
                <w:bCs/>
                <w:szCs w:val="21"/>
              </w:rPr>
            </w:pPr>
            <w:r w:rsidRPr="00417D25">
              <w:rPr>
                <w:rFonts w:ascii="Times New Roman" w:eastAsia="宋体" w:hAnsi="Times New Roman" w:cs="Times New Roman" w:hint="eastAsia"/>
                <w:bCs/>
                <w:szCs w:val="21"/>
              </w:rPr>
              <w:t>基金管理人应当在年度报告、半年度报告中，至少披露报告期末基金前</w:t>
            </w:r>
            <w:r w:rsidRPr="00417D25">
              <w:rPr>
                <w:rFonts w:ascii="Times New Roman" w:eastAsia="宋体" w:hAnsi="Times New Roman" w:cs="Times New Roman" w:hint="eastAsia"/>
                <w:bCs/>
                <w:szCs w:val="21"/>
              </w:rPr>
              <w:t>10</w:t>
            </w:r>
            <w:r w:rsidRPr="00417D25">
              <w:rPr>
                <w:rFonts w:ascii="Times New Roman" w:eastAsia="宋体" w:hAnsi="Times New Roman" w:cs="Times New Roman" w:hint="eastAsia"/>
                <w:bCs/>
                <w:szCs w:val="21"/>
              </w:rPr>
              <w:t>名份额持有人的类别、持有份额及占总份额的比例等信息。</w:t>
            </w:r>
          </w:p>
        </w:tc>
      </w:tr>
      <w:tr w:rsidR="00797707" w:rsidRPr="006C7529" w:rsidTr="001F4A5A">
        <w:trPr>
          <w:jc w:val="center"/>
        </w:trPr>
        <w:tc>
          <w:tcPr>
            <w:tcW w:w="1459" w:type="pct"/>
          </w:tcPr>
          <w:p w:rsidR="006365BA" w:rsidRPr="00A8233D" w:rsidRDefault="006365BA" w:rsidP="00417D25">
            <w:pPr>
              <w:jc w:val="center"/>
            </w:pPr>
            <w:r w:rsidRPr="00E12145">
              <w:rPr>
                <w:rFonts w:hint="eastAsia"/>
                <w:b/>
              </w:rPr>
              <w:t>第十八部分</w:t>
            </w:r>
            <w:r w:rsidRPr="00E12145">
              <w:rPr>
                <w:b/>
              </w:rPr>
              <w:t xml:space="preserve">  </w:t>
            </w:r>
            <w:r w:rsidRPr="00E12145">
              <w:rPr>
                <w:rFonts w:hint="eastAsia"/>
                <w:b/>
              </w:rPr>
              <w:t>基金的信息披露</w:t>
            </w:r>
          </w:p>
          <w:p w:rsidR="00797707" w:rsidRDefault="006365BA" w:rsidP="00E12145">
            <w:pPr>
              <w:spacing w:line="360" w:lineRule="auto"/>
              <w:jc w:val="center"/>
              <w:rPr>
                <w:rFonts w:ascii="Times New Roman" w:hAnsi="Times New Roman" w:cs="Times New Roman"/>
                <w:szCs w:val="21"/>
              </w:rPr>
            </w:pPr>
            <w:r w:rsidRPr="006C7529">
              <w:rPr>
                <w:rFonts w:ascii="Times New Roman" w:hAnsi="Times New Roman" w:cs="Times New Roman"/>
                <w:szCs w:val="21"/>
              </w:rPr>
              <w:t>五、公开披露的基金信息</w:t>
            </w:r>
          </w:p>
          <w:p w:rsidR="006365BA" w:rsidRPr="006C7529" w:rsidRDefault="00417D25" w:rsidP="00E12145">
            <w:pPr>
              <w:spacing w:line="360" w:lineRule="auto"/>
              <w:jc w:val="center"/>
              <w:rPr>
                <w:rFonts w:ascii="Times New Roman" w:hAnsi="Times New Roman" w:cs="Times New Roman"/>
                <w:szCs w:val="21"/>
              </w:rPr>
            </w:pPr>
            <w:r>
              <w:rPr>
                <w:rFonts w:ascii="Times New Roman" w:eastAsia="宋体" w:hAnsi="Times New Roman" w:cs="Times New Roman" w:hint="eastAsia"/>
                <w:bCs/>
                <w:szCs w:val="21"/>
              </w:rPr>
              <w:t>（六</w:t>
            </w:r>
            <w:r w:rsidR="00F6596F">
              <w:rPr>
                <w:rFonts w:ascii="Times New Roman" w:eastAsia="宋体" w:hAnsi="Times New Roman" w:cs="Times New Roman" w:hint="eastAsia"/>
                <w:bCs/>
                <w:szCs w:val="21"/>
              </w:rPr>
              <w:t>）临时报告</w:t>
            </w:r>
          </w:p>
        </w:tc>
        <w:tc>
          <w:tcPr>
            <w:tcW w:w="1626" w:type="pct"/>
          </w:tcPr>
          <w:p w:rsidR="006365BA" w:rsidRPr="006C7529" w:rsidRDefault="006365BA" w:rsidP="00F6596F">
            <w:pPr>
              <w:spacing w:line="360" w:lineRule="auto"/>
              <w:rPr>
                <w:rFonts w:ascii="Times New Roman" w:eastAsia="宋体" w:hAnsi="Times New Roman" w:cs="Times New Roman"/>
                <w:bCs/>
                <w:szCs w:val="21"/>
              </w:rPr>
            </w:pPr>
            <w:r>
              <w:rPr>
                <w:rFonts w:ascii="Times New Roman" w:eastAsia="宋体" w:hAnsi="Times New Roman" w:cs="Times New Roman" w:hint="eastAsia"/>
                <w:bCs/>
                <w:szCs w:val="21"/>
              </w:rPr>
              <w:t xml:space="preserve">    </w:t>
            </w:r>
          </w:p>
        </w:tc>
        <w:tc>
          <w:tcPr>
            <w:tcW w:w="1915" w:type="pct"/>
          </w:tcPr>
          <w:p w:rsidR="006365BA" w:rsidRPr="00F000D4" w:rsidRDefault="006365BA" w:rsidP="00E12145">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417D25" w:rsidRPr="00417D25" w:rsidRDefault="00417D25" w:rsidP="00417D25">
            <w:pPr>
              <w:spacing w:line="360" w:lineRule="auto"/>
              <w:ind w:firstLineChars="200" w:firstLine="420"/>
              <w:rPr>
                <w:rFonts w:ascii="Times New Roman" w:hAnsi="Times New Roman" w:cs="Times New Roman"/>
                <w:bCs/>
                <w:szCs w:val="21"/>
              </w:rPr>
            </w:pPr>
            <w:r w:rsidRPr="00417D25">
              <w:rPr>
                <w:rFonts w:ascii="Times New Roman" w:hAnsi="Times New Roman" w:cs="Times New Roman" w:hint="eastAsia"/>
                <w:bCs/>
                <w:szCs w:val="21"/>
              </w:rPr>
              <w:t>28</w:t>
            </w:r>
            <w:r w:rsidRPr="00417D25">
              <w:rPr>
                <w:rFonts w:ascii="Times New Roman" w:hAnsi="Times New Roman" w:cs="Times New Roman" w:hint="eastAsia"/>
                <w:bCs/>
                <w:szCs w:val="21"/>
              </w:rPr>
              <w:t>、发生涉及基金申购、赎回事项调整或潜在影响投资者赎回等重大事项；</w:t>
            </w:r>
          </w:p>
          <w:p w:rsidR="006365BA" w:rsidRPr="006C7529" w:rsidRDefault="00417D25" w:rsidP="00417D25">
            <w:pPr>
              <w:spacing w:line="360" w:lineRule="auto"/>
              <w:ind w:firstLineChars="200" w:firstLine="420"/>
              <w:rPr>
                <w:rFonts w:ascii="Times New Roman" w:eastAsia="宋体" w:hAnsi="Times New Roman" w:cs="Times New Roman"/>
                <w:bCs/>
                <w:szCs w:val="21"/>
                <w:u w:val="single"/>
              </w:rPr>
            </w:pPr>
            <w:r w:rsidRPr="00417D25">
              <w:rPr>
                <w:rFonts w:ascii="Times New Roman" w:hAnsi="Times New Roman" w:cs="Times New Roman" w:hint="eastAsia"/>
                <w:bCs/>
                <w:szCs w:val="21"/>
              </w:rPr>
              <w:lastRenderedPageBreak/>
              <w:t>29</w:t>
            </w:r>
            <w:r w:rsidRPr="00417D25">
              <w:rPr>
                <w:rFonts w:ascii="Times New Roman" w:hAnsi="Times New Roman" w:cs="Times New Roman" w:hint="eastAsia"/>
                <w:bCs/>
                <w:szCs w:val="21"/>
              </w:rPr>
              <w:t>、本基金投资于主体信用评级低于</w:t>
            </w:r>
            <w:r w:rsidRPr="00417D25">
              <w:rPr>
                <w:rFonts w:ascii="Times New Roman" w:hAnsi="Times New Roman" w:cs="Times New Roman" w:hint="eastAsia"/>
                <w:bCs/>
                <w:szCs w:val="21"/>
              </w:rPr>
              <w:t>AA+</w:t>
            </w:r>
            <w:r w:rsidRPr="00417D25">
              <w:rPr>
                <w:rFonts w:ascii="Times New Roman" w:hAnsi="Times New Roman" w:cs="Times New Roman" w:hint="eastAsia"/>
                <w:bCs/>
                <w:szCs w:val="21"/>
              </w:rPr>
              <w:t>的商业银行的银行存款与同业存单；</w:t>
            </w:r>
          </w:p>
        </w:tc>
      </w:tr>
      <w:tr w:rsidR="00797707" w:rsidRPr="006C7529" w:rsidTr="00797707">
        <w:trPr>
          <w:jc w:val="center"/>
        </w:trPr>
        <w:tc>
          <w:tcPr>
            <w:tcW w:w="1459" w:type="pct"/>
          </w:tcPr>
          <w:p w:rsidR="00677BF6" w:rsidRPr="00A8233D" w:rsidRDefault="00417D25" w:rsidP="00E12145">
            <w:r>
              <w:rPr>
                <w:rFonts w:hint="eastAsia"/>
                <w:b/>
              </w:rPr>
              <w:lastRenderedPageBreak/>
              <w:t>第二十四部分</w:t>
            </w:r>
            <w:r>
              <w:rPr>
                <w:rFonts w:hint="eastAsia"/>
                <w:b/>
              </w:rPr>
              <w:t xml:space="preserve"> </w:t>
            </w:r>
            <w:r w:rsidR="00677BF6" w:rsidRPr="00E12145">
              <w:rPr>
                <w:b/>
              </w:rPr>
              <w:t xml:space="preserve"> </w:t>
            </w:r>
            <w:r w:rsidR="00677BF6" w:rsidRPr="00E12145">
              <w:rPr>
                <w:rFonts w:hint="eastAsia"/>
                <w:b/>
              </w:rPr>
              <w:t>基金合同内容摘要</w:t>
            </w:r>
          </w:p>
        </w:tc>
        <w:tc>
          <w:tcPr>
            <w:tcW w:w="3541" w:type="pct"/>
            <w:gridSpan w:val="2"/>
          </w:tcPr>
          <w:p w:rsidR="00677BF6" w:rsidRPr="006C7529" w:rsidRDefault="00677BF6" w:rsidP="00677BF6">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t>同步更新</w:t>
            </w:r>
          </w:p>
        </w:tc>
      </w:tr>
      <w:bookmarkEnd w:id="1"/>
    </w:tbl>
    <w:p w:rsidR="00360C80" w:rsidRDefault="00360C80">
      <w:pPr>
        <w:widowControl/>
        <w:jc w:val="left"/>
        <w:rPr>
          <w:rFonts w:ascii="Times New Roman" w:eastAsia="宋体" w:hAnsi="Times New Roman" w:cs="Times New Roman"/>
          <w:b/>
          <w:sz w:val="24"/>
          <w:szCs w:val="23"/>
        </w:rPr>
      </w:pPr>
    </w:p>
    <w:sectPr w:rsidR="00360C80" w:rsidSect="003C0938">
      <w:pgSz w:w="16838" w:h="11906" w:orient="landscape"/>
      <w:pgMar w:top="1800" w:right="1440" w:bottom="1800" w:left="144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5E826D" w15:done="0"/>
  <w15:commentEx w15:paraId="6EBE56DA" w15:done="0"/>
  <w15:commentEx w15:paraId="1716DF6F" w15:done="0"/>
  <w15:commentEx w15:paraId="6386711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785" w:rsidRDefault="006E0785" w:rsidP="00863159">
      <w:r>
        <w:separator/>
      </w:r>
    </w:p>
  </w:endnote>
  <w:endnote w:type="continuationSeparator" w:id="0">
    <w:p w:rsidR="006E0785" w:rsidRDefault="006E0785" w:rsidP="00863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884727"/>
      <w:docPartObj>
        <w:docPartGallery w:val="Page Numbers (Bottom of Page)"/>
        <w:docPartUnique/>
      </w:docPartObj>
    </w:sdtPr>
    <w:sdtEndPr>
      <w:rPr>
        <w:rFonts w:ascii="Times New Roman" w:hAnsi="Times New Roman" w:cs="Times New Roman"/>
      </w:rPr>
    </w:sdtEndPr>
    <w:sdtContent>
      <w:p w:rsidR="00E12145" w:rsidRPr="006468E7" w:rsidRDefault="00A63E85">
        <w:pPr>
          <w:pStyle w:val="ac"/>
          <w:jc w:val="center"/>
          <w:rPr>
            <w:rFonts w:ascii="Times New Roman" w:hAnsi="Times New Roman" w:cs="Times New Roman"/>
          </w:rPr>
        </w:pPr>
        <w:r w:rsidRPr="006468E7">
          <w:rPr>
            <w:rFonts w:ascii="Times New Roman" w:hAnsi="Times New Roman" w:cs="Times New Roman"/>
          </w:rPr>
          <w:fldChar w:fldCharType="begin"/>
        </w:r>
        <w:r w:rsidR="00E12145"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7A6742" w:rsidRPr="007A6742">
          <w:rPr>
            <w:rFonts w:ascii="Times New Roman" w:hAnsi="Times New Roman" w:cs="Times New Roman"/>
            <w:noProof/>
            <w:lang w:val="zh-CN"/>
          </w:rPr>
          <w:t>2</w:t>
        </w:r>
        <w:r w:rsidRPr="006468E7">
          <w:rPr>
            <w:rFonts w:ascii="Times New Roman" w:hAnsi="Times New Roman" w:cs="Times New Roman"/>
          </w:rPr>
          <w:fldChar w:fldCharType="end"/>
        </w:r>
      </w:p>
    </w:sdtContent>
  </w:sdt>
  <w:p w:rsidR="00E12145" w:rsidRDefault="00E1214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785" w:rsidRDefault="006E0785" w:rsidP="00863159">
      <w:r>
        <w:separator/>
      </w:r>
    </w:p>
  </w:footnote>
  <w:footnote w:type="continuationSeparator" w:id="0">
    <w:p w:rsidR="006E0785" w:rsidRDefault="006E0785" w:rsidP="008631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5"/>
  </w:num>
  <w:num w:numId="8">
    <w:abstractNumId w:val="2"/>
  </w:num>
  <w:num w:numId="9">
    <w:abstractNumId w:val="3"/>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荣华">
    <w15:presenceInfo w15:providerId="None" w15:userId="荣华"/>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630F"/>
    <w:rsid w:val="00013B6D"/>
    <w:rsid w:val="00021B2D"/>
    <w:rsid w:val="000238B3"/>
    <w:rsid w:val="00053F84"/>
    <w:rsid w:val="00054A40"/>
    <w:rsid w:val="000577EB"/>
    <w:rsid w:val="00075E1A"/>
    <w:rsid w:val="00077802"/>
    <w:rsid w:val="00077C65"/>
    <w:rsid w:val="00083EE8"/>
    <w:rsid w:val="000940B4"/>
    <w:rsid w:val="000A6E6B"/>
    <w:rsid w:val="000B5107"/>
    <w:rsid w:val="000C1A68"/>
    <w:rsid w:val="00106B4C"/>
    <w:rsid w:val="001230E4"/>
    <w:rsid w:val="00144100"/>
    <w:rsid w:val="001674F7"/>
    <w:rsid w:val="00171208"/>
    <w:rsid w:val="0019157E"/>
    <w:rsid w:val="001B6865"/>
    <w:rsid w:val="001D0B44"/>
    <w:rsid w:val="001E0EAB"/>
    <w:rsid w:val="001F4A5A"/>
    <w:rsid w:val="00202806"/>
    <w:rsid w:val="0021390F"/>
    <w:rsid w:val="00226DF3"/>
    <w:rsid w:val="00243B58"/>
    <w:rsid w:val="0024478E"/>
    <w:rsid w:val="00244A67"/>
    <w:rsid w:val="00256461"/>
    <w:rsid w:val="0025692E"/>
    <w:rsid w:val="00260B33"/>
    <w:rsid w:val="00266C04"/>
    <w:rsid w:val="002706B9"/>
    <w:rsid w:val="002726C6"/>
    <w:rsid w:val="00273744"/>
    <w:rsid w:val="00281321"/>
    <w:rsid w:val="002B2BEC"/>
    <w:rsid w:val="002C6457"/>
    <w:rsid w:val="002C7AD1"/>
    <w:rsid w:val="002E19F4"/>
    <w:rsid w:val="002E566B"/>
    <w:rsid w:val="002F5712"/>
    <w:rsid w:val="003046E7"/>
    <w:rsid w:val="00307A30"/>
    <w:rsid w:val="0031703B"/>
    <w:rsid w:val="00322B1F"/>
    <w:rsid w:val="00323121"/>
    <w:rsid w:val="003302D7"/>
    <w:rsid w:val="00331747"/>
    <w:rsid w:val="00334BC0"/>
    <w:rsid w:val="00335F6F"/>
    <w:rsid w:val="00360C80"/>
    <w:rsid w:val="003665AD"/>
    <w:rsid w:val="00366908"/>
    <w:rsid w:val="003728F9"/>
    <w:rsid w:val="00372D49"/>
    <w:rsid w:val="00373CC2"/>
    <w:rsid w:val="00373D04"/>
    <w:rsid w:val="00377736"/>
    <w:rsid w:val="00380122"/>
    <w:rsid w:val="00386247"/>
    <w:rsid w:val="0039134D"/>
    <w:rsid w:val="00391CCE"/>
    <w:rsid w:val="0039479F"/>
    <w:rsid w:val="0039503B"/>
    <w:rsid w:val="00395675"/>
    <w:rsid w:val="003A78F7"/>
    <w:rsid w:val="003A7C07"/>
    <w:rsid w:val="003B0BAE"/>
    <w:rsid w:val="003B3377"/>
    <w:rsid w:val="003C0938"/>
    <w:rsid w:val="003D4AEC"/>
    <w:rsid w:val="003E1C2F"/>
    <w:rsid w:val="003F39C1"/>
    <w:rsid w:val="003F6C40"/>
    <w:rsid w:val="003F7A73"/>
    <w:rsid w:val="004005BE"/>
    <w:rsid w:val="004075D9"/>
    <w:rsid w:val="00411FF0"/>
    <w:rsid w:val="00413907"/>
    <w:rsid w:val="00417D25"/>
    <w:rsid w:val="00425684"/>
    <w:rsid w:val="00441B53"/>
    <w:rsid w:val="00445886"/>
    <w:rsid w:val="0045694B"/>
    <w:rsid w:val="00491781"/>
    <w:rsid w:val="004937C4"/>
    <w:rsid w:val="004A267D"/>
    <w:rsid w:val="004A5F7F"/>
    <w:rsid w:val="004B6894"/>
    <w:rsid w:val="004C7796"/>
    <w:rsid w:val="004D1E24"/>
    <w:rsid w:val="004E2D62"/>
    <w:rsid w:val="004F2B78"/>
    <w:rsid w:val="004F71F2"/>
    <w:rsid w:val="00501169"/>
    <w:rsid w:val="00504CBA"/>
    <w:rsid w:val="00507808"/>
    <w:rsid w:val="00516627"/>
    <w:rsid w:val="00516FCE"/>
    <w:rsid w:val="005174F5"/>
    <w:rsid w:val="00524B95"/>
    <w:rsid w:val="005304F6"/>
    <w:rsid w:val="00536FD2"/>
    <w:rsid w:val="005510FC"/>
    <w:rsid w:val="005567D5"/>
    <w:rsid w:val="00565B19"/>
    <w:rsid w:val="0056732A"/>
    <w:rsid w:val="0058235F"/>
    <w:rsid w:val="0058296C"/>
    <w:rsid w:val="00582D0D"/>
    <w:rsid w:val="0058737E"/>
    <w:rsid w:val="005B022A"/>
    <w:rsid w:val="005B13A0"/>
    <w:rsid w:val="005E1C51"/>
    <w:rsid w:val="005E73CB"/>
    <w:rsid w:val="005F7D95"/>
    <w:rsid w:val="00601E0F"/>
    <w:rsid w:val="006241CA"/>
    <w:rsid w:val="00625D27"/>
    <w:rsid w:val="006342E8"/>
    <w:rsid w:val="00634453"/>
    <w:rsid w:val="006365BA"/>
    <w:rsid w:val="00642DED"/>
    <w:rsid w:val="006468E7"/>
    <w:rsid w:val="0064745B"/>
    <w:rsid w:val="0067487D"/>
    <w:rsid w:val="00677BF6"/>
    <w:rsid w:val="00695569"/>
    <w:rsid w:val="006B110E"/>
    <w:rsid w:val="006B7406"/>
    <w:rsid w:val="006B7FC8"/>
    <w:rsid w:val="006C108E"/>
    <w:rsid w:val="006C6890"/>
    <w:rsid w:val="006D1102"/>
    <w:rsid w:val="006D7E29"/>
    <w:rsid w:val="006E0785"/>
    <w:rsid w:val="006E11CA"/>
    <w:rsid w:val="006E3CC7"/>
    <w:rsid w:val="006F1BE4"/>
    <w:rsid w:val="006F790E"/>
    <w:rsid w:val="00705E9D"/>
    <w:rsid w:val="00731DAD"/>
    <w:rsid w:val="007327FE"/>
    <w:rsid w:val="007367AB"/>
    <w:rsid w:val="007544DF"/>
    <w:rsid w:val="0076331C"/>
    <w:rsid w:val="0078167D"/>
    <w:rsid w:val="00781E21"/>
    <w:rsid w:val="00783837"/>
    <w:rsid w:val="0078743B"/>
    <w:rsid w:val="00790B01"/>
    <w:rsid w:val="00793D64"/>
    <w:rsid w:val="00795661"/>
    <w:rsid w:val="00797707"/>
    <w:rsid w:val="007A591E"/>
    <w:rsid w:val="007A5A9A"/>
    <w:rsid w:val="007A6742"/>
    <w:rsid w:val="007A6FC8"/>
    <w:rsid w:val="007C2122"/>
    <w:rsid w:val="007C22FC"/>
    <w:rsid w:val="007C523D"/>
    <w:rsid w:val="007D0C7D"/>
    <w:rsid w:val="007D53A4"/>
    <w:rsid w:val="007E097B"/>
    <w:rsid w:val="007E229D"/>
    <w:rsid w:val="007F407E"/>
    <w:rsid w:val="008159E4"/>
    <w:rsid w:val="008513B8"/>
    <w:rsid w:val="008514E5"/>
    <w:rsid w:val="008531B5"/>
    <w:rsid w:val="00863159"/>
    <w:rsid w:val="00866770"/>
    <w:rsid w:val="00884D00"/>
    <w:rsid w:val="00885547"/>
    <w:rsid w:val="00887635"/>
    <w:rsid w:val="00890803"/>
    <w:rsid w:val="00894F74"/>
    <w:rsid w:val="008C1416"/>
    <w:rsid w:val="008D7B86"/>
    <w:rsid w:val="008E7AC3"/>
    <w:rsid w:val="00901EB3"/>
    <w:rsid w:val="009040A2"/>
    <w:rsid w:val="00914B9B"/>
    <w:rsid w:val="00937B55"/>
    <w:rsid w:val="009421D0"/>
    <w:rsid w:val="0094524B"/>
    <w:rsid w:val="009554EF"/>
    <w:rsid w:val="00964F9A"/>
    <w:rsid w:val="00976051"/>
    <w:rsid w:val="00983489"/>
    <w:rsid w:val="00994DEE"/>
    <w:rsid w:val="009B02AC"/>
    <w:rsid w:val="009B11F8"/>
    <w:rsid w:val="009C6FF7"/>
    <w:rsid w:val="009C7F26"/>
    <w:rsid w:val="009D31F1"/>
    <w:rsid w:val="009D3FDB"/>
    <w:rsid w:val="009E2CFD"/>
    <w:rsid w:val="00A00F0E"/>
    <w:rsid w:val="00A30ED9"/>
    <w:rsid w:val="00A41323"/>
    <w:rsid w:val="00A4256C"/>
    <w:rsid w:val="00A44A47"/>
    <w:rsid w:val="00A55B2C"/>
    <w:rsid w:val="00A63E85"/>
    <w:rsid w:val="00A640A6"/>
    <w:rsid w:val="00A65CA5"/>
    <w:rsid w:val="00A7129C"/>
    <w:rsid w:val="00A7612C"/>
    <w:rsid w:val="00A769B1"/>
    <w:rsid w:val="00A8233D"/>
    <w:rsid w:val="00A83765"/>
    <w:rsid w:val="00A85B89"/>
    <w:rsid w:val="00A91520"/>
    <w:rsid w:val="00A91BB0"/>
    <w:rsid w:val="00AC1E5E"/>
    <w:rsid w:val="00AC4E2A"/>
    <w:rsid w:val="00AD33B2"/>
    <w:rsid w:val="00AE0306"/>
    <w:rsid w:val="00AE6615"/>
    <w:rsid w:val="00AF445C"/>
    <w:rsid w:val="00B16B98"/>
    <w:rsid w:val="00B2248E"/>
    <w:rsid w:val="00B411BC"/>
    <w:rsid w:val="00B418E7"/>
    <w:rsid w:val="00B459A0"/>
    <w:rsid w:val="00B51EAD"/>
    <w:rsid w:val="00B702B7"/>
    <w:rsid w:val="00B93F00"/>
    <w:rsid w:val="00BA0CAA"/>
    <w:rsid w:val="00BB0F03"/>
    <w:rsid w:val="00BB23E7"/>
    <w:rsid w:val="00BB79D0"/>
    <w:rsid w:val="00BC2746"/>
    <w:rsid w:val="00BD2166"/>
    <w:rsid w:val="00BE68AA"/>
    <w:rsid w:val="00BF6603"/>
    <w:rsid w:val="00C073BA"/>
    <w:rsid w:val="00C12D44"/>
    <w:rsid w:val="00C155FC"/>
    <w:rsid w:val="00C206FB"/>
    <w:rsid w:val="00C27D0C"/>
    <w:rsid w:val="00C3630F"/>
    <w:rsid w:val="00C40BA6"/>
    <w:rsid w:val="00C40D0C"/>
    <w:rsid w:val="00C4211F"/>
    <w:rsid w:val="00C52047"/>
    <w:rsid w:val="00C57EC4"/>
    <w:rsid w:val="00C655FA"/>
    <w:rsid w:val="00C73B3C"/>
    <w:rsid w:val="00C80395"/>
    <w:rsid w:val="00C822A1"/>
    <w:rsid w:val="00C83FFB"/>
    <w:rsid w:val="00CA3456"/>
    <w:rsid w:val="00CA43FF"/>
    <w:rsid w:val="00D035B3"/>
    <w:rsid w:val="00D03F12"/>
    <w:rsid w:val="00D1154B"/>
    <w:rsid w:val="00D16FA0"/>
    <w:rsid w:val="00D2494B"/>
    <w:rsid w:val="00D41EC9"/>
    <w:rsid w:val="00D47417"/>
    <w:rsid w:val="00D67A77"/>
    <w:rsid w:val="00D70F23"/>
    <w:rsid w:val="00D9080D"/>
    <w:rsid w:val="00D9505E"/>
    <w:rsid w:val="00DC1818"/>
    <w:rsid w:val="00DD1BA3"/>
    <w:rsid w:val="00DF1809"/>
    <w:rsid w:val="00DF7459"/>
    <w:rsid w:val="00E02701"/>
    <w:rsid w:val="00E12145"/>
    <w:rsid w:val="00E318CB"/>
    <w:rsid w:val="00E5199A"/>
    <w:rsid w:val="00E52766"/>
    <w:rsid w:val="00E552A4"/>
    <w:rsid w:val="00E5773F"/>
    <w:rsid w:val="00E6187E"/>
    <w:rsid w:val="00E646BD"/>
    <w:rsid w:val="00E8200B"/>
    <w:rsid w:val="00E84341"/>
    <w:rsid w:val="00E84E48"/>
    <w:rsid w:val="00E95C70"/>
    <w:rsid w:val="00EA75C1"/>
    <w:rsid w:val="00EB0523"/>
    <w:rsid w:val="00ED5BF2"/>
    <w:rsid w:val="00EF4035"/>
    <w:rsid w:val="00EF73FC"/>
    <w:rsid w:val="00F000D4"/>
    <w:rsid w:val="00F0425A"/>
    <w:rsid w:val="00F141C4"/>
    <w:rsid w:val="00F14901"/>
    <w:rsid w:val="00F2349C"/>
    <w:rsid w:val="00F414C5"/>
    <w:rsid w:val="00F6596F"/>
    <w:rsid w:val="00F67CB5"/>
    <w:rsid w:val="00F67E0F"/>
    <w:rsid w:val="00F74070"/>
    <w:rsid w:val="00F763F6"/>
    <w:rsid w:val="00F77255"/>
    <w:rsid w:val="00F80563"/>
    <w:rsid w:val="00F806AC"/>
    <w:rsid w:val="00F81483"/>
    <w:rsid w:val="00FA0D7A"/>
    <w:rsid w:val="00FC788C"/>
    <w:rsid w:val="00FD0B68"/>
    <w:rsid w:val="00FD1877"/>
    <w:rsid w:val="00FD4D94"/>
    <w:rsid w:val="00FF63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A68"/>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EFDFF-13F3-4955-8F3C-0320774BE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665</Words>
  <Characters>3792</Characters>
  <Application>Microsoft Office Word</Application>
  <DocSecurity>0</DocSecurity>
  <Lines>31</Lines>
  <Paragraphs>8</Paragraphs>
  <ScaleCrop>false</ScaleCrop>
  <Company>Sky123.Org</Company>
  <LinksUpToDate>false</LinksUpToDate>
  <CharactersWithSpaces>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刘晨晨</cp:lastModifiedBy>
  <cp:revision>63</cp:revision>
  <cp:lastPrinted>2018-01-30T02:46:00Z</cp:lastPrinted>
  <dcterms:created xsi:type="dcterms:W3CDTF">2018-01-12T10:20:00Z</dcterms:created>
  <dcterms:modified xsi:type="dcterms:W3CDTF">2018-03-15T07:15:00Z</dcterms:modified>
</cp:coreProperties>
</file>