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31" w:rsidRPr="00B87C7F" w:rsidRDefault="00FA3B31" w:rsidP="00FA3B31">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荣祥保本混合型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FA3B31" w:rsidRDefault="00FA3B31" w:rsidP="00FA3B31">
      <w:pPr>
        <w:widowControl/>
        <w:jc w:val="left"/>
        <w:rPr>
          <w:rFonts w:ascii="Times New Roman" w:eastAsia="宋体" w:hAnsi="Times New Roman" w:cs="Times New Roman"/>
          <w:b/>
          <w:sz w:val="24"/>
          <w:szCs w:val="23"/>
        </w:rPr>
      </w:pPr>
    </w:p>
    <w:p w:rsidR="00FA3B31" w:rsidRDefault="00FA3B31" w:rsidP="00FA3B31">
      <w:pPr>
        <w:widowControl/>
        <w:jc w:val="left"/>
        <w:rPr>
          <w:rFonts w:ascii="Times New Roman" w:eastAsia="宋体" w:hAnsi="Times New Roman" w:cs="Times New Roman"/>
          <w:b/>
          <w:sz w:val="24"/>
          <w:szCs w:val="23"/>
        </w:rPr>
      </w:pPr>
    </w:p>
    <w:p w:rsidR="00FA3B31" w:rsidRPr="00E45F39" w:rsidRDefault="00FA3B31" w:rsidP="00FA3B31">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荣祥保本混合型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FA3B31" w:rsidRDefault="00FA3B31" w:rsidP="00FA3B31">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FA3B31" w:rsidRPr="001A6EE1" w:rsidRDefault="00FA3B31" w:rsidP="00FA3B31">
      <w:pPr>
        <w:adjustRightInd w:val="0"/>
        <w:snapToGrid w:val="0"/>
        <w:spacing w:line="360" w:lineRule="auto"/>
        <w:ind w:firstLine="480"/>
        <w:jc w:val="left"/>
        <w:rPr>
          <w:rFonts w:ascii="Times New Roman" w:hAnsi="宋体"/>
          <w:sz w:val="24"/>
          <w:szCs w:val="24"/>
        </w:rPr>
      </w:pPr>
    </w:p>
    <w:p w:rsidR="00FA3B31" w:rsidRPr="00E45F39" w:rsidRDefault="00FA3B31" w:rsidP="00FA3B3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FA3B31" w:rsidRDefault="00FA3B31" w:rsidP="00FA3B3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荣祥保本混合型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FA3B31" w:rsidRPr="00E45F39" w:rsidRDefault="00FA3B31" w:rsidP="00FA3B3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FA3B31" w:rsidRDefault="00FA3B31" w:rsidP="00FA3B3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FA3B31" w:rsidRPr="001674F7" w:rsidRDefault="00FA3B31" w:rsidP="00FA3B31">
      <w:pPr>
        <w:adjustRightInd w:val="0"/>
        <w:snapToGrid w:val="0"/>
        <w:spacing w:line="360" w:lineRule="auto"/>
        <w:ind w:firstLine="480"/>
        <w:jc w:val="left"/>
        <w:rPr>
          <w:rFonts w:ascii="Times New Roman" w:hAnsi="宋体"/>
          <w:sz w:val="24"/>
          <w:szCs w:val="24"/>
        </w:rPr>
      </w:pPr>
    </w:p>
    <w:p w:rsidR="00FA3B31" w:rsidRPr="00E45F39" w:rsidRDefault="00FA3B31" w:rsidP="00FA3B3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A3B31" w:rsidRDefault="00FA3B31" w:rsidP="00FA3B3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FA3B31" w:rsidRDefault="00FA3B31" w:rsidP="00FA3B3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FA3B31" w:rsidRPr="00E45F39" w:rsidRDefault="00FA3B31" w:rsidP="00FA3B31">
      <w:pPr>
        <w:adjustRightInd w:val="0"/>
        <w:snapToGrid w:val="0"/>
        <w:spacing w:line="360" w:lineRule="auto"/>
        <w:ind w:firstLine="480"/>
        <w:jc w:val="left"/>
        <w:rPr>
          <w:rFonts w:ascii="Times New Roman" w:hAnsi="宋体"/>
          <w:sz w:val="24"/>
          <w:szCs w:val="24"/>
        </w:rPr>
      </w:pPr>
    </w:p>
    <w:p w:rsidR="00FA3B31" w:rsidRPr="00E45F39" w:rsidRDefault="00FA3B31" w:rsidP="00FA3B31">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FA3B31" w:rsidRDefault="00FA3B31" w:rsidP="00FA3B31">
      <w:pPr>
        <w:adjustRightInd w:val="0"/>
        <w:snapToGrid w:val="0"/>
        <w:spacing w:line="360" w:lineRule="auto"/>
        <w:ind w:firstLine="480"/>
        <w:jc w:val="right"/>
        <w:rPr>
          <w:rFonts w:ascii="Times New Roman" w:eastAsia="宋体" w:hAnsi="Times New Roman" w:cs="Times New Roman"/>
          <w:b/>
          <w:sz w:val="24"/>
          <w:szCs w:val="23"/>
        </w:rPr>
        <w:sectPr w:rsidR="00FA3B31"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68106D">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FA3B31" w:rsidP="00FA3B31">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3E3451">
        <w:rPr>
          <w:rFonts w:ascii="Times New Roman" w:eastAsia="宋体" w:hAnsi="Times New Roman" w:cs="Times New Roman" w:hint="eastAsia"/>
          <w:b/>
          <w:sz w:val="24"/>
          <w:szCs w:val="23"/>
        </w:rPr>
        <w:t>交银施罗德荣祥保本混合型</w:t>
      </w:r>
      <w:r w:rsidR="00851D51">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4954E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4954E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4954E6">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C36A50" w:rsidRPr="00C36A50" w:rsidRDefault="00C36A50" w:rsidP="004954E6">
            <w:pPr>
              <w:numPr>
                <w:ilvl w:val="0"/>
                <w:numId w:val="14"/>
              </w:numPr>
              <w:spacing w:line="360" w:lineRule="auto"/>
              <w:jc w:val="center"/>
              <w:rPr>
                <w:rFonts w:ascii="Times New Roman" w:eastAsia="宋体" w:hAnsi="Times New Roman" w:cs="Times New Roman"/>
                <w:b/>
                <w:szCs w:val="21"/>
              </w:rPr>
            </w:pPr>
            <w:bookmarkStart w:id="2" w:name="_Toc350774401"/>
            <w:r w:rsidRPr="00C36A50">
              <w:rPr>
                <w:rFonts w:ascii="Times New Roman" w:eastAsia="宋体" w:hAnsi="Times New Roman" w:cs="Times New Roman"/>
                <w:b/>
                <w:szCs w:val="21"/>
              </w:rPr>
              <w:t>第一部分</w:t>
            </w:r>
            <w:r w:rsidRPr="00C36A50">
              <w:rPr>
                <w:rFonts w:ascii="Times New Roman" w:eastAsia="宋体" w:hAnsi="Times New Roman" w:cs="Times New Roman"/>
                <w:b/>
                <w:szCs w:val="21"/>
              </w:rPr>
              <w:t xml:space="preserve">  </w:t>
            </w:r>
            <w:r w:rsidRPr="00C36A50">
              <w:rPr>
                <w:rFonts w:ascii="Times New Roman" w:eastAsia="宋体" w:hAnsi="Times New Roman" w:cs="Times New Roman"/>
                <w:b/>
                <w:szCs w:val="21"/>
              </w:rPr>
              <w:t>前言</w:t>
            </w:r>
            <w:bookmarkStart w:id="3" w:name="_Toc139991731"/>
            <w:bookmarkEnd w:id="2"/>
          </w:p>
          <w:bookmarkEnd w:id="3"/>
          <w:p w:rsidR="003302D7" w:rsidRPr="006C7529" w:rsidRDefault="003302D7" w:rsidP="004954E6">
            <w:pPr>
              <w:spacing w:line="360" w:lineRule="auto"/>
              <w:jc w:val="center"/>
              <w:rPr>
                <w:rFonts w:ascii="Times New Roman" w:eastAsia="宋体" w:hAnsi="Times New Roman" w:cs="Times New Roman"/>
                <w:b/>
                <w:szCs w:val="21"/>
              </w:rPr>
            </w:pPr>
          </w:p>
        </w:tc>
        <w:tc>
          <w:tcPr>
            <w:tcW w:w="2217" w:type="pct"/>
          </w:tcPr>
          <w:p w:rsidR="00C36A50" w:rsidRPr="00C36A50" w:rsidRDefault="00C36A50" w:rsidP="004954E6">
            <w:pPr>
              <w:spacing w:line="360" w:lineRule="auto"/>
              <w:ind w:firstLineChars="200" w:firstLine="420"/>
              <w:rPr>
                <w:rFonts w:ascii="Times New Roman" w:eastAsia="宋体" w:hAnsi="Times New Roman" w:cs="Times New Roman"/>
                <w:bCs/>
                <w:szCs w:val="21"/>
              </w:rPr>
            </w:pPr>
            <w:r w:rsidRPr="00C36A50">
              <w:rPr>
                <w:rFonts w:ascii="Times New Roman" w:eastAsia="宋体" w:hAnsi="Times New Roman" w:cs="Times New Roman" w:hint="eastAsia"/>
                <w:bCs/>
                <w:szCs w:val="21"/>
              </w:rPr>
              <w:t>一、</w:t>
            </w:r>
            <w:r w:rsidRPr="00C36A50">
              <w:rPr>
                <w:rFonts w:ascii="Times New Roman" w:eastAsia="宋体" w:hAnsi="Times New Roman" w:cs="Times New Roman"/>
                <w:bCs/>
                <w:szCs w:val="21"/>
              </w:rPr>
              <w:t>订立本基金合同的目的、依据和原则</w:t>
            </w:r>
          </w:p>
          <w:p w:rsidR="003302D7" w:rsidRPr="00C36A50" w:rsidRDefault="00C36A50" w:rsidP="004954E6">
            <w:pPr>
              <w:spacing w:line="360" w:lineRule="auto"/>
              <w:ind w:firstLineChars="200" w:firstLine="420"/>
              <w:rPr>
                <w:rFonts w:ascii="Times New Roman" w:eastAsia="宋体" w:hAnsi="Times New Roman" w:cs="Times New Roman"/>
                <w:bCs/>
                <w:szCs w:val="21"/>
              </w:rPr>
            </w:pPr>
            <w:r w:rsidRPr="00C36A50">
              <w:rPr>
                <w:rFonts w:ascii="Times New Roman" w:eastAsia="宋体" w:hAnsi="Times New Roman" w:cs="Times New Roman"/>
                <w:bCs/>
                <w:szCs w:val="21"/>
              </w:rPr>
              <w:t>2</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订立本基金合同的依据是《中华人民共和国合同法》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《合同法》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、《中华人民共和国证券投资基金法》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《基金法》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、《证券投资基金运作管理办法》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《运作办法》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、《证券投资基金销售管理办法》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《销售办法》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、《证券投资基金信息披露管理办法》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《信息披露办法》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hint="eastAsia"/>
                <w:bCs/>
                <w:szCs w:val="21"/>
              </w:rPr>
              <w:t>、《关于保本基金的指导意见》</w:t>
            </w:r>
            <w:r w:rsidRPr="00C36A50">
              <w:rPr>
                <w:rFonts w:ascii="Times New Roman" w:eastAsia="宋体" w:hAnsi="Times New Roman" w:cs="Times New Roman"/>
                <w:bCs/>
                <w:szCs w:val="21"/>
              </w:rPr>
              <w:t>和其他有关法律法规。</w:t>
            </w:r>
          </w:p>
        </w:tc>
        <w:tc>
          <w:tcPr>
            <w:tcW w:w="2214" w:type="pct"/>
          </w:tcPr>
          <w:p w:rsidR="00C36A50" w:rsidRPr="00C36A50" w:rsidRDefault="00C36A50" w:rsidP="004954E6">
            <w:pPr>
              <w:spacing w:line="360" w:lineRule="auto"/>
              <w:ind w:firstLineChars="200" w:firstLine="420"/>
              <w:rPr>
                <w:rFonts w:ascii="Times New Roman" w:eastAsia="宋体" w:hAnsi="Times New Roman" w:cs="Times New Roman"/>
                <w:bCs/>
                <w:szCs w:val="21"/>
              </w:rPr>
            </w:pPr>
            <w:r w:rsidRPr="00C36A50">
              <w:rPr>
                <w:rFonts w:ascii="Times New Roman" w:eastAsia="宋体" w:hAnsi="Times New Roman" w:cs="Times New Roman" w:hint="eastAsia"/>
                <w:bCs/>
                <w:szCs w:val="21"/>
              </w:rPr>
              <w:t>一、</w:t>
            </w:r>
            <w:r w:rsidRPr="00C36A50">
              <w:rPr>
                <w:rFonts w:ascii="Times New Roman" w:eastAsia="宋体" w:hAnsi="Times New Roman" w:cs="Times New Roman"/>
                <w:bCs/>
                <w:szCs w:val="21"/>
              </w:rPr>
              <w:t>订立本基金合同的目的、依据和原则</w:t>
            </w:r>
          </w:p>
          <w:p w:rsidR="003302D7" w:rsidRPr="00C36A50" w:rsidRDefault="00C36A50" w:rsidP="004954E6">
            <w:pPr>
              <w:spacing w:line="360" w:lineRule="auto"/>
              <w:ind w:firstLineChars="200" w:firstLine="420"/>
              <w:rPr>
                <w:rFonts w:ascii="Times New Roman" w:eastAsia="宋体" w:hAnsi="Times New Roman" w:cs="Times New Roman"/>
                <w:bCs/>
                <w:szCs w:val="21"/>
              </w:rPr>
            </w:pPr>
            <w:r w:rsidRPr="00C36A50">
              <w:rPr>
                <w:rFonts w:ascii="Times New Roman" w:eastAsia="宋体" w:hAnsi="Times New Roman" w:cs="Times New Roman"/>
                <w:bCs/>
                <w:szCs w:val="21"/>
              </w:rPr>
              <w:t>2</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订立本基金合同的依据是《中华人民共和国合同法》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《合同法》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、《中华人民共和国证券投资基金法》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《基金法》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、《证券投资基金运作管理办法》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《运作办法》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、《证券投资基金销售管理办法》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《销售办法》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、《证券投资基金信息披露管理办法》</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《信息披露办法》</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hint="eastAsia"/>
                <w:bCs/>
                <w:szCs w:val="21"/>
              </w:rPr>
              <w:t>、《关于保本基金的指导意见》、</w:t>
            </w:r>
            <w:r w:rsidRPr="00C36A50">
              <w:rPr>
                <w:rFonts w:ascii="Times New Roman" w:eastAsia="宋体" w:hAnsi="Times New Roman" w:cs="Times New Roman"/>
                <w:bCs/>
                <w:szCs w:val="21"/>
              </w:rPr>
              <w:t>《</w:t>
            </w:r>
            <w:r w:rsidRPr="00C36A50">
              <w:rPr>
                <w:rFonts w:ascii="Times New Roman" w:eastAsia="宋体" w:hAnsi="Times New Roman" w:cs="Times New Roman" w:hint="eastAsia"/>
                <w:bCs/>
                <w:szCs w:val="21"/>
              </w:rPr>
              <w:t>公开募集开放式证券投资基金流动性风险管理规定</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以下简称</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hint="eastAsia"/>
                <w:bCs/>
                <w:szCs w:val="21"/>
              </w:rPr>
              <w:t>流动性规定</w:t>
            </w:r>
            <w:r w:rsidRPr="00C36A50">
              <w:rPr>
                <w:rFonts w:ascii="Times New Roman" w:eastAsia="宋体" w:hAnsi="Times New Roman" w:cs="Times New Roman"/>
                <w:bCs/>
                <w:szCs w:val="21"/>
              </w:rPr>
              <w:t>》</w:t>
            </w:r>
            <w:r w:rsidRPr="00C36A50">
              <w:rPr>
                <w:rFonts w:ascii="Times New Roman" w:eastAsia="宋体" w:hAnsi="Times New Roman" w:cs="Times New Roman" w:hint="eastAsia"/>
                <w:bCs/>
                <w:szCs w:val="21"/>
              </w:rPr>
              <w:t>”</w:t>
            </w:r>
            <w:r w:rsidRPr="00C36A50">
              <w:rPr>
                <w:rFonts w:ascii="Times New Roman" w:eastAsia="宋体" w:hAnsi="Times New Roman" w:cs="Times New Roman"/>
                <w:bCs/>
                <w:szCs w:val="21"/>
              </w:rPr>
              <w:t>)</w:t>
            </w:r>
            <w:r w:rsidRPr="00C36A50">
              <w:rPr>
                <w:rFonts w:ascii="Times New Roman" w:eastAsia="宋体" w:hAnsi="Times New Roman" w:cs="Times New Roman"/>
                <w:bCs/>
                <w:szCs w:val="21"/>
              </w:rPr>
              <w:t>和其他有关法律法规。</w:t>
            </w:r>
          </w:p>
        </w:tc>
      </w:tr>
      <w:tr w:rsidR="00797707" w:rsidRPr="006C7529" w:rsidTr="00A77C39">
        <w:trPr>
          <w:jc w:val="center"/>
        </w:trPr>
        <w:tc>
          <w:tcPr>
            <w:tcW w:w="569" w:type="pct"/>
          </w:tcPr>
          <w:p w:rsidR="00BF412B" w:rsidRPr="00BF412B" w:rsidRDefault="00BF412B" w:rsidP="004954E6">
            <w:pPr>
              <w:numPr>
                <w:ilvl w:val="0"/>
                <w:numId w:val="14"/>
              </w:numPr>
              <w:spacing w:line="360" w:lineRule="auto"/>
              <w:jc w:val="center"/>
              <w:rPr>
                <w:rFonts w:ascii="Times New Roman" w:eastAsia="宋体" w:hAnsi="Times New Roman" w:cs="Times New Roman"/>
                <w:b/>
                <w:szCs w:val="21"/>
              </w:rPr>
            </w:pPr>
            <w:bookmarkStart w:id="4" w:name="_Toc331754257"/>
            <w:bookmarkStart w:id="5" w:name="_Toc350774402"/>
            <w:r w:rsidRPr="00BF412B">
              <w:rPr>
                <w:rFonts w:ascii="Times New Roman" w:eastAsia="宋体" w:hAnsi="Times New Roman" w:cs="Times New Roman"/>
                <w:b/>
                <w:szCs w:val="21"/>
              </w:rPr>
              <w:t>第二部分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hint="eastAsia"/>
                <w:b/>
                <w:szCs w:val="21"/>
              </w:rPr>
              <w:t xml:space="preserve"> </w:t>
            </w:r>
            <w:r w:rsidRPr="00BF412B">
              <w:rPr>
                <w:rFonts w:ascii="Times New Roman" w:eastAsia="宋体" w:hAnsi="Times New Roman" w:cs="Times New Roman"/>
                <w:b/>
                <w:szCs w:val="21"/>
              </w:rPr>
              <w:t>释义</w:t>
            </w:r>
            <w:bookmarkEnd w:id="4"/>
            <w:bookmarkEnd w:id="5"/>
          </w:p>
          <w:p w:rsidR="006365BA" w:rsidRPr="006C7529" w:rsidRDefault="006365BA" w:rsidP="004954E6">
            <w:pPr>
              <w:spacing w:line="360" w:lineRule="auto"/>
              <w:jc w:val="center"/>
              <w:rPr>
                <w:rFonts w:ascii="Times New Roman" w:eastAsia="宋体" w:hAnsi="Times New Roman" w:cs="Times New Roman"/>
                <w:b/>
                <w:szCs w:val="21"/>
              </w:rPr>
            </w:pPr>
          </w:p>
        </w:tc>
        <w:tc>
          <w:tcPr>
            <w:tcW w:w="2217" w:type="pct"/>
          </w:tcPr>
          <w:p w:rsidR="00D04C49" w:rsidRDefault="00D04C49" w:rsidP="004954E6">
            <w:pPr>
              <w:spacing w:line="360" w:lineRule="auto"/>
              <w:ind w:firstLineChars="200" w:firstLine="420"/>
              <w:rPr>
                <w:rFonts w:ascii="Times New Roman" w:eastAsia="宋体" w:hAnsi="Times New Roman" w:cs="Times New Roman"/>
                <w:szCs w:val="21"/>
              </w:rPr>
            </w:pPr>
          </w:p>
          <w:p w:rsidR="00D04C49" w:rsidRDefault="00D04C49" w:rsidP="004954E6">
            <w:pPr>
              <w:spacing w:line="360" w:lineRule="auto"/>
              <w:ind w:firstLineChars="200" w:firstLine="420"/>
              <w:rPr>
                <w:rFonts w:ascii="Times New Roman" w:eastAsia="宋体" w:hAnsi="Times New Roman" w:cs="Times New Roman"/>
                <w:szCs w:val="21"/>
              </w:rPr>
            </w:pPr>
          </w:p>
          <w:p w:rsidR="00D04C49" w:rsidRDefault="00D04C49" w:rsidP="004954E6">
            <w:pPr>
              <w:spacing w:line="360" w:lineRule="auto"/>
              <w:ind w:firstLineChars="200" w:firstLine="420"/>
              <w:rPr>
                <w:rFonts w:ascii="Times New Roman" w:eastAsia="宋体" w:hAnsi="Times New Roman" w:cs="Times New Roman"/>
                <w:szCs w:val="21"/>
              </w:rPr>
            </w:pPr>
          </w:p>
          <w:p w:rsidR="006365BA" w:rsidRPr="006738CF" w:rsidRDefault="006365BA" w:rsidP="004954E6">
            <w:pPr>
              <w:spacing w:line="360" w:lineRule="auto"/>
              <w:ind w:firstLineChars="200" w:firstLine="420"/>
              <w:rPr>
                <w:rFonts w:ascii="Times New Roman" w:eastAsia="宋体" w:hAnsi="Times New Roman" w:cs="Times New Roman"/>
                <w:szCs w:val="21"/>
              </w:rPr>
            </w:pPr>
          </w:p>
        </w:tc>
        <w:tc>
          <w:tcPr>
            <w:tcW w:w="2214" w:type="pct"/>
          </w:tcPr>
          <w:p w:rsidR="009D5BBF" w:rsidRPr="009D5BBF" w:rsidRDefault="00926C41" w:rsidP="004954E6">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BF412B" w:rsidRDefault="00BF412B" w:rsidP="004954E6">
            <w:pPr>
              <w:spacing w:line="360" w:lineRule="auto"/>
              <w:ind w:firstLineChars="200" w:firstLine="420"/>
              <w:rPr>
                <w:rFonts w:ascii="Times New Roman" w:hAnsi="Times New Roman" w:cs="Times New Roman"/>
                <w:bCs/>
                <w:szCs w:val="21"/>
              </w:rPr>
            </w:pPr>
            <w:r w:rsidRPr="00BF412B">
              <w:rPr>
                <w:rFonts w:ascii="Times New Roman" w:hAnsi="Times New Roman" w:cs="Times New Roman" w:hint="eastAsia"/>
                <w:bCs/>
                <w:szCs w:val="21"/>
              </w:rPr>
              <w:t>1</w:t>
            </w:r>
            <w:r w:rsidRPr="00BF412B">
              <w:rPr>
                <w:rFonts w:ascii="Times New Roman" w:hAnsi="Times New Roman" w:cs="Times New Roman"/>
                <w:bCs/>
                <w:szCs w:val="21"/>
              </w:rPr>
              <w:t>5</w:t>
            </w:r>
            <w:r w:rsidRPr="00BF412B">
              <w:rPr>
                <w:rFonts w:ascii="Times New Roman" w:hAnsi="Times New Roman" w:cs="Times New Roman" w:hint="eastAsia"/>
                <w:bCs/>
                <w:szCs w:val="21"/>
              </w:rPr>
              <w:t>、《流动性规定》：指中国证监会</w:t>
            </w:r>
            <w:r w:rsidRPr="00BF412B">
              <w:rPr>
                <w:rFonts w:ascii="Times New Roman" w:hAnsi="Times New Roman" w:cs="Times New Roman" w:hint="eastAsia"/>
                <w:bCs/>
                <w:szCs w:val="21"/>
              </w:rPr>
              <w:t>2017</w:t>
            </w:r>
            <w:r w:rsidRPr="00BF412B">
              <w:rPr>
                <w:rFonts w:ascii="Times New Roman" w:hAnsi="Times New Roman" w:cs="Times New Roman" w:hint="eastAsia"/>
                <w:bCs/>
                <w:szCs w:val="21"/>
              </w:rPr>
              <w:t>年</w:t>
            </w:r>
            <w:r w:rsidRPr="00BF412B">
              <w:rPr>
                <w:rFonts w:ascii="Times New Roman" w:hAnsi="Times New Roman" w:cs="Times New Roman" w:hint="eastAsia"/>
                <w:bCs/>
                <w:szCs w:val="21"/>
              </w:rPr>
              <w:t>8</w:t>
            </w:r>
            <w:r w:rsidRPr="00BF412B">
              <w:rPr>
                <w:rFonts w:ascii="Times New Roman" w:hAnsi="Times New Roman" w:cs="Times New Roman" w:hint="eastAsia"/>
                <w:bCs/>
                <w:szCs w:val="21"/>
              </w:rPr>
              <w:t>月</w:t>
            </w:r>
            <w:r w:rsidRPr="00BF412B">
              <w:rPr>
                <w:rFonts w:ascii="Times New Roman" w:hAnsi="Times New Roman" w:cs="Times New Roman" w:hint="eastAsia"/>
                <w:bCs/>
                <w:szCs w:val="21"/>
              </w:rPr>
              <w:t>31</w:t>
            </w:r>
            <w:r w:rsidRPr="00BF412B">
              <w:rPr>
                <w:rFonts w:ascii="Times New Roman" w:hAnsi="Times New Roman" w:cs="Times New Roman" w:hint="eastAsia"/>
                <w:bCs/>
                <w:szCs w:val="21"/>
              </w:rPr>
              <w:t>日颁布、同年</w:t>
            </w:r>
            <w:r w:rsidRPr="00BF412B">
              <w:rPr>
                <w:rFonts w:ascii="Times New Roman" w:hAnsi="Times New Roman" w:cs="Times New Roman" w:hint="eastAsia"/>
                <w:bCs/>
                <w:szCs w:val="21"/>
              </w:rPr>
              <w:t>10</w:t>
            </w:r>
            <w:r w:rsidRPr="00BF412B">
              <w:rPr>
                <w:rFonts w:ascii="Times New Roman" w:hAnsi="Times New Roman" w:cs="Times New Roman" w:hint="eastAsia"/>
                <w:bCs/>
                <w:szCs w:val="21"/>
              </w:rPr>
              <w:t>月</w:t>
            </w:r>
            <w:r w:rsidRPr="00BF412B">
              <w:rPr>
                <w:rFonts w:ascii="Times New Roman" w:hAnsi="Times New Roman" w:cs="Times New Roman" w:hint="eastAsia"/>
                <w:bCs/>
                <w:szCs w:val="21"/>
              </w:rPr>
              <w:t>1</w:t>
            </w:r>
            <w:r w:rsidRPr="00BF412B">
              <w:rPr>
                <w:rFonts w:ascii="Times New Roman" w:hAnsi="Times New Roman" w:cs="Times New Roman" w:hint="eastAsia"/>
                <w:bCs/>
                <w:szCs w:val="21"/>
              </w:rPr>
              <w:t>日实施的《公开募集开放式证券投资基金流动性风险管理规定》及颁布机关对其不时做出的修订</w:t>
            </w:r>
          </w:p>
          <w:p w:rsidR="009D5BBF" w:rsidRPr="009D5BBF" w:rsidRDefault="00A65CA5" w:rsidP="004954E6">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rsidR="006365BA" w:rsidRPr="00A4021F" w:rsidRDefault="00BF412B" w:rsidP="004954E6">
            <w:pPr>
              <w:spacing w:line="360" w:lineRule="auto"/>
              <w:ind w:firstLineChars="200" w:firstLine="420"/>
              <w:rPr>
                <w:rFonts w:ascii="Times New Roman" w:hAnsi="Times New Roman" w:cs="Times New Roman"/>
                <w:bCs/>
                <w:szCs w:val="21"/>
              </w:rPr>
            </w:pPr>
            <w:r w:rsidRPr="00BF412B">
              <w:rPr>
                <w:rFonts w:ascii="Times New Roman" w:hAnsi="Times New Roman" w:cs="Times New Roman" w:hint="eastAsia"/>
                <w:bCs/>
                <w:szCs w:val="21"/>
              </w:rPr>
              <w:t>7</w:t>
            </w:r>
            <w:r w:rsidRPr="00BF412B">
              <w:rPr>
                <w:rFonts w:ascii="Times New Roman" w:hAnsi="Times New Roman" w:cs="Times New Roman"/>
                <w:bCs/>
                <w:szCs w:val="21"/>
              </w:rPr>
              <w:t>5</w:t>
            </w:r>
            <w:r w:rsidRPr="00BF412B">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BF412B">
              <w:rPr>
                <w:rFonts w:ascii="Times New Roman" w:hAnsi="Times New Roman" w:cs="Times New Roman" w:hint="eastAsia"/>
                <w:bCs/>
                <w:szCs w:val="21"/>
              </w:rPr>
              <w:t>10</w:t>
            </w:r>
            <w:r w:rsidRPr="00BF412B">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BF412B" w:rsidRPr="00BF412B" w:rsidRDefault="00BF412B" w:rsidP="004954E6">
            <w:pPr>
              <w:numPr>
                <w:ilvl w:val="0"/>
                <w:numId w:val="15"/>
              </w:numPr>
              <w:spacing w:line="360" w:lineRule="auto"/>
              <w:jc w:val="center"/>
              <w:rPr>
                <w:rFonts w:ascii="Times New Roman" w:eastAsia="宋体" w:hAnsi="Times New Roman" w:cs="Times New Roman"/>
                <w:b/>
                <w:szCs w:val="21"/>
              </w:rPr>
            </w:pPr>
            <w:bookmarkStart w:id="6" w:name="_Toc610"/>
            <w:bookmarkStart w:id="7" w:name="_Toc123051452"/>
            <w:bookmarkStart w:id="8" w:name="_Toc48649707"/>
            <w:bookmarkStart w:id="9" w:name="_Toc23822"/>
            <w:bookmarkStart w:id="10" w:name="_Toc4003"/>
            <w:bookmarkStart w:id="11" w:name="_Toc79392606"/>
            <w:bookmarkStart w:id="12" w:name="_Toc123112234"/>
            <w:bookmarkStart w:id="13" w:name="_Toc17244"/>
            <w:bookmarkStart w:id="14" w:name="_Toc20733"/>
            <w:bookmarkStart w:id="15" w:name="_Toc1427"/>
            <w:bookmarkStart w:id="16" w:name="_Toc1270"/>
            <w:bookmarkStart w:id="17" w:name="_Toc123102453"/>
            <w:bookmarkStart w:id="18" w:name="_Toc312933428"/>
            <w:bookmarkStart w:id="19" w:name="_Toc98560352"/>
            <w:bookmarkStart w:id="20" w:name="_Toc139991736"/>
            <w:bookmarkStart w:id="21" w:name="_Toc141703886"/>
            <w:bookmarkStart w:id="22" w:name="_Toc10463"/>
            <w:bookmarkStart w:id="23" w:name="_Toc7920"/>
            <w:bookmarkStart w:id="24" w:name="_Toc23261"/>
            <w:bookmarkStart w:id="25" w:name="_Toc350774406"/>
            <w:r w:rsidRPr="00BF412B">
              <w:rPr>
                <w:rFonts w:ascii="Times New Roman" w:eastAsia="宋体" w:hAnsi="Times New Roman" w:cs="Times New Roman"/>
                <w:b/>
                <w:szCs w:val="21"/>
              </w:rPr>
              <w:lastRenderedPageBreak/>
              <w:t>第六部分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b/>
                <w:szCs w:val="21"/>
              </w:rPr>
              <w:t>基金份额的申购与赎回</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365BA" w:rsidRPr="00BF412B" w:rsidRDefault="006365BA" w:rsidP="004954E6">
            <w:pPr>
              <w:spacing w:line="360" w:lineRule="auto"/>
              <w:jc w:val="center"/>
              <w:rPr>
                <w:rFonts w:ascii="Times New Roman" w:eastAsia="宋体" w:hAnsi="Times New Roman" w:cs="Times New Roman"/>
                <w:szCs w:val="21"/>
              </w:rPr>
            </w:pPr>
          </w:p>
        </w:tc>
        <w:tc>
          <w:tcPr>
            <w:tcW w:w="2217"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t>五、申购和赎回的数量限制</w:t>
            </w:r>
          </w:p>
          <w:p w:rsidR="006365BA" w:rsidRPr="00BF412B" w:rsidRDefault="006365BA" w:rsidP="004954E6">
            <w:pPr>
              <w:spacing w:line="360" w:lineRule="auto"/>
              <w:ind w:firstLineChars="200" w:firstLine="420"/>
              <w:rPr>
                <w:rFonts w:ascii="Times New Roman" w:eastAsia="宋体" w:hAnsi="Times New Roman" w:cs="Times New Roman"/>
                <w:szCs w:val="21"/>
              </w:rPr>
            </w:pPr>
          </w:p>
        </w:tc>
        <w:tc>
          <w:tcPr>
            <w:tcW w:w="2214"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t>五、申购和赎回的数量限制</w:t>
            </w:r>
          </w:p>
          <w:p w:rsidR="006E3EF5" w:rsidRPr="006E3EF5" w:rsidRDefault="006365BA" w:rsidP="004954E6">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hint="eastAsia"/>
                <w:bCs/>
                <w:szCs w:val="21"/>
              </w:rPr>
              <w:t>4</w:t>
            </w:r>
            <w:r w:rsidRPr="00BF412B">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407D0F" w:rsidRPr="006C7529" w:rsidTr="00A77C39">
        <w:trPr>
          <w:jc w:val="center"/>
        </w:trPr>
        <w:tc>
          <w:tcPr>
            <w:tcW w:w="569" w:type="pct"/>
          </w:tcPr>
          <w:p w:rsidR="00BF412B" w:rsidRPr="00BF412B" w:rsidRDefault="00BF412B" w:rsidP="004954E6">
            <w:pPr>
              <w:numPr>
                <w:ilvl w:val="0"/>
                <w:numId w:val="15"/>
              </w:numPr>
              <w:spacing w:line="360" w:lineRule="auto"/>
              <w:jc w:val="center"/>
              <w:rPr>
                <w:rFonts w:ascii="Times New Roman" w:eastAsia="宋体" w:hAnsi="Times New Roman" w:cs="Times New Roman"/>
                <w:b/>
                <w:szCs w:val="21"/>
              </w:rPr>
            </w:pPr>
            <w:r w:rsidRPr="00BF412B">
              <w:rPr>
                <w:rFonts w:ascii="Times New Roman" w:eastAsia="宋体" w:hAnsi="Times New Roman" w:cs="Times New Roman"/>
                <w:b/>
                <w:szCs w:val="21"/>
              </w:rPr>
              <w:t>第六部分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b/>
                <w:szCs w:val="21"/>
              </w:rPr>
              <w:t>基金份额的</w:t>
            </w:r>
            <w:r w:rsidRPr="00BF412B">
              <w:rPr>
                <w:rFonts w:ascii="Times New Roman" w:eastAsia="宋体" w:hAnsi="Times New Roman" w:cs="Times New Roman"/>
                <w:b/>
                <w:szCs w:val="21"/>
              </w:rPr>
              <w:lastRenderedPageBreak/>
              <w:t>申购与赎回</w:t>
            </w:r>
          </w:p>
          <w:p w:rsidR="00407D0F" w:rsidRPr="00AD3650" w:rsidRDefault="00407D0F" w:rsidP="004954E6">
            <w:pPr>
              <w:numPr>
                <w:ilvl w:val="0"/>
                <w:numId w:val="15"/>
              </w:numPr>
              <w:spacing w:line="360" w:lineRule="auto"/>
              <w:jc w:val="center"/>
              <w:rPr>
                <w:rFonts w:ascii="Times New Roman" w:eastAsia="宋体" w:hAnsi="Times New Roman" w:cs="Times New Roman"/>
                <w:b/>
                <w:szCs w:val="21"/>
              </w:rPr>
            </w:pPr>
          </w:p>
        </w:tc>
        <w:tc>
          <w:tcPr>
            <w:tcW w:w="2217"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lastRenderedPageBreak/>
              <w:t>六、申购和赎回的价格、费用及其用途</w:t>
            </w:r>
          </w:p>
          <w:p w:rsidR="00407D0F" w:rsidRPr="00407D0F"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t>5</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赎回费用由赎回基金份额的基金份额持有人承</w:t>
            </w:r>
            <w:r w:rsidRPr="00BF412B">
              <w:rPr>
                <w:rFonts w:ascii="Times New Roman" w:eastAsia="宋体" w:hAnsi="Times New Roman" w:cs="Times New Roman"/>
                <w:bCs/>
                <w:szCs w:val="21"/>
              </w:rPr>
              <w:lastRenderedPageBreak/>
              <w:t>担，在基金份额持有人赎回基金份额时收取。不低于赎回费总额的</w:t>
            </w:r>
            <w:r w:rsidRPr="00BF412B">
              <w:rPr>
                <w:rFonts w:ascii="Times New Roman" w:eastAsia="宋体" w:hAnsi="Times New Roman" w:cs="Times New Roman" w:hint="eastAsia"/>
                <w:bCs/>
                <w:szCs w:val="21"/>
              </w:rPr>
              <w:t>25%</w:t>
            </w:r>
            <w:r w:rsidRPr="00BF412B">
              <w:rPr>
                <w:rFonts w:ascii="Times New Roman" w:eastAsia="宋体" w:hAnsi="Times New Roman" w:cs="Times New Roman"/>
                <w:bCs/>
                <w:szCs w:val="21"/>
              </w:rPr>
              <w:t>应归基金财产，其余用于支付登记费和其他必要的手续费。</w:t>
            </w:r>
          </w:p>
        </w:tc>
        <w:tc>
          <w:tcPr>
            <w:tcW w:w="2214"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lastRenderedPageBreak/>
              <w:t>六、申购和赎回的价格、费用及其用途</w:t>
            </w:r>
          </w:p>
          <w:p w:rsidR="00407D0F" w:rsidRPr="00407D0F"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t>5</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赎回费用由赎回基金份额的基金份额持有人承</w:t>
            </w:r>
            <w:r w:rsidRPr="00BF412B">
              <w:rPr>
                <w:rFonts w:ascii="Times New Roman" w:eastAsia="宋体" w:hAnsi="Times New Roman" w:cs="Times New Roman"/>
                <w:bCs/>
                <w:szCs w:val="21"/>
              </w:rPr>
              <w:lastRenderedPageBreak/>
              <w:t>担，在基金份额持有人赎回基金份额时收取。不低于赎回费总额的</w:t>
            </w:r>
            <w:r w:rsidRPr="00BF412B">
              <w:rPr>
                <w:rFonts w:ascii="Times New Roman" w:eastAsia="宋体" w:hAnsi="Times New Roman" w:cs="Times New Roman" w:hint="eastAsia"/>
                <w:bCs/>
                <w:szCs w:val="21"/>
              </w:rPr>
              <w:t>25%</w:t>
            </w:r>
            <w:r w:rsidRPr="00BF412B">
              <w:rPr>
                <w:rFonts w:ascii="Times New Roman" w:eastAsia="宋体" w:hAnsi="Times New Roman" w:cs="Times New Roman"/>
                <w:bCs/>
                <w:szCs w:val="21"/>
              </w:rPr>
              <w:t>应归基金财产，其余用于支付登记费和其他必要的手续费。</w:t>
            </w:r>
            <w:r w:rsidRPr="00BF412B">
              <w:rPr>
                <w:rFonts w:ascii="Times New Roman" w:eastAsia="宋体" w:hAnsi="Times New Roman" w:cs="Times New Roman" w:hint="eastAsia"/>
                <w:bCs/>
                <w:szCs w:val="21"/>
              </w:rPr>
              <w:t>其中，对持续持有期少于</w:t>
            </w:r>
            <w:r w:rsidRPr="00BF412B">
              <w:rPr>
                <w:rFonts w:ascii="Times New Roman" w:eastAsia="宋体" w:hAnsi="Times New Roman" w:cs="Times New Roman" w:hint="eastAsia"/>
                <w:bCs/>
                <w:szCs w:val="21"/>
              </w:rPr>
              <w:t>7</w:t>
            </w:r>
            <w:r w:rsidRPr="00BF412B">
              <w:rPr>
                <w:rFonts w:ascii="Times New Roman" w:eastAsia="宋体" w:hAnsi="Times New Roman" w:cs="Times New Roman" w:hint="eastAsia"/>
                <w:bCs/>
                <w:szCs w:val="21"/>
              </w:rPr>
              <w:t>日的基金份额持有人收取不低于</w:t>
            </w:r>
            <w:r w:rsidRPr="00BF412B">
              <w:rPr>
                <w:rFonts w:ascii="Times New Roman" w:eastAsia="宋体" w:hAnsi="Times New Roman" w:cs="Times New Roman" w:hint="eastAsia"/>
                <w:bCs/>
                <w:szCs w:val="21"/>
              </w:rPr>
              <w:t>1.5%</w:t>
            </w:r>
            <w:r w:rsidRPr="00BF412B">
              <w:rPr>
                <w:rFonts w:ascii="Times New Roman" w:eastAsia="宋体" w:hAnsi="Times New Roman" w:cs="Times New Roman" w:hint="eastAsia"/>
                <w:bCs/>
                <w:szCs w:val="21"/>
              </w:rPr>
              <w:t>的赎回费并全额计入基金财产。</w:t>
            </w:r>
          </w:p>
        </w:tc>
      </w:tr>
      <w:tr w:rsidR="00BE68AA" w:rsidRPr="006C7529" w:rsidTr="00A77C39">
        <w:trPr>
          <w:jc w:val="center"/>
        </w:trPr>
        <w:tc>
          <w:tcPr>
            <w:tcW w:w="569" w:type="pct"/>
          </w:tcPr>
          <w:p w:rsidR="00BF412B" w:rsidRPr="00BF412B" w:rsidRDefault="00BF412B" w:rsidP="004954E6">
            <w:pPr>
              <w:numPr>
                <w:ilvl w:val="0"/>
                <w:numId w:val="15"/>
              </w:numPr>
              <w:spacing w:line="360" w:lineRule="auto"/>
              <w:jc w:val="center"/>
              <w:rPr>
                <w:rFonts w:ascii="Times New Roman" w:eastAsia="宋体" w:hAnsi="Times New Roman" w:cs="Times New Roman"/>
                <w:b/>
                <w:szCs w:val="21"/>
              </w:rPr>
            </w:pPr>
            <w:r w:rsidRPr="00BF412B">
              <w:rPr>
                <w:rFonts w:ascii="Times New Roman" w:eastAsia="宋体" w:hAnsi="Times New Roman" w:cs="Times New Roman"/>
                <w:b/>
                <w:szCs w:val="21"/>
              </w:rPr>
              <w:lastRenderedPageBreak/>
              <w:t>第六部分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b/>
                <w:szCs w:val="21"/>
              </w:rPr>
              <w:t>基金份额的申购与赎回</w:t>
            </w:r>
          </w:p>
          <w:p w:rsidR="00BE68AA" w:rsidRPr="00BF412B" w:rsidRDefault="00BE68AA" w:rsidP="004954E6">
            <w:pPr>
              <w:spacing w:line="360" w:lineRule="auto"/>
              <w:jc w:val="center"/>
              <w:rPr>
                <w:rFonts w:ascii="Times New Roman" w:eastAsia="宋体" w:hAnsi="Times New Roman" w:cs="Times New Roman"/>
                <w:b/>
                <w:szCs w:val="21"/>
              </w:rPr>
            </w:pPr>
          </w:p>
        </w:tc>
        <w:tc>
          <w:tcPr>
            <w:tcW w:w="2217"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t>七</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拒绝或暂停申购的情形</w:t>
            </w:r>
          </w:p>
          <w:p w:rsidR="00BE68AA" w:rsidRPr="00BF412B" w:rsidRDefault="00BE68AA"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Default="006E3EF5" w:rsidP="004954E6">
            <w:pPr>
              <w:spacing w:line="360" w:lineRule="auto"/>
              <w:ind w:firstLineChars="200" w:firstLine="420"/>
              <w:rPr>
                <w:rFonts w:ascii="Times New Roman" w:eastAsia="宋体" w:hAnsi="Times New Roman" w:cs="Times New Roman"/>
                <w:bCs/>
                <w:szCs w:val="21"/>
              </w:rPr>
            </w:pPr>
          </w:p>
          <w:p w:rsidR="006E3EF5" w:rsidRPr="00DB2E45"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hint="eastAsia"/>
                <w:bCs/>
                <w:szCs w:val="21"/>
              </w:rPr>
              <w:t>发生上述第</w:t>
            </w:r>
            <w:r w:rsidRPr="00BF412B">
              <w:rPr>
                <w:rFonts w:ascii="Times New Roman" w:eastAsia="宋体" w:hAnsi="Times New Roman" w:cs="Times New Roman"/>
                <w:bCs/>
                <w:szCs w:val="21"/>
              </w:rPr>
              <w:t>1</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2</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3</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5</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6</w:t>
            </w:r>
            <w:r w:rsidRPr="00BF412B">
              <w:rPr>
                <w:rFonts w:ascii="Times New Roman" w:eastAsia="宋体" w:hAnsi="Times New Roman" w:cs="Times New Roman"/>
                <w:bCs/>
                <w:szCs w:val="21"/>
              </w:rPr>
              <w:t>项暂停申购情形且基金</w:t>
            </w:r>
            <w:r w:rsidRPr="00BF412B">
              <w:rPr>
                <w:rFonts w:ascii="Times New Roman" w:eastAsia="宋体" w:hAnsi="Times New Roman" w:cs="Times New Roman"/>
                <w:bCs/>
                <w:szCs w:val="21"/>
              </w:rPr>
              <w:lastRenderedPageBreak/>
              <w:t>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tc>
        <w:tc>
          <w:tcPr>
            <w:tcW w:w="2214" w:type="pct"/>
          </w:tcPr>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bCs/>
                <w:szCs w:val="21"/>
              </w:rPr>
              <w:lastRenderedPageBreak/>
              <w:t>七</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拒绝或暂停申购的情形</w:t>
            </w:r>
          </w:p>
          <w:p w:rsidR="00A4021F" w:rsidRPr="00A4021F" w:rsidRDefault="00FE1E2E" w:rsidP="004954E6">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BF412B" w:rsidRPr="00BF412B"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hint="eastAsia"/>
                <w:bCs/>
                <w:szCs w:val="21"/>
              </w:rPr>
              <w:t>6</w:t>
            </w:r>
            <w:r w:rsidRPr="00BF412B">
              <w:rPr>
                <w:rFonts w:ascii="Times New Roman" w:eastAsia="宋体" w:hAnsi="Times New Roman" w:cs="Times New Roman" w:hint="eastAsia"/>
                <w:bCs/>
                <w:szCs w:val="21"/>
              </w:rPr>
              <w:t>、当前一估值日基金资产净值</w:t>
            </w:r>
            <w:r w:rsidRPr="00BF412B">
              <w:rPr>
                <w:rFonts w:ascii="Times New Roman" w:eastAsia="宋体" w:hAnsi="Times New Roman" w:cs="Times New Roman" w:hint="eastAsia"/>
                <w:bCs/>
                <w:szCs w:val="21"/>
              </w:rPr>
              <w:t>50%</w:t>
            </w:r>
            <w:r w:rsidRPr="00BF412B">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以上的资产出现无可参考的活跃市场价格且采用估值技术仍导致公允价值存在重大不确定性时，经与基金托管人协商确认后，基金管理人应当暂停接受基金申购申请。</w:t>
            </w:r>
          </w:p>
          <w:p w:rsidR="00DB2E45" w:rsidRPr="00DB2E45"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hint="eastAsia"/>
                <w:bCs/>
                <w:szCs w:val="21"/>
              </w:rPr>
              <w:t>7</w:t>
            </w:r>
            <w:r w:rsidRPr="00BF412B">
              <w:rPr>
                <w:rFonts w:ascii="Times New Roman" w:eastAsia="宋体" w:hAnsi="Times New Roman" w:cs="Times New Roman" w:hint="eastAsia"/>
                <w:bCs/>
                <w:szCs w:val="21"/>
              </w:rPr>
              <w:t>、基金管理人接受某笔或者某些申购申请有可能导致单一投资者持有基金份额的比例超过</w:t>
            </w:r>
            <w:r w:rsidRPr="00BF412B">
              <w:rPr>
                <w:rFonts w:ascii="Times New Roman" w:eastAsia="宋体" w:hAnsi="Times New Roman" w:cs="Times New Roman" w:hint="eastAsia"/>
                <w:bCs/>
                <w:szCs w:val="21"/>
              </w:rPr>
              <w:t>50%</w:t>
            </w:r>
            <w:r w:rsidRPr="00BF412B">
              <w:rPr>
                <w:rFonts w:ascii="Times New Roman" w:eastAsia="宋体" w:hAnsi="Times New Roman" w:cs="Times New Roman" w:hint="eastAsia"/>
                <w:bCs/>
                <w:szCs w:val="21"/>
              </w:rPr>
              <w:t>，或者变相规避</w:t>
            </w:r>
            <w:r w:rsidRPr="00BF412B">
              <w:rPr>
                <w:rFonts w:ascii="Times New Roman" w:eastAsia="宋体" w:hAnsi="Times New Roman" w:cs="Times New Roman" w:hint="eastAsia"/>
                <w:bCs/>
                <w:szCs w:val="21"/>
              </w:rPr>
              <w:t>50%</w:t>
            </w:r>
            <w:r w:rsidRPr="00BF412B">
              <w:rPr>
                <w:rFonts w:ascii="Times New Roman" w:eastAsia="宋体" w:hAnsi="Times New Roman" w:cs="Times New Roman" w:hint="eastAsia"/>
                <w:bCs/>
                <w:szCs w:val="21"/>
              </w:rPr>
              <w:t>集中度的情形。出现上述</w:t>
            </w:r>
            <w:r w:rsidRPr="00BF412B">
              <w:rPr>
                <w:rFonts w:ascii="Times New Roman" w:eastAsia="宋体" w:hAnsi="Times New Roman" w:cs="Times New Roman"/>
                <w:bCs/>
                <w:szCs w:val="21"/>
              </w:rPr>
              <w:t>情形时，基金管理人有权将上述申购申请全部或部分确认失败。</w:t>
            </w:r>
          </w:p>
          <w:p w:rsidR="006E3EF5" w:rsidRDefault="006E3EF5" w:rsidP="004954E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E3EF5" w:rsidRPr="00DB2E45" w:rsidRDefault="00BF412B" w:rsidP="004954E6">
            <w:pPr>
              <w:spacing w:line="360" w:lineRule="auto"/>
              <w:ind w:firstLineChars="200" w:firstLine="420"/>
              <w:rPr>
                <w:rFonts w:ascii="Times New Roman" w:eastAsia="宋体" w:hAnsi="Times New Roman" w:cs="Times New Roman"/>
                <w:bCs/>
                <w:szCs w:val="21"/>
              </w:rPr>
            </w:pPr>
            <w:r w:rsidRPr="00BF412B">
              <w:rPr>
                <w:rFonts w:ascii="Times New Roman" w:eastAsia="宋体" w:hAnsi="Times New Roman" w:cs="Times New Roman" w:hint="eastAsia"/>
                <w:bCs/>
                <w:szCs w:val="21"/>
              </w:rPr>
              <w:t>发生上述第</w:t>
            </w:r>
            <w:r w:rsidRPr="00BF412B">
              <w:rPr>
                <w:rFonts w:ascii="Times New Roman" w:eastAsia="宋体" w:hAnsi="Times New Roman" w:cs="Times New Roman"/>
                <w:bCs/>
                <w:szCs w:val="21"/>
              </w:rPr>
              <w:t>1</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2</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3</w:t>
            </w:r>
            <w:r w:rsidRPr="00BF412B">
              <w:rPr>
                <w:rFonts w:ascii="Times New Roman" w:eastAsia="宋体" w:hAnsi="Times New Roman" w:cs="Times New Roman"/>
                <w:bCs/>
                <w:szCs w:val="21"/>
              </w:rPr>
              <w:t>、</w:t>
            </w:r>
            <w:r w:rsidRPr="00BF412B">
              <w:rPr>
                <w:rFonts w:ascii="Times New Roman" w:eastAsia="宋体" w:hAnsi="Times New Roman" w:cs="Times New Roman"/>
                <w:bCs/>
                <w:szCs w:val="21"/>
              </w:rPr>
              <w:t>5</w:t>
            </w:r>
            <w:r w:rsidRPr="00BF412B">
              <w:rPr>
                <w:rFonts w:ascii="Times New Roman" w:eastAsia="宋体" w:hAnsi="Times New Roman" w:cs="Times New Roman" w:hint="eastAsia"/>
                <w:bCs/>
                <w:szCs w:val="21"/>
              </w:rPr>
              <w:t>、</w:t>
            </w:r>
            <w:r w:rsidRPr="00BF412B">
              <w:rPr>
                <w:rFonts w:ascii="Times New Roman" w:eastAsia="宋体" w:hAnsi="Times New Roman" w:cs="Times New Roman"/>
                <w:bCs/>
                <w:szCs w:val="21"/>
              </w:rPr>
              <w:t>6</w:t>
            </w:r>
            <w:r w:rsidRPr="00BF412B">
              <w:rPr>
                <w:rFonts w:ascii="Times New Roman" w:eastAsia="宋体" w:hAnsi="Times New Roman" w:cs="Times New Roman" w:hint="eastAsia"/>
                <w:bCs/>
                <w:szCs w:val="21"/>
              </w:rPr>
              <w:t>、</w:t>
            </w:r>
            <w:r w:rsidRPr="00BF412B">
              <w:rPr>
                <w:rFonts w:ascii="Times New Roman" w:eastAsia="宋体" w:hAnsi="Times New Roman" w:cs="Times New Roman" w:hint="eastAsia"/>
                <w:bCs/>
                <w:szCs w:val="21"/>
              </w:rPr>
              <w:t>8</w:t>
            </w:r>
            <w:r w:rsidRPr="00BF412B">
              <w:rPr>
                <w:rFonts w:ascii="Times New Roman" w:eastAsia="宋体" w:hAnsi="Times New Roman" w:cs="Times New Roman"/>
                <w:bCs/>
                <w:szCs w:val="21"/>
              </w:rPr>
              <w:t>项暂停申购情形且</w:t>
            </w:r>
            <w:r w:rsidRPr="00BF412B">
              <w:rPr>
                <w:rFonts w:ascii="Times New Roman" w:eastAsia="宋体" w:hAnsi="Times New Roman" w:cs="Times New Roman"/>
                <w:bCs/>
                <w:szCs w:val="21"/>
              </w:rPr>
              <w:lastRenderedPageBreak/>
              <w:t>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tc>
      </w:tr>
      <w:tr w:rsidR="00A4021F" w:rsidRPr="006C7529" w:rsidTr="00A77C39">
        <w:trPr>
          <w:jc w:val="center"/>
        </w:trPr>
        <w:tc>
          <w:tcPr>
            <w:tcW w:w="569" w:type="pct"/>
          </w:tcPr>
          <w:p w:rsidR="00BF412B" w:rsidRPr="00BF412B" w:rsidRDefault="00BF412B" w:rsidP="004954E6">
            <w:pPr>
              <w:numPr>
                <w:ilvl w:val="0"/>
                <w:numId w:val="14"/>
              </w:numPr>
              <w:spacing w:line="360" w:lineRule="auto"/>
              <w:jc w:val="center"/>
              <w:rPr>
                <w:rFonts w:ascii="Times New Roman" w:eastAsia="宋体" w:hAnsi="Times New Roman" w:cs="Times New Roman"/>
                <w:b/>
                <w:szCs w:val="21"/>
              </w:rPr>
            </w:pPr>
            <w:r w:rsidRPr="00BF412B">
              <w:rPr>
                <w:rFonts w:ascii="Times New Roman" w:eastAsia="宋体" w:hAnsi="Times New Roman" w:cs="Times New Roman"/>
                <w:b/>
                <w:szCs w:val="21"/>
              </w:rPr>
              <w:lastRenderedPageBreak/>
              <w:t>第六部分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b/>
                <w:szCs w:val="21"/>
              </w:rPr>
              <w:t>基金份额的申购与赎回</w:t>
            </w:r>
          </w:p>
          <w:p w:rsidR="00A4021F" w:rsidRPr="00A4021F" w:rsidRDefault="00A4021F" w:rsidP="004954E6">
            <w:pPr>
              <w:numPr>
                <w:ilvl w:val="0"/>
                <w:numId w:val="14"/>
              </w:numPr>
              <w:spacing w:line="360" w:lineRule="auto"/>
              <w:jc w:val="center"/>
              <w:rPr>
                <w:rFonts w:ascii="Times New Roman" w:eastAsia="宋体" w:hAnsi="Times New Roman" w:cs="Times New Roman"/>
                <w:b/>
                <w:szCs w:val="21"/>
              </w:rPr>
            </w:pPr>
          </w:p>
        </w:tc>
        <w:tc>
          <w:tcPr>
            <w:tcW w:w="2217" w:type="pct"/>
          </w:tcPr>
          <w:p w:rsidR="00085A6D" w:rsidRPr="00085A6D"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八</w:t>
            </w:r>
            <w:r w:rsidRPr="00085A6D">
              <w:rPr>
                <w:rFonts w:ascii="Times New Roman" w:eastAsia="宋体" w:hAnsi="Times New Roman" w:cs="Times New Roman" w:hint="eastAsia"/>
                <w:bCs/>
                <w:szCs w:val="21"/>
              </w:rPr>
              <w:t>、</w:t>
            </w:r>
            <w:r w:rsidRPr="00085A6D">
              <w:rPr>
                <w:rFonts w:ascii="Times New Roman" w:eastAsia="宋体" w:hAnsi="Times New Roman" w:cs="Times New Roman"/>
                <w:bCs/>
                <w:szCs w:val="21"/>
              </w:rPr>
              <w:t>暂停赎回或延缓支付赎回款项的情形</w:t>
            </w:r>
          </w:p>
          <w:p w:rsidR="00A4021F" w:rsidRPr="00085A6D" w:rsidRDefault="00A4021F" w:rsidP="004954E6">
            <w:pPr>
              <w:spacing w:line="360" w:lineRule="auto"/>
              <w:ind w:firstLineChars="200" w:firstLine="420"/>
              <w:rPr>
                <w:rFonts w:ascii="Times New Roman" w:eastAsia="宋体" w:hAnsi="Times New Roman" w:cs="Times New Roman"/>
                <w:bCs/>
                <w:szCs w:val="21"/>
              </w:rPr>
            </w:pPr>
          </w:p>
        </w:tc>
        <w:tc>
          <w:tcPr>
            <w:tcW w:w="2214" w:type="pct"/>
          </w:tcPr>
          <w:p w:rsidR="00085A6D" w:rsidRPr="00085A6D"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八</w:t>
            </w:r>
            <w:r w:rsidRPr="00085A6D">
              <w:rPr>
                <w:rFonts w:ascii="Times New Roman" w:eastAsia="宋体" w:hAnsi="Times New Roman" w:cs="Times New Roman" w:hint="eastAsia"/>
                <w:bCs/>
                <w:szCs w:val="21"/>
              </w:rPr>
              <w:t>、</w:t>
            </w:r>
            <w:r w:rsidRPr="00085A6D">
              <w:rPr>
                <w:rFonts w:ascii="Times New Roman" w:eastAsia="宋体" w:hAnsi="Times New Roman" w:cs="Times New Roman"/>
                <w:bCs/>
                <w:szCs w:val="21"/>
              </w:rPr>
              <w:t>暂停赎回或延缓支付赎回款项的情形</w:t>
            </w:r>
          </w:p>
          <w:p w:rsidR="00A4021F" w:rsidRDefault="00A4021F" w:rsidP="004954E6">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rsidR="00A4021F" w:rsidRPr="00A4021F"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hint="eastAsia"/>
                <w:bCs/>
                <w:szCs w:val="21"/>
              </w:rPr>
              <w:t>6</w:t>
            </w:r>
            <w:r w:rsidRPr="00085A6D">
              <w:rPr>
                <w:rFonts w:ascii="Times New Roman" w:eastAsia="宋体" w:hAnsi="Times New Roman" w:cs="Times New Roman" w:hint="eastAsia"/>
                <w:bCs/>
                <w:szCs w:val="21"/>
              </w:rPr>
              <w:t>、当前一估值日基金资产净值</w:t>
            </w:r>
            <w:r w:rsidRPr="00085A6D">
              <w:rPr>
                <w:rFonts w:ascii="Times New Roman" w:eastAsia="宋体" w:hAnsi="Times New Roman" w:cs="Times New Roman" w:hint="eastAsia"/>
                <w:bCs/>
                <w:szCs w:val="21"/>
              </w:rPr>
              <w:t>50%</w:t>
            </w:r>
            <w:r w:rsidRPr="00085A6D">
              <w:rPr>
                <w:rFonts w:ascii="Times New Roman" w:eastAsia="宋体" w:hAnsi="Times New Roman" w:cs="Times New Roman" w:hint="eastAsia"/>
                <w:bCs/>
                <w:szCs w:val="21"/>
              </w:rPr>
              <w:t>以上的资产出现无可参考的活跃市场价格且采用估值技术仍导致公允价值存在重大不确定性时，经与基金托管人协商确认后，基金管理人应当暂停接受基金赎回申请或延缓支付赎回款项。</w:t>
            </w:r>
          </w:p>
        </w:tc>
      </w:tr>
      <w:tr w:rsidR="007678CA" w:rsidRPr="006C7529" w:rsidTr="00A77C39">
        <w:trPr>
          <w:jc w:val="center"/>
        </w:trPr>
        <w:tc>
          <w:tcPr>
            <w:tcW w:w="569" w:type="pct"/>
          </w:tcPr>
          <w:p w:rsidR="00BF412B" w:rsidRPr="00BF412B" w:rsidRDefault="00BF412B" w:rsidP="004954E6">
            <w:pPr>
              <w:numPr>
                <w:ilvl w:val="0"/>
                <w:numId w:val="14"/>
              </w:numPr>
              <w:spacing w:line="360" w:lineRule="auto"/>
              <w:jc w:val="center"/>
              <w:rPr>
                <w:rFonts w:ascii="Times New Roman" w:eastAsia="宋体" w:hAnsi="Times New Roman" w:cs="Times New Roman"/>
                <w:b/>
                <w:szCs w:val="21"/>
              </w:rPr>
            </w:pPr>
            <w:r w:rsidRPr="00BF412B">
              <w:rPr>
                <w:rFonts w:ascii="Times New Roman" w:eastAsia="宋体" w:hAnsi="Times New Roman" w:cs="Times New Roman"/>
                <w:b/>
                <w:szCs w:val="21"/>
              </w:rPr>
              <w:t>第六部分</w:t>
            </w:r>
            <w:r w:rsidRPr="00BF412B">
              <w:rPr>
                <w:rFonts w:ascii="Times New Roman" w:eastAsia="宋体" w:hAnsi="Times New Roman" w:cs="Times New Roman"/>
                <w:b/>
                <w:szCs w:val="21"/>
              </w:rPr>
              <w:t xml:space="preserve">  </w:t>
            </w:r>
            <w:r w:rsidRPr="00BF412B">
              <w:rPr>
                <w:rFonts w:ascii="Times New Roman" w:eastAsia="宋体" w:hAnsi="Times New Roman" w:cs="Times New Roman"/>
                <w:b/>
                <w:szCs w:val="21"/>
              </w:rPr>
              <w:t>基金份额的申购与赎回</w:t>
            </w:r>
          </w:p>
          <w:p w:rsidR="007678CA" w:rsidRPr="00A4021F" w:rsidRDefault="007678CA" w:rsidP="004954E6">
            <w:pPr>
              <w:numPr>
                <w:ilvl w:val="0"/>
                <w:numId w:val="14"/>
              </w:numPr>
              <w:spacing w:line="360" w:lineRule="auto"/>
              <w:jc w:val="center"/>
              <w:rPr>
                <w:rFonts w:ascii="Times New Roman" w:eastAsia="宋体" w:hAnsi="Times New Roman" w:cs="Times New Roman"/>
                <w:b/>
                <w:szCs w:val="21"/>
              </w:rPr>
            </w:pPr>
          </w:p>
        </w:tc>
        <w:tc>
          <w:tcPr>
            <w:tcW w:w="2217" w:type="pct"/>
          </w:tcPr>
          <w:p w:rsidR="00085A6D" w:rsidRPr="00085A6D"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九</w:t>
            </w:r>
            <w:r w:rsidRPr="00085A6D">
              <w:rPr>
                <w:rFonts w:ascii="Times New Roman" w:eastAsia="宋体" w:hAnsi="Times New Roman" w:cs="Times New Roman" w:hint="eastAsia"/>
                <w:bCs/>
                <w:szCs w:val="21"/>
              </w:rPr>
              <w:t>、</w:t>
            </w:r>
            <w:r w:rsidRPr="00085A6D">
              <w:rPr>
                <w:rFonts w:ascii="Times New Roman" w:eastAsia="宋体" w:hAnsi="Times New Roman" w:cs="Times New Roman"/>
                <w:bCs/>
                <w:szCs w:val="21"/>
              </w:rPr>
              <w:t>巨额赎回的情形及处理方式</w:t>
            </w:r>
          </w:p>
          <w:p w:rsidR="00131C32" w:rsidRPr="00131C32" w:rsidRDefault="00131C32" w:rsidP="004954E6">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7678CA" w:rsidRPr="00131C32"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w:t>
            </w:r>
            <w:r w:rsidRPr="00085A6D">
              <w:rPr>
                <w:rFonts w:ascii="Times New Roman" w:eastAsia="宋体" w:hAnsi="Times New Roman" w:cs="Times New Roman" w:hint="eastAsia"/>
                <w:bCs/>
                <w:szCs w:val="21"/>
              </w:rPr>
              <w:t>2</w:t>
            </w:r>
            <w:r w:rsidRPr="00085A6D">
              <w:rPr>
                <w:rFonts w:ascii="Times New Roman" w:eastAsia="宋体" w:hAnsi="Times New Roman" w:cs="Times New Roman"/>
                <w:bCs/>
                <w:szCs w:val="21"/>
              </w:rPr>
              <w:t>）部分延期赎回</w:t>
            </w:r>
          </w:p>
        </w:tc>
        <w:tc>
          <w:tcPr>
            <w:tcW w:w="2214" w:type="pct"/>
          </w:tcPr>
          <w:p w:rsidR="00085A6D" w:rsidRPr="00085A6D"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九</w:t>
            </w:r>
            <w:r w:rsidRPr="00085A6D">
              <w:rPr>
                <w:rFonts w:ascii="Times New Roman" w:eastAsia="宋体" w:hAnsi="Times New Roman" w:cs="Times New Roman" w:hint="eastAsia"/>
                <w:bCs/>
                <w:szCs w:val="21"/>
              </w:rPr>
              <w:t>、</w:t>
            </w:r>
            <w:r w:rsidRPr="00085A6D">
              <w:rPr>
                <w:rFonts w:ascii="Times New Roman" w:eastAsia="宋体" w:hAnsi="Times New Roman" w:cs="Times New Roman"/>
                <w:bCs/>
                <w:szCs w:val="21"/>
              </w:rPr>
              <w:t>巨额赎回的情形及处理方式</w:t>
            </w:r>
          </w:p>
          <w:p w:rsidR="00131C32" w:rsidRPr="00131C32" w:rsidRDefault="00131C32" w:rsidP="004954E6">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085A6D" w:rsidRDefault="00085A6D" w:rsidP="004954E6">
            <w:pPr>
              <w:spacing w:line="360" w:lineRule="auto"/>
              <w:ind w:firstLineChars="200" w:firstLine="420"/>
              <w:rPr>
                <w:rFonts w:ascii="Times New Roman" w:eastAsia="宋体" w:hAnsi="Times New Roman" w:cs="Times New Roman"/>
                <w:bCs/>
                <w:szCs w:val="21"/>
              </w:rPr>
            </w:pPr>
            <w:r w:rsidRPr="00085A6D">
              <w:rPr>
                <w:rFonts w:ascii="Times New Roman" w:eastAsia="宋体" w:hAnsi="Times New Roman" w:cs="Times New Roman"/>
                <w:bCs/>
                <w:szCs w:val="21"/>
              </w:rPr>
              <w:t>（</w:t>
            </w:r>
            <w:r w:rsidRPr="00085A6D">
              <w:rPr>
                <w:rFonts w:ascii="Times New Roman" w:eastAsia="宋体" w:hAnsi="Times New Roman" w:cs="Times New Roman" w:hint="eastAsia"/>
                <w:bCs/>
                <w:szCs w:val="21"/>
              </w:rPr>
              <w:t>2</w:t>
            </w:r>
            <w:r w:rsidRPr="00085A6D">
              <w:rPr>
                <w:rFonts w:ascii="Times New Roman" w:eastAsia="宋体" w:hAnsi="Times New Roman" w:cs="Times New Roman"/>
                <w:bCs/>
                <w:szCs w:val="21"/>
              </w:rPr>
              <w:t>）部分延期赎回</w:t>
            </w:r>
          </w:p>
          <w:p w:rsidR="007678CA" w:rsidRDefault="007678CA" w:rsidP="004954E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rsidR="007678CA" w:rsidRPr="007678CA" w:rsidRDefault="00BF7E00" w:rsidP="004954E6">
            <w:pPr>
              <w:spacing w:line="360" w:lineRule="auto"/>
              <w:ind w:firstLineChars="200" w:firstLine="420"/>
              <w:rPr>
                <w:rFonts w:ascii="Times New Roman" w:eastAsia="宋体" w:hAnsi="Times New Roman" w:cs="Times New Roman"/>
                <w:bCs/>
                <w:szCs w:val="21"/>
              </w:rPr>
            </w:pPr>
            <w:r w:rsidRPr="00BF7E00">
              <w:rPr>
                <w:rFonts w:ascii="Times New Roman" w:eastAsia="宋体" w:hAnsi="Times New Roman" w:cs="Times New Roman" w:hint="eastAsia"/>
                <w:bCs/>
                <w:szCs w:val="21"/>
              </w:rPr>
              <w:t>本基金发生巨额赎回且单个基金份额持有人的赎</w:t>
            </w:r>
            <w:r w:rsidRPr="00BF7E00">
              <w:rPr>
                <w:rFonts w:ascii="Times New Roman" w:eastAsia="宋体" w:hAnsi="Times New Roman" w:cs="Times New Roman" w:hint="eastAsia"/>
                <w:bCs/>
                <w:szCs w:val="21"/>
              </w:rPr>
              <w:lastRenderedPageBreak/>
              <w:t>回申请超过上一日基金总份额</w:t>
            </w:r>
            <w:r w:rsidRPr="00BF7E00">
              <w:rPr>
                <w:rFonts w:ascii="Times New Roman" w:eastAsia="宋体" w:hAnsi="Times New Roman" w:cs="Times New Roman" w:hint="eastAsia"/>
                <w:bCs/>
                <w:szCs w:val="21"/>
              </w:rPr>
              <w:t>20%</w:t>
            </w:r>
            <w:r w:rsidRPr="00BF7E00">
              <w:rPr>
                <w:rFonts w:ascii="Times New Roman" w:eastAsia="宋体" w:hAnsi="Times New Roman" w:cs="Times New Roman" w:hint="eastAsia"/>
                <w:bCs/>
                <w:szCs w:val="21"/>
              </w:rPr>
              <w:t>的情形下，基金管理人有权采取如下措施：对于该类基金份额持有人当日超过</w:t>
            </w:r>
            <w:r w:rsidRPr="00BF7E00">
              <w:rPr>
                <w:rFonts w:ascii="Times New Roman" w:eastAsia="宋体" w:hAnsi="Times New Roman" w:cs="Times New Roman" w:hint="eastAsia"/>
                <w:bCs/>
                <w:szCs w:val="21"/>
              </w:rPr>
              <w:t>20%</w:t>
            </w:r>
            <w:r w:rsidRPr="00BF7E00">
              <w:rPr>
                <w:rFonts w:ascii="Times New Roman" w:eastAsia="宋体" w:hAnsi="Times New Roman" w:cs="Times New Roman" w:hint="eastAsia"/>
                <w:bCs/>
                <w:szCs w:val="21"/>
              </w:rPr>
              <w:t>的赎回申请，可以对其赎回申请延期办理；对于该类基金份额持有人未超过上述比例的部分，基金管理人可以根据前段“（</w:t>
            </w:r>
            <w:r w:rsidRPr="00BF7E00">
              <w:rPr>
                <w:rFonts w:ascii="Times New Roman" w:eastAsia="宋体" w:hAnsi="Times New Roman" w:cs="Times New Roman" w:hint="eastAsia"/>
                <w:bCs/>
                <w:szCs w:val="21"/>
              </w:rPr>
              <w:t>1</w:t>
            </w:r>
            <w:r w:rsidRPr="00BF7E00">
              <w:rPr>
                <w:rFonts w:ascii="Times New Roman" w:eastAsia="宋体" w:hAnsi="Times New Roman" w:cs="Times New Roman" w:hint="eastAsia"/>
                <w:bCs/>
                <w:szCs w:val="21"/>
              </w:rPr>
              <w:t>）全额赎回”或“（</w:t>
            </w:r>
            <w:r w:rsidRPr="00BF7E00">
              <w:rPr>
                <w:rFonts w:ascii="Times New Roman" w:eastAsia="宋体" w:hAnsi="Times New Roman" w:cs="Times New Roman" w:hint="eastAsia"/>
                <w:bCs/>
                <w:szCs w:val="21"/>
              </w:rPr>
              <w:t>2</w:t>
            </w:r>
            <w:r w:rsidRPr="00BF7E00">
              <w:rPr>
                <w:rFonts w:ascii="Times New Roman" w:eastAsia="宋体" w:hAnsi="Times New Roman" w:cs="Times New Roman" w:hint="eastAsia"/>
                <w:bCs/>
                <w:szCs w:val="21"/>
              </w:rPr>
              <w:t>）部分延期赎回”的约定方式与其他基金份额持有人的赎回申请一并办理。但是，如该类基金份额持有人在当日选择取消赎回，则其当日未获受理的部分赎回申请将被撤销。</w:t>
            </w:r>
          </w:p>
        </w:tc>
      </w:tr>
      <w:tr w:rsidR="003C2156" w:rsidRPr="006C7529" w:rsidTr="00A77C39">
        <w:trPr>
          <w:jc w:val="center"/>
        </w:trPr>
        <w:tc>
          <w:tcPr>
            <w:tcW w:w="569" w:type="pct"/>
          </w:tcPr>
          <w:p w:rsidR="00421900" w:rsidRPr="00421900" w:rsidRDefault="00421900" w:rsidP="004954E6">
            <w:pPr>
              <w:numPr>
                <w:ilvl w:val="0"/>
                <w:numId w:val="14"/>
              </w:numPr>
              <w:spacing w:line="360" w:lineRule="auto"/>
              <w:jc w:val="center"/>
              <w:rPr>
                <w:rFonts w:ascii="Times New Roman" w:eastAsia="宋体" w:hAnsi="Times New Roman" w:cs="Times New Roman"/>
                <w:b/>
                <w:szCs w:val="21"/>
              </w:rPr>
            </w:pPr>
            <w:bookmarkStart w:id="26" w:name="_Toc139991737"/>
            <w:bookmarkStart w:id="27" w:name="_Toc123051453"/>
            <w:bookmarkStart w:id="28" w:name="_Toc6405"/>
            <w:bookmarkStart w:id="29" w:name="_Toc14835"/>
            <w:bookmarkStart w:id="30" w:name="_Toc141703887"/>
            <w:bookmarkStart w:id="31" w:name="_Toc31644"/>
            <w:bookmarkStart w:id="32" w:name="_Toc123112235"/>
            <w:bookmarkStart w:id="33" w:name="_Toc31653"/>
            <w:bookmarkStart w:id="34" w:name="_Toc31235"/>
            <w:bookmarkStart w:id="35" w:name="_Toc12245"/>
            <w:bookmarkStart w:id="36" w:name="_Toc312933429"/>
            <w:bookmarkStart w:id="37" w:name="_Toc3601"/>
            <w:bookmarkStart w:id="38" w:name="_Toc15143"/>
            <w:bookmarkStart w:id="39" w:name="_Toc29251"/>
            <w:bookmarkStart w:id="40" w:name="_Toc26207"/>
            <w:bookmarkStart w:id="41" w:name="_Toc98560353"/>
            <w:bookmarkStart w:id="42" w:name="_Toc123102454"/>
            <w:bookmarkStart w:id="43" w:name="_Toc350774407"/>
            <w:r w:rsidRPr="00421900">
              <w:rPr>
                <w:rFonts w:ascii="Times New Roman" w:eastAsia="宋体" w:hAnsi="Times New Roman" w:cs="Times New Roman"/>
                <w:b/>
                <w:szCs w:val="21"/>
              </w:rPr>
              <w:lastRenderedPageBreak/>
              <w:t>第七部分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b/>
                <w:szCs w:val="21"/>
              </w:rPr>
              <w:t>基金合同当事人及权利义务</w:t>
            </w:r>
            <w:bookmarkStart w:id="44" w:name="_Hlt5535523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C2156" w:rsidRPr="00AD3650" w:rsidRDefault="003C2156" w:rsidP="004954E6">
            <w:pPr>
              <w:numPr>
                <w:ilvl w:val="0"/>
                <w:numId w:val="14"/>
              </w:numPr>
              <w:spacing w:line="360" w:lineRule="auto"/>
              <w:jc w:val="center"/>
              <w:rPr>
                <w:rFonts w:ascii="Times New Roman" w:eastAsia="宋体" w:hAnsi="Times New Roman" w:cs="Times New Roman"/>
                <w:b/>
                <w:szCs w:val="21"/>
              </w:rPr>
            </w:pPr>
          </w:p>
        </w:tc>
        <w:tc>
          <w:tcPr>
            <w:tcW w:w="2217" w:type="pct"/>
          </w:tcPr>
          <w:p w:rsidR="00421900" w:rsidRPr="00421900" w:rsidRDefault="00421900" w:rsidP="004954E6">
            <w:pPr>
              <w:spacing w:line="360" w:lineRule="auto"/>
              <w:ind w:firstLineChars="200" w:firstLine="420"/>
              <w:rPr>
                <w:rFonts w:ascii="Times New Roman" w:eastAsia="宋体" w:hAnsi="Times New Roman" w:cs="Times New Roman"/>
                <w:bCs/>
                <w:szCs w:val="21"/>
              </w:rPr>
            </w:pPr>
            <w:r w:rsidRPr="00421900">
              <w:rPr>
                <w:rFonts w:ascii="Times New Roman" w:eastAsia="宋体" w:hAnsi="Times New Roman" w:cs="Times New Roman"/>
                <w:bCs/>
                <w:szCs w:val="21"/>
              </w:rPr>
              <w:t>一、基金管理人</w:t>
            </w:r>
          </w:p>
          <w:p w:rsidR="00421900" w:rsidRPr="00421900" w:rsidRDefault="00421900" w:rsidP="004954E6">
            <w:pPr>
              <w:spacing w:line="360" w:lineRule="auto"/>
              <w:ind w:firstLineChars="200" w:firstLine="420"/>
              <w:rPr>
                <w:rFonts w:ascii="Times New Roman" w:eastAsia="宋体" w:hAnsi="Times New Roman" w:cs="Times New Roman"/>
                <w:bCs/>
                <w:szCs w:val="21"/>
              </w:rPr>
            </w:pPr>
            <w:r w:rsidRPr="00421900">
              <w:rPr>
                <w:rFonts w:ascii="Times New Roman" w:eastAsia="宋体" w:hAnsi="Times New Roman" w:cs="Times New Roman"/>
                <w:bCs/>
                <w:szCs w:val="21"/>
              </w:rPr>
              <w:t>（一）</w:t>
            </w:r>
            <w:r w:rsidRPr="00421900">
              <w:rPr>
                <w:rFonts w:ascii="Times New Roman" w:eastAsia="宋体" w:hAnsi="Times New Roman" w:cs="Times New Roman"/>
                <w:bCs/>
                <w:szCs w:val="21"/>
              </w:rPr>
              <w:tab/>
            </w:r>
            <w:r w:rsidRPr="00421900">
              <w:rPr>
                <w:rFonts w:ascii="Times New Roman" w:eastAsia="宋体" w:hAnsi="Times New Roman" w:cs="Times New Roman"/>
                <w:bCs/>
                <w:szCs w:val="21"/>
              </w:rPr>
              <w:t>基金管理人简况</w:t>
            </w:r>
          </w:p>
          <w:p w:rsidR="003C2156" w:rsidRDefault="003C2156" w:rsidP="004954E6">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法定代表人：钱文挥</w:t>
            </w:r>
          </w:p>
          <w:p w:rsidR="003C2156" w:rsidRDefault="003C2156" w:rsidP="004954E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421900" w:rsidRPr="00421900" w:rsidRDefault="00421900" w:rsidP="004954E6">
            <w:pPr>
              <w:spacing w:line="360" w:lineRule="auto"/>
              <w:ind w:firstLineChars="200" w:firstLine="420"/>
              <w:rPr>
                <w:rFonts w:ascii="Times New Roman" w:eastAsia="宋体" w:hAnsi="Times New Roman" w:cs="Times New Roman"/>
                <w:bCs/>
                <w:szCs w:val="21"/>
              </w:rPr>
            </w:pPr>
            <w:r w:rsidRPr="00421900">
              <w:rPr>
                <w:rFonts w:ascii="Times New Roman" w:eastAsia="宋体" w:hAnsi="Times New Roman" w:cs="Times New Roman" w:hint="eastAsia"/>
                <w:bCs/>
                <w:szCs w:val="21"/>
              </w:rPr>
              <w:t>二、基金托管人</w:t>
            </w:r>
          </w:p>
          <w:p w:rsidR="00421900" w:rsidRPr="00421900" w:rsidRDefault="00421900" w:rsidP="004954E6">
            <w:pPr>
              <w:spacing w:line="360" w:lineRule="auto"/>
              <w:ind w:firstLineChars="200" w:firstLine="420"/>
              <w:rPr>
                <w:rFonts w:ascii="Times New Roman" w:eastAsia="宋体" w:hAnsi="Times New Roman" w:cs="Times New Roman"/>
                <w:bCs/>
                <w:szCs w:val="21"/>
              </w:rPr>
            </w:pPr>
            <w:r w:rsidRPr="00421900">
              <w:rPr>
                <w:rFonts w:ascii="Times New Roman" w:eastAsia="宋体" w:hAnsi="Times New Roman" w:cs="Times New Roman" w:hint="eastAsia"/>
                <w:bCs/>
                <w:szCs w:val="21"/>
              </w:rPr>
              <w:t>（一）</w:t>
            </w:r>
            <w:r w:rsidRPr="00421900">
              <w:rPr>
                <w:rFonts w:ascii="Times New Roman" w:eastAsia="宋体" w:hAnsi="Times New Roman" w:cs="Times New Roman"/>
                <w:bCs/>
                <w:szCs w:val="21"/>
              </w:rPr>
              <w:tab/>
            </w:r>
            <w:r w:rsidRPr="00421900">
              <w:rPr>
                <w:rFonts w:ascii="Times New Roman" w:eastAsia="宋体" w:hAnsi="Times New Roman" w:cs="Times New Roman" w:hint="eastAsia"/>
                <w:bCs/>
                <w:szCs w:val="21"/>
              </w:rPr>
              <w:t>基金托管人简况</w:t>
            </w:r>
          </w:p>
          <w:p w:rsidR="003C2156" w:rsidRPr="003C2156" w:rsidRDefault="003C2156" w:rsidP="004954E6">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法定代表人：蒋超良</w:t>
            </w:r>
          </w:p>
        </w:tc>
        <w:tc>
          <w:tcPr>
            <w:tcW w:w="2214" w:type="pct"/>
          </w:tcPr>
          <w:p w:rsidR="00421900" w:rsidRPr="00421900" w:rsidRDefault="00421900" w:rsidP="004954E6">
            <w:pPr>
              <w:spacing w:line="360" w:lineRule="auto"/>
              <w:ind w:firstLineChars="200" w:firstLine="420"/>
              <w:rPr>
                <w:rFonts w:ascii="Times New Roman" w:eastAsia="宋体" w:hAnsi="Times New Roman" w:cs="Times New Roman"/>
                <w:bCs/>
                <w:szCs w:val="21"/>
              </w:rPr>
            </w:pPr>
            <w:r w:rsidRPr="00421900">
              <w:rPr>
                <w:rFonts w:ascii="Times New Roman" w:eastAsia="宋体" w:hAnsi="Times New Roman" w:cs="Times New Roman"/>
                <w:bCs/>
                <w:szCs w:val="21"/>
              </w:rPr>
              <w:t>一、基金管理人</w:t>
            </w:r>
          </w:p>
          <w:p w:rsidR="00421900" w:rsidRPr="00421900" w:rsidRDefault="00421900" w:rsidP="004954E6">
            <w:pPr>
              <w:spacing w:line="360" w:lineRule="auto"/>
              <w:ind w:firstLineChars="200" w:firstLine="420"/>
              <w:rPr>
                <w:rFonts w:ascii="Times New Roman" w:eastAsia="宋体" w:hAnsi="Times New Roman" w:cs="Times New Roman"/>
                <w:bCs/>
                <w:szCs w:val="21"/>
              </w:rPr>
            </w:pPr>
            <w:bookmarkStart w:id="45" w:name="_Toc15118235"/>
            <w:r w:rsidRPr="00421900">
              <w:rPr>
                <w:rFonts w:ascii="Times New Roman" w:eastAsia="宋体" w:hAnsi="Times New Roman" w:cs="Times New Roman"/>
                <w:bCs/>
                <w:szCs w:val="21"/>
              </w:rPr>
              <w:t>（一）</w:t>
            </w:r>
            <w:r w:rsidRPr="00421900">
              <w:rPr>
                <w:rFonts w:ascii="Times New Roman" w:eastAsia="宋体" w:hAnsi="Times New Roman" w:cs="Times New Roman"/>
                <w:bCs/>
                <w:szCs w:val="21"/>
              </w:rPr>
              <w:tab/>
            </w:r>
            <w:r w:rsidRPr="00421900">
              <w:rPr>
                <w:rFonts w:ascii="Times New Roman" w:eastAsia="宋体" w:hAnsi="Times New Roman" w:cs="Times New Roman"/>
                <w:bCs/>
                <w:szCs w:val="21"/>
              </w:rPr>
              <w:t>基金管理人简况</w:t>
            </w:r>
            <w:bookmarkEnd w:id="45"/>
          </w:p>
          <w:p w:rsidR="003C2156" w:rsidRPr="003C2156" w:rsidRDefault="003C2156" w:rsidP="004954E6">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法定代表人：于亚利</w:t>
            </w:r>
          </w:p>
          <w:p w:rsidR="003C2156" w:rsidRDefault="003C2156" w:rsidP="004954E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421900" w:rsidRPr="00421900" w:rsidRDefault="00421900" w:rsidP="004954E6">
            <w:pPr>
              <w:spacing w:line="360" w:lineRule="auto"/>
              <w:ind w:firstLineChars="200" w:firstLine="420"/>
              <w:rPr>
                <w:rFonts w:ascii="Times New Roman" w:eastAsia="宋体" w:hAnsi="Times New Roman" w:cs="Times New Roman"/>
                <w:bCs/>
                <w:szCs w:val="21"/>
              </w:rPr>
            </w:pPr>
            <w:bookmarkStart w:id="46" w:name="_Toc57530240"/>
            <w:bookmarkStart w:id="47" w:name="_Toc15118238"/>
            <w:bookmarkStart w:id="48" w:name="_Toc79392581"/>
            <w:r w:rsidRPr="00421900">
              <w:rPr>
                <w:rFonts w:ascii="Times New Roman" w:eastAsia="宋体" w:hAnsi="Times New Roman" w:cs="Times New Roman" w:hint="eastAsia"/>
                <w:bCs/>
                <w:szCs w:val="21"/>
              </w:rPr>
              <w:t>二、基金托管人</w:t>
            </w:r>
            <w:bookmarkEnd w:id="46"/>
            <w:bookmarkEnd w:id="47"/>
            <w:bookmarkEnd w:id="48"/>
          </w:p>
          <w:p w:rsidR="00421900" w:rsidRPr="00421900" w:rsidRDefault="00421900" w:rsidP="004954E6">
            <w:pPr>
              <w:spacing w:line="360" w:lineRule="auto"/>
              <w:ind w:firstLineChars="200" w:firstLine="420"/>
              <w:rPr>
                <w:rFonts w:ascii="Times New Roman" w:eastAsia="宋体" w:hAnsi="Times New Roman" w:cs="Times New Roman"/>
                <w:bCs/>
                <w:szCs w:val="21"/>
              </w:rPr>
            </w:pPr>
            <w:bookmarkStart w:id="49" w:name="_Toc15118239"/>
            <w:r w:rsidRPr="00421900">
              <w:rPr>
                <w:rFonts w:ascii="Times New Roman" w:eastAsia="宋体" w:hAnsi="Times New Roman" w:cs="Times New Roman" w:hint="eastAsia"/>
                <w:bCs/>
                <w:szCs w:val="21"/>
              </w:rPr>
              <w:t>（一）</w:t>
            </w:r>
            <w:r w:rsidRPr="00421900">
              <w:rPr>
                <w:rFonts w:ascii="Times New Roman" w:eastAsia="宋体" w:hAnsi="Times New Roman" w:cs="Times New Roman"/>
                <w:bCs/>
                <w:szCs w:val="21"/>
              </w:rPr>
              <w:tab/>
            </w:r>
            <w:r w:rsidRPr="00421900">
              <w:rPr>
                <w:rFonts w:ascii="Times New Roman" w:eastAsia="宋体" w:hAnsi="Times New Roman" w:cs="Times New Roman" w:hint="eastAsia"/>
                <w:bCs/>
                <w:szCs w:val="21"/>
              </w:rPr>
              <w:t>基金托管人简况</w:t>
            </w:r>
            <w:bookmarkEnd w:id="49"/>
          </w:p>
          <w:p w:rsidR="003C2156" w:rsidRPr="003C2156" w:rsidRDefault="003C2156" w:rsidP="004954E6">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法定代表人：周慕冰</w:t>
            </w:r>
          </w:p>
        </w:tc>
      </w:tr>
      <w:tr w:rsidR="004D0ACC" w:rsidRPr="006C7529" w:rsidTr="00A77C39">
        <w:trPr>
          <w:jc w:val="center"/>
        </w:trPr>
        <w:tc>
          <w:tcPr>
            <w:tcW w:w="569" w:type="pct"/>
          </w:tcPr>
          <w:p w:rsidR="00421900" w:rsidRPr="00421900" w:rsidRDefault="00421900" w:rsidP="004954E6">
            <w:pPr>
              <w:numPr>
                <w:ilvl w:val="0"/>
                <w:numId w:val="15"/>
              </w:numPr>
              <w:spacing w:line="360" w:lineRule="auto"/>
              <w:rPr>
                <w:rFonts w:ascii="Times New Roman" w:eastAsia="宋体" w:hAnsi="Times New Roman" w:cs="Times New Roman"/>
                <w:b/>
                <w:bCs/>
                <w:szCs w:val="21"/>
              </w:rPr>
            </w:pPr>
            <w:bookmarkStart w:id="50" w:name="_Toc313008167"/>
            <w:bookmarkStart w:id="51" w:name="_Toc350774414"/>
            <w:r w:rsidRPr="00421900">
              <w:rPr>
                <w:rFonts w:ascii="Times New Roman" w:eastAsia="宋体" w:hAnsi="Times New Roman" w:cs="Times New Roman" w:hint="eastAsia"/>
                <w:b/>
                <w:szCs w:val="21"/>
              </w:rPr>
              <w:t>第十四部分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hint="eastAsia"/>
                <w:b/>
                <w:szCs w:val="21"/>
              </w:rPr>
              <w:t>基金的</w:t>
            </w:r>
            <w:bookmarkEnd w:id="50"/>
            <w:r w:rsidRPr="00421900">
              <w:rPr>
                <w:rFonts w:ascii="Times New Roman" w:eastAsia="宋体" w:hAnsi="Times New Roman" w:cs="Times New Roman" w:hint="eastAsia"/>
                <w:b/>
                <w:szCs w:val="21"/>
              </w:rPr>
              <w:t>投资</w:t>
            </w:r>
            <w:bookmarkEnd w:id="51"/>
          </w:p>
          <w:p w:rsidR="004D0ACC" w:rsidRPr="006C7529" w:rsidRDefault="004D0ACC" w:rsidP="004954E6">
            <w:pPr>
              <w:spacing w:line="360" w:lineRule="auto"/>
              <w:rPr>
                <w:rFonts w:ascii="Times New Roman" w:eastAsia="宋体" w:hAnsi="Times New Roman" w:cs="Times New Roman"/>
                <w:szCs w:val="21"/>
              </w:rPr>
            </w:pPr>
          </w:p>
        </w:tc>
        <w:tc>
          <w:tcPr>
            <w:tcW w:w="2217"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lastRenderedPageBreak/>
              <w:t>一、保本周期内的投资</w:t>
            </w:r>
          </w:p>
          <w:p w:rsidR="00421900" w:rsidRPr="00421900" w:rsidRDefault="00421900" w:rsidP="004954E6">
            <w:pPr>
              <w:spacing w:line="360" w:lineRule="auto"/>
              <w:ind w:firstLineChars="200" w:firstLine="420"/>
              <w:rPr>
                <w:rFonts w:asciiTheme="minorEastAsia" w:hAnsiTheme="minorEastAsia"/>
                <w:bCs/>
                <w:szCs w:val="21"/>
              </w:rPr>
            </w:pPr>
            <w:r w:rsidRPr="00421900">
              <w:rPr>
                <w:rFonts w:asciiTheme="minorEastAsia" w:hAnsiTheme="minorEastAsia" w:hint="eastAsia"/>
                <w:bCs/>
                <w:szCs w:val="21"/>
              </w:rPr>
              <w:t>（</w:t>
            </w:r>
            <w:r w:rsidRPr="00421900">
              <w:rPr>
                <w:rFonts w:asciiTheme="minorEastAsia" w:hAnsiTheme="minorEastAsia"/>
                <w:bCs/>
                <w:szCs w:val="21"/>
              </w:rPr>
              <w:t>二</w:t>
            </w:r>
            <w:r w:rsidRPr="00421900">
              <w:rPr>
                <w:rFonts w:asciiTheme="minorEastAsia" w:hAnsiTheme="minorEastAsia" w:hint="eastAsia"/>
                <w:bCs/>
                <w:szCs w:val="21"/>
              </w:rPr>
              <w:t>）</w:t>
            </w:r>
            <w:r w:rsidRPr="00421900">
              <w:rPr>
                <w:rFonts w:asciiTheme="minorEastAsia" w:hAnsiTheme="minorEastAsia"/>
                <w:bCs/>
                <w:szCs w:val="21"/>
              </w:rPr>
              <w:t>投资范围</w:t>
            </w:r>
          </w:p>
          <w:p w:rsidR="004D0ACC" w:rsidRPr="00144975" w:rsidRDefault="00421900" w:rsidP="004954E6">
            <w:pPr>
              <w:spacing w:line="360" w:lineRule="auto"/>
              <w:ind w:firstLineChars="200" w:firstLine="420"/>
              <w:rPr>
                <w:rFonts w:asciiTheme="minorEastAsia" w:hAnsiTheme="minorEastAsia"/>
                <w:bCs/>
                <w:szCs w:val="21"/>
              </w:rPr>
            </w:pPr>
            <w:r w:rsidRPr="00421900">
              <w:rPr>
                <w:rFonts w:asciiTheme="minorEastAsia" w:hAnsiTheme="minorEastAsia"/>
                <w:bCs/>
                <w:szCs w:val="21"/>
              </w:rPr>
              <w:lastRenderedPageBreak/>
              <w:t>基金的投资组合比例为：债券、货币市场工具等稳健资产占基金资产的</w:t>
            </w:r>
            <w:r w:rsidRPr="00421900">
              <w:rPr>
                <w:rFonts w:asciiTheme="minorEastAsia" w:hAnsiTheme="minorEastAsia" w:hint="eastAsia"/>
                <w:bCs/>
                <w:szCs w:val="21"/>
              </w:rPr>
              <w:t>比例不低于</w:t>
            </w:r>
            <w:r w:rsidRPr="00421900">
              <w:rPr>
                <w:rFonts w:asciiTheme="minorEastAsia" w:hAnsiTheme="minorEastAsia"/>
                <w:bCs/>
                <w:szCs w:val="21"/>
              </w:rPr>
              <w:t>60%，其中基金应保留不低于基金资产净值5%的现金或到期日在一年以内的政府债券；股票、权证</w:t>
            </w:r>
            <w:r w:rsidRPr="00421900">
              <w:rPr>
                <w:rFonts w:asciiTheme="minorEastAsia" w:hAnsiTheme="minorEastAsia" w:hint="eastAsia"/>
                <w:bCs/>
                <w:szCs w:val="21"/>
              </w:rPr>
              <w:t>、股指期货</w:t>
            </w:r>
            <w:r w:rsidRPr="00421900">
              <w:rPr>
                <w:rFonts w:asciiTheme="minorEastAsia" w:hAnsiTheme="minorEastAsia"/>
                <w:bCs/>
                <w:szCs w:val="21"/>
              </w:rPr>
              <w:t>等风险资产占基金资产的</w:t>
            </w:r>
            <w:r w:rsidRPr="00421900">
              <w:rPr>
                <w:rFonts w:asciiTheme="minorEastAsia" w:hAnsiTheme="minorEastAsia" w:hint="eastAsia"/>
                <w:bCs/>
                <w:szCs w:val="21"/>
              </w:rPr>
              <w:t>比例不高于</w:t>
            </w:r>
            <w:r w:rsidRPr="00421900">
              <w:rPr>
                <w:rFonts w:asciiTheme="minorEastAsia" w:hAnsiTheme="minorEastAsia"/>
                <w:bCs/>
                <w:szCs w:val="21"/>
              </w:rPr>
              <w:t>40%，其中，基金持有的全部权证的市值不超过基金资产净值的3%。</w:t>
            </w:r>
          </w:p>
        </w:tc>
        <w:tc>
          <w:tcPr>
            <w:tcW w:w="2214"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lastRenderedPageBreak/>
              <w:t>一、保本周期内的投资</w:t>
            </w:r>
          </w:p>
          <w:p w:rsidR="00421900" w:rsidRPr="00421900" w:rsidRDefault="00421900" w:rsidP="004954E6">
            <w:pPr>
              <w:spacing w:line="360" w:lineRule="auto"/>
              <w:ind w:firstLineChars="200" w:firstLine="420"/>
              <w:rPr>
                <w:rFonts w:asciiTheme="minorEastAsia" w:hAnsiTheme="minorEastAsia"/>
                <w:bCs/>
                <w:szCs w:val="21"/>
              </w:rPr>
            </w:pPr>
            <w:r w:rsidRPr="00421900">
              <w:rPr>
                <w:rFonts w:asciiTheme="minorEastAsia" w:hAnsiTheme="minorEastAsia" w:hint="eastAsia"/>
                <w:bCs/>
                <w:szCs w:val="21"/>
              </w:rPr>
              <w:t>（</w:t>
            </w:r>
            <w:r w:rsidRPr="00421900">
              <w:rPr>
                <w:rFonts w:asciiTheme="minorEastAsia" w:hAnsiTheme="minorEastAsia"/>
                <w:bCs/>
                <w:szCs w:val="21"/>
              </w:rPr>
              <w:t>二</w:t>
            </w:r>
            <w:r w:rsidRPr="00421900">
              <w:rPr>
                <w:rFonts w:asciiTheme="minorEastAsia" w:hAnsiTheme="minorEastAsia" w:hint="eastAsia"/>
                <w:bCs/>
                <w:szCs w:val="21"/>
              </w:rPr>
              <w:t>）</w:t>
            </w:r>
            <w:r w:rsidRPr="00421900">
              <w:rPr>
                <w:rFonts w:asciiTheme="minorEastAsia" w:hAnsiTheme="minorEastAsia"/>
                <w:bCs/>
                <w:szCs w:val="21"/>
              </w:rPr>
              <w:t>投资范围</w:t>
            </w:r>
          </w:p>
          <w:p w:rsidR="004D0ACC" w:rsidRPr="00144975" w:rsidRDefault="00421900" w:rsidP="004954E6">
            <w:pPr>
              <w:spacing w:line="360" w:lineRule="auto"/>
              <w:ind w:firstLineChars="200" w:firstLine="420"/>
              <w:rPr>
                <w:rFonts w:asciiTheme="minorEastAsia" w:hAnsiTheme="minorEastAsia"/>
                <w:bCs/>
                <w:szCs w:val="21"/>
              </w:rPr>
            </w:pPr>
            <w:r w:rsidRPr="00421900">
              <w:rPr>
                <w:rFonts w:asciiTheme="minorEastAsia" w:hAnsiTheme="minorEastAsia"/>
                <w:bCs/>
                <w:szCs w:val="21"/>
              </w:rPr>
              <w:lastRenderedPageBreak/>
              <w:t>基金的投资组合比例为：债券、货币市场工具等稳健资产占基金资产的</w:t>
            </w:r>
            <w:r w:rsidRPr="00421900">
              <w:rPr>
                <w:rFonts w:asciiTheme="minorEastAsia" w:hAnsiTheme="minorEastAsia" w:hint="eastAsia"/>
                <w:bCs/>
                <w:szCs w:val="21"/>
              </w:rPr>
              <w:t>比例不低于</w:t>
            </w:r>
            <w:r w:rsidRPr="00421900">
              <w:rPr>
                <w:rFonts w:asciiTheme="minorEastAsia" w:hAnsiTheme="minorEastAsia"/>
                <w:bCs/>
                <w:szCs w:val="21"/>
              </w:rPr>
              <w:t>60%，其中基金应保留不低于基金资产净值5%的现金或到期日在一年以内的政府债券</w:t>
            </w:r>
            <w:r w:rsidRPr="00421900">
              <w:rPr>
                <w:rFonts w:asciiTheme="minorEastAsia" w:hAnsiTheme="minorEastAsia" w:hint="eastAsia"/>
                <w:bCs/>
                <w:szCs w:val="21"/>
              </w:rPr>
              <w:t>，</w:t>
            </w:r>
            <w:r w:rsidRPr="00421900">
              <w:rPr>
                <w:rFonts w:asciiTheme="minorEastAsia" w:hAnsiTheme="minorEastAsia"/>
                <w:bCs/>
                <w:szCs w:val="21"/>
              </w:rPr>
              <w:t>现金不包括</w:t>
            </w:r>
            <w:r w:rsidRPr="00421900">
              <w:rPr>
                <w:rFonts w:asciiTheme="minorEastAsia" w:hAnsiTheme="minorEastAsia" w:hint="eastAsia"/>
                <w:bCs/>
                <w:szCs w:val="21"/>
              </w:rPr>
              <w:t>结算备付金、存出保证金和应收申购款等</w:t>
            </w:r>
            <w:r w:rsidRPr="00421900">
              <w:rPr>
                <w:rFonts w:asciiTheme="minorEastAsia" w:hAnsiTheme="minorEastAsia"/>
                <w:bCs/>
                <w:szCs w:val="21"/>
              </w:rPr>
              <w:t>；股票、权证</w:t>
            </w:r>
            <w:r w:rsidRPr="00421900">
              <w:rPr>
                <w:rFonts w:asciiTheme="minorEastAsia" w:hAnsiTheme="minorEastAsia" w:hint="eastAsia"/>
                <w:bCs/>
                <w:szCs w:val="21"/>
              </w:rPr>
              <w:t>、股指期货</w:t>
            </w:r>
            <w:r w:rsidRPr="00421900">
              <w:rPr>
                <w:rFonts w:asciiTheme="minorEastAsia" w:hAnsiTheme="minorEastAsia"/>
                <w:bCs/>
                <w:szCs w:val="21"/>
              </w:rPr>
              <w:t>等风险资产占基金资产的</w:t>
            </w:r>
            <w:r w:rsidRPr="00421900">
              <w:rPr>
                <w:rFonts w:asciiTheme="minorEastAsia" w:hAnsiTheme="minorEastAsia" w:hint="eastAsia"/>
                <w:bCs/>
                <w:szCs w:val="21"/>
              </w:rPr>
              <w:t>比例不高于</w:t>
            </w:r>
            <w:r w:rsidRPr="00421900">
              <w:rPr>
                <w:rFonts w:asciiTheme="minorEastAsia" w:hAnsiTheme="minorEastAsia"/>
                <w:bCs/>
                <w:szCs w:val="21"/>
              </w:rPr>
              <w:t>40%，其中，基金持有的全部权证的市值不超过基金资产净值的3%。</w:t>
            </w:r>
          </w:p>
        </w:tc>
      </w:tr>
      <w:tr w:rsidR="004D0ACC" w:rsidRPr="006C7529" w:rsidTr="00A77C39">
        <w:trPr>
          <w:jc w:val="center"/>
        </w:trPr>
        <w:tc>
          <w:tcPr>
            <w:tcW w:w="569" w:type="pct"/>
          </w:tcPr>
          <w:p w:rsidR="00421900" w:rsidRPr="00421900" w:rsidRDefault="00421900" w:rsidP="004954E6">
            <w:pPr>
              <w:numPr>
                <w:ilvl w:val="0"/>
                <w:numId w:val="15"/>
              </w:numPr>
              <w:spacing w:line="360" w:lineRule="auto"/>
              <w:rPr>
                <w:rFonts w:ascii="Times New Roman" w:eastAsia="宋体" w:hAnsi="Times New Roman" w:cs="Times New Roman"/>
                <w:b/>
                <w:bCs/>
                <w:szCs w:val="21"/>
              </w:rPr>
            </w:pPr>
            <w:r w:rsidRPr="00421900">
              <w:rPr>
                <w:rFonts w:ascii="Times New Roman" w:eastAsia="宋体" w:hAnsi="Times New Roman" w:cs="Times New Roman" w:hint="eastAsia"/>
                <w:b/>
                <w:szCs w:val="21"/>
              </w:rPr>
              <w:lastRenderedPageBreak/>
              <w:t>第十四部分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hint="eastAsia"/>
                <w:b/>
                <w:szCs w:val="21"/>
              </w:rPr>
              <w:t>基金的投资</w:t>
            </w:r>
          </w:p>
          <w:p w:rsidR="004D0ACC" w:rsidRPr="006C7529" w:rsidRDefault="004D0ACC" w:rsidP="004954E6">
            <w:pPr>
              <w:spacing w:line="360" w:lineRule="auto"/>
              <w:rPr>
                <w:rFonts w:ascii="Times New Roman" w:eastAsia="宋体" w:hAnsi="Times New Roman" w:cs="Times New Roman"/>
                <w:szCs w:val="21"/>
              </w:rPr>
            </w:pPr>
          </w:p>
        </w:tc>
        <w:tc>
          <w:tcPr>
            <w:tcW w:w="2217"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一、保本周期内的投资</w:t>
            </w:r>
          </w:p>
          <w:p w:rsidR="008A072C" w:rsidRPr="008A072C" w:rsidRDefault="008A072C" w:rsidP="004954E6">
            <w:pPr>
              <w:spacing w:line="360" w:lineRule="auto"/>
              <w:ind w:firstLineChars="200" w:firstLine="420"/>
              <w:rPr>
                <w:rFonts w:asciiTheme="minorEastAsia" w:hAnsiTheme="minorEastAsia"/>
                <w:bCs/>
                <w:szCs w:val="21"/>
              </w:rPr>
            </w:pPr>
            <w:r w:rsidRPr="008A072C">
              <w:rPr>
                <w:rFonts w:asciiTheme="minorEastAsia" w:hAnsiTheme="minorEastAsia"/>
                <w:bCs/>
                <w:szCs w:val="21"/>
              </w:rPr>
              <w:t>（四）投资限制</w:t>
            </w:r>
          </w:p>
          <w:p w:rsidR="008A072C" w:rsidRPr="008A072C" w:rsidRDefault="008A072C" w:rsidP="004954E6">
            <w:pPr>
              <w:spacing w:line="360" w:lineRule="auto"/>
              <w:ind w:firstLineChars="200" w:firstLine="420"/>
              <w:rPr>
                <w:rFonts w:asciiTheme="minorEastAsia" w:hAnsiTheme="minorEastAsia"/>
                <w:bCs/>
                <w:szCs w:val="21"/>
              </w:rPr>
            </w:pPr>
            <w:r w:rsidRPr="008A072C">
              <w:rPr>
                <w:rFonts w:asciiTheme="minorEastAsia" w:hAnsiTheme="minorEastAsia"/>
                <w:bCs/>
                <w:szCs w:val="21"/>
              </w:rPr>
              <w:t>1、组合限制</w:t>
            </w:r>
          </w:p>
          <w:p w:rsidR="008A072C" w:rsidRPr="008A072C" w:rsidRDefault="008A072C" w:rsidP="004954E6">
            <w:pPr>
              <w:spacing w:line="360" w:lineRule="auto"/>
              <w:ind w:firstLineChars="200" w:firstLine="420"/>
              <w:rPr>
                <w:rFonts w:asciiTheme="minorEastAsia" w:hAnsiTheme="minorEastAsia" w:cs="Times New Roman"/>
                <w:bCs/>
                <w:szCs w:val="21"/>
              </w:rPr>
            </w:pPr>
            <w:r w:rsidRPr="008A072C">
              <w:rPr>
                <w:rFonts w:asciiTheme="minorEastAsia" w:hAnsiTheme="minorEastAsia" w:cs="Times New Roman"/>
                <w:bCs/>
                <w:szCs w:val="21"/>
              </w:rPr>
              <w:t>（2）保持不低于基金资产净值5</w:t>
            </w:r>
            <w:r w:rsidRPr="008A072C">
              <w:rPr>
                <w:rFonts w:asciiTheme="minorEastAsia" w:hAnsiTheme="minorEastAsia" w:cs="Times New Roman" w:hint="eastAsia"/>
                <w:bCs/>
                <w:szCs w:val="21"/>
              </w:rPr>
              <w:t>%</w:t>
            </w:r>
            <w:r w:rsidRPr="008A072C">
              <w:rPr>
                <w:rFonts w:asciiTheme="minorEastAsia" w:hAnsiTheme="minorEastAsia" w:cs="Times New Roman"/>
                <w:bCs/>
                <w:szCs w:val="21"/>
              </w:rPr>
              <w:t>的现金或者到期日在一年以内的政府债券；</w:t>
            </w:r>
          </w:p>
          <w:p w:rsidR="004D0ACC" w:rsidRPr="008A072C" w:rsidRDefault="004D0ACC" w:rsidP="004954E6">
            <w:pPr>
              <w:spacing w:line="360" w:lineRule="auto"/>
              <w:ind w:firstLineChars="200" w:firstLine="420"/>
              <w:rPr>
                <w:rFonts w:asciiTheme="minorEastAsia" w:hAnsiTheme="minorEastAsia" w:cs="Times New Roman"/>
                <w:szCs w:val="21"/>
              </w:rPr>
            </w:pPr>
          </w:p>
        </w:tc>
        <w:tc>
          <w:tcPr>
            <w:tcW w:w="2214"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一、保本周期内的投资</w:t>
            </w:r>
          </w:p>
          <w:p w:rsidR="008A072C" w:rsidRPr="008A072C" w:rsidRDefault="008A072C" w:rsidP="004954E6">
            <w:pPr>
              <w:spacing w:line="360" w:lineRule="auto"/>
              <w:ind w:firstLineChars="200" w:firstLine="420"/>
              <w:rPr>
                <w:rFonts w:asciiTheme="minorEastAsia" w:hAnsiTheme="minorEastAsia"/>
                <w:bCs/>
                <w:szCs w:val="21"/>
              </w:rPr>
            </w:pPr>
            <w:r w:rsidRPr="008A072C">
              <w:rPr>
                <w:rFonts w:asciiTheme="minorEastAsia" w:hAnsiTheme="minorEastAsia"/>
                <w:bCs/>
                <w:szCs w:val="21"/>
              </w:rPr>
              <w:t>（四）投资限制</w:t>
            </w:r>
          </w:p>
          <w:p w:rsidR="008A072C" w:rsidRPr="008A072C" w:rsidRDefault="008A072C" w:rsidP="004954E6">
            <w:pPr>
              <w:spacing w:line="360" w:lineRule="auto"/>
              <w:ind w:firstLineChars="200" w:firstLine="420"/>
              <w:rPr>
                <w:rFonts w:asciiTheme="minorEastAsia" w:hAnsiTheme="minorEastAsia"/>
                <w:bCs/>
                <w:szCs w:val="21"/>
              </w:rPr>
            </w:pPr>
            <w:r w:rsidRPr="008A072C">
              <w:rPr>
                <w:rFonts w:asciiTheme="minorEastAsia" w:hAnsiTheme="minorEastAsia"/>
                <w:bCs/>
                <w:szCs w:val="21"/>
              </w:rPr>
              <w:t>1、组合限制</w:t>
            </w:r>
          </w:p>
          <w:p w:rsidR="008A072C" w:rsidRPr="008A072C" w:rsidRDefault="008A072C" w:rsidP="004954E6">
            <w:pPr>
              <w:spacing w:line="360" w:lineRule="auto"/>
              <w:ind w:firstLineChars="200" w:firstLine="420"/>
              <w:rPr>
                <w:rFonts w:asciiTheme="minorEastAsia" w:hAnsiTheme="minorEastAsia"/>
                <w:bCs/>
                <w:szCs w:val="21"/>
              </w:rPr>
            </w:pPr>
            <w:r w:rsidRPr="008A072C">
              <w:rPr>
                <w:rFonts w:asciiTheme="minorEastAsia" w:hAnsiTheme="minorEastAsia"/>
                <w:bCs/>
                <w:szCs w:val="21"/>
              </w:rPr>
              <w:t>（2）保持不低于基金资产净值5</w:t>
            </w:r>
            <w:r w:rsidRPr="008A072C">
              <w:rPr>
                <w:rFonts w:asciiTheme="minorEastAsia" w:hAnsiTheme="minorEastAsia" w:hint="eastAsia"/>
                <w:bCs/>
                <w:szCs w:val="21"/>
              </w:rPr>
              <w:t>%</w:t>
            </w:r>
            <w:r w:rsidRPr="008A072C">
              <w:rPr>
                <w:rFonts w:asciiTheme="minorEastAsia" w:hAnsiTheme="minorEastAsia"/>
                <w:bCs/>
                <w:szCs w:val="21"/>
              </w:rPr>
              <w:t>的现金或者到期日在一年以内的政府债券</w:t>
            </w:r>
            <w:r w:rsidRPr="008A072C">
              <w:rPr>
                <w:rFonts w:asciiTheme="minorEastAsia" w:hAnsiTheme="minorEastAsia" w:hint="eastAsia"/>
                <w:bCs/>
                <w:szCs w:val="21"/>
              </w:rPr>
              <w:t>，其中</w:t>
            </w:r>
            <w:r w:rsidRPr="008A072C">
              <w:rPr>
                <w:rFonts w:asciiTheme="minorEastAsia" w:hAnsiTheme="minorEastAsia"/>
                <w:bCs/>
                <w:szCs w:val="21"/>
              </w:rPr>
              <w:t>现金不包括</w:t>
            </w:r>
            <w:r w:rsidRPr="008A072C">
              <w:rPr>
                <w:rFonts w:asciiTheme="minorEastAsia" w:hAnsiTheme="minorEastAsia" w:hint="eastAsia"/>
                <w:bCs/>
                <w:szCs w:val="21"/>
              </w:rPr>
              <w:t>结算备付金、存出保证金和应收申购款等</w:t>
            </w:r>
            <w:r w:rsidRPr="008A072C">
              <w:rPr>
                <w:rFonts w:asciiTheme="minorEastAsia" w:hAnsiTheme="minorEastAsia"/>
                <w:bCs/>
                <w:szCs w:val="21"/>
              </w:rPr>
              <w:t>；</w:t>
            </w:r>
          </w:p>
          <w:p w:rsidR="00373C7B" w:rsidRPr="00373C7B" w:rsidRDefault="00373C7B" w:rsidP="004954E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D0ACC" w:rsidRPr="00D67F0C" w:rsidRDefault="004D0ACC" w:rsidP="004954E6">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（1</w:t>
            </w:r>
            <w:r w:rsidRPr="001B133F">
              <w:rPr>
                <w:rFonts w:asciiTheme="minorEastAsia" w:hAnsiTheme="minorEastAsia"/>
                <w:bCs/>
                <w:szCs w:val="21"/>
              </w:rPr>
              <w:t>7</w:t>
            </w:r>
            <w:r w:rsidRPr="001B133F">
              <w:rPr>
                <w:rFonts w:asciiTheme="minorEastAsia" w:hAnsiTheme="minorEastAsia" w:hint="eastAsia"/>
                <w:bCs/>
                <w:szCs w:val="21"/>
              </w:rPr>
              <w:t>）本基金管理人管理的全部开放式基金（包括开放式基金以及处于开放期的定期开放基金）持有一家</w:t>
            </w:r>
            <w:r w:rsidRPr="001B133F">
              <w:rPr>
                <w:rFonts w:asciiTheme="minorEastAsia" w:hAnsiTheme="minorEastAsia" w:hint="eastAsia"/>
                <w:bCs/>
                <w:szCs w:val="21"/>
              </w:rPr>
              <w:lastRenderedPageBreak/>
              <w:t>上市公司发行的可流通股票，不得超过该上市公司可流通股票的15%；本基金管理人管理的全部投资组合持有一家上市公司发行的可流通股票，不得超过该上市公司可流通股票的30%；</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（1</w:t>
            </w:r>
            <w:r w:rsidRPr="001B133F">
              <w:rPr>
                <w:rFonts w:asciiTheme="minorEastAsia" w:hAnsiTheme="minorEastAsia"/>
                <w:bCs/>
                <w:szCs w:val="21"/>
              </w:rPr>
              <w:t>8</w:t>
            </w:r>
            <w:r w:rsidRPr="001B133F">
              <w:rPr>
                <w:rFonts w:asciiTheme="minorEastAsia" w:hAnsiTheme="minorEastAsia"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D0ACC" w:rsidRPr="00350E4A"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（1</w:t>
            </w:r>
            <w:r w:rsidRPr="001B133F">
              <w:rPr>
                <w:rFonts w:asciiTheme="minorEastAsia" w:hAnsiTheme="minorEastAsia"/>
                <w:bCs/>
                <w:szCs w:val="21"/>
              </w:rPr>
              <w:t>9</w:t>
            </w:r>
            <w:r w:rsidRPr="001B133F">
              <w:rPr>
                <w:rFonts w:asciiTheme="minorEastAsia" w:hAnsiTheme="minorEastAsia" w:hint="eastAsia"/>
                <w:bCs/>
                <w:szCs w:val="21"/>
              </w:rPr>
              <w:t>）本基金与私募类证券资管产品及中国证监会认定的其他主体为交易对手开展逆回购交易的，可接受质押品的资质要求应当与本基金合同约定的投资范围保持一致；</w:t>
            </w:r>
          </w:p>
        </w:tc>
      </w:tr>
      <w:tr w:rsidR="004D0ACC" w:rsidRPr="006C7529" w:rsidTr="00A77C39">
        <w:trPr>
          <w:jc w:val="center"/>
        </w:trPr>
        <w:tc>
          <w:tcPr>
            <w:tcW w:w="569" w:type="pct"/>
          </w:tcPr>
          <w:p w:rsidR="00421900" w:rsidRPr="00421900" w:rsidRDefault="00421900" w:rsidP="004954E6">
            <w:pPr>
              <w:numPr>
                <w:ilvl w:val="0"/>
                <w:numId w:val="15"/>
              </w:numPr>
              <w:spacing w:line="360" w:lineRule="auto"/>
              <w:jc w:val="center"/>
              <w:rPr>
                <w:rFonts w:ascii="Times New Roman" w:eastAsia="宋体" w:hAnsi="Times New Roman" w:cs="Times New Roman"/>
                <w:b/>
                <w:bCs/>
                <w:szCs w:val="21"/>
              </w:rPr>
            </w:pPr>
            <w:r w:rsidRPr="00421900">
              <w:rPr>
                <w:rFonts w:ascii="Times New Roman" w:eastAsia="宋体" w:hAnsi="Times New Roman" w:cs="Times New Roman" w:hint="eastAsia"/>
                <w:b/>
                <w:szCs w:val="21"/>
              </w:rPr>
              <w:lastRenderedPageBreak/>
              <w:t>第十四部分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hint="eastAsia"/>
                <w:b/>
                <w:szCs w:val="21"/>
              </w:rPr>
              <w:t>基金的投资</w:t>
            </w:r>
          </w:p>
          <w:p w:rsidR="004D0ACC" w:rsidRPr="006241CA" w:rsidRDefault="004D0ACC" w:rsidP="004954E6">
            <w:pPr>
              <w:spacing w:line="360" w:lineRule="auto"/>
              <w:jc w:val="center"/>
              <w:rPr>
                <w:rFonts w:ascii="Times New Roman" w:eastAsia="宋体" w:hAnsi="Times New Roman" w:cs="Times New Roman"/>
                <w:b/>
                <w:szCs w:val="21"/>
              </w:rPr>
            </w:pPr>
          </w:p>
        </w:tc>
        <w:tc>
          <w:tcPr>
            <w:tcW w:w="2217"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一、保本周期内的投资</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（四）投资限制</w:t>
            </w:r>
          </w:p>
          <w:p w:rsidR="00373C7B" w:rsidRPr="00373C7B"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1、组合限制</w:t>
            </w:r>
          </w:p>
          <w:p w:rsidR="004D0ACC" w:rsidRPr="00350E4A"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因证券、期货市场波动、上市公司合并、基金规模</w:t>
            </w:r>
            <w:r w:rsidRPr="001B133F">
              <w:rPr>
                <w:rFonts w:asciiTheme="minorEastAsia" w:hAnsiTheme="minorEastAsia" w:hint="eastAsia"/>
                <w:bCs/>
                <w:szCs w:val="21"/>
              </w:rPr>
              <w:lastRenderedPageBreak/>
              <w:t>变动、股权分置改革中支付对价等基金管理人之外的因素致使基金投资比例不符合上述规定投资比例的，基金管理人应当在10个交易日内进行调整，法律法规另有规定的从其规定。</w:t>
            </w:r>
          </w:p>
        </w:tc>
        <w:tc>
          <w:tcPr>
            <w:tcW w:w="2214"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lastRenderedPageBreak/>
              <w:t>一、保本周期内的投资</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（四）投资限制</w:t>
            </w:r>
          </w:p>
          <w:p w:rsid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1、组合限制</w:t>
            </w:r>
          </w:p>
          <w:p w:rsidR="004D0ACC" w:rsidRPr="00350E4A"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除上述第（2）、（1</w:t>
            </w:r>
            <w:r w:rsidRPr="001B133F">
              <w:rPr>
                <w:rFonts w:asciiTheme="minorEastAsia" w:hAnsiTheme="minorEastAsia"/>
                <w:bCs/>
                <w:szCs w:val="21"/>
              </w:rPr>
              <w:t>2</w:t>
            </w:r>
            <w:r w:rsidRPr="001B133F">
              <w:rPr>
                <w:rFonts w:asciiTheme="minorEastAsia" w:hAnsiTheme="minorEastAsia" w:hint="eastAsia"/>
                <w:bCs/>
                <w:szCs w:val="21"/>
              </w:rPr>
              <w:t>）、（1</w:t>
            </w:r>
            <w:r w:rsidRPr="001B133F">
              <w:rPr>
                <w:rFonts w:asciiTheme="minorEastAsia" w:hAnsiTheme="minorEastAsia"/>
                <w:bCs/>
                <w:szCs w:val="21"/>
              </w:rPr>
              <w:t>8</w:t>
            </w:r>
            <w:r w:rsidRPr="001B133F">
              <w:rPr>
                <w:rFonts w:asciiTheme="minorEastAsia" w:hAnsiTheme="minorEastAsia" w:hint="eastAsia"/>
                <w:bCs/>
                <w:szCs w:val="21"/>
              </w:rPr>
              <w:t>）、（1</w:t>
            </w:r>
            <w:r w:rsidRPr="001B133F">
              <w:rPr>
                <w:rFonts w:asciiTheme="minorEastAsia" w:hAnsiTheme="minorEastAsia"/>
                <w:bCs/>
                <w:szCs w:val="21"/>
              </w:rPr>
              <w:t>9</w:t>
            </w:r>
            <w:r w:rsidRPr="001B133F">
              <w:rPr>
                <w:rFonts w:asciiTheme="minorEastAsia" w:hAnsiTheme="minorEastAsia" w:hint="eastAsia"/>
                <w:bCs/>
                <w:szCs w:val="21"/>
              </w:rPr>
              <w:t>）条外，</w:t>
            </w:r>
            <w:r w:rsidRPr="001B133F">
              <w:rPr>
                <w:rFonts w:asciiTheme="minorEastAsia" w:hAnsiTheme="minorEastAsia"/>
                <w:bCs/>
                <w:szCs w:val="21"/>
              </w:rPr>
              <w:t>因证券</w:t>
            </w:r>
            <w:r w:rsidRPr="001B133F">
              <w:rPr>
                <w:rFonts w:asciiTheme="minorEastAsia" w:hAnsiTheme="minorEastAsia" w:hint="eastAsia"/>
                <w:bCs/>
                <w:szCs w:val="21"/>
              </w:rPr>
              <w:t>、</w:t>
            </w:r>
            <w:r w:rsidRPr="001B133F">
              <w:rPr>
                <w:rFonts w:asciiTheme="minorEastAsia" w:hAnsiTheme="minorEastAsia" w:hint="eastAsia"/>
                <w:bCs/>
                <w:szCs w:val="21"/>
              </w:rPr>
              <w:lastRenderedPageBreak/>
              <w:t>期货</w:t>
            </w:r>
            <w:r w:rsidRPr="001B133F">
              <w:rPr>
                <w:rFonts w:asciiTheme="minorEastAsia" w:hAnsiTheme="minorEastAsia"/>
                <w:bCs/>
                <w:szCs w:val="21"/>
              </w:rPr>
              <w:t>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r>
      <w:tr w:rsidR="001B133F" w:rsidRPr="006C7529" w:rsidTr="00A77C39">
        <w:trPr>
          <w:jc w:val="center"/>
        </w:trPr>
        <w:tc>
          <w:tcPr>
            <w:tcW w:w="569" w:type="pct"/>
          </w:tcPr>
          <w:p w:rsidR="001B133F" w:rsidRPr="00421900" w:rsidRDefault="001B133F" w:rsidP="004954E6">
            <w:pPr>
              <w:numPr>
                <w:ilvl w:val="0"/>
                <w:numId w:val="15"/>
              </w:numPr>
              <w:spacing w:line="360" w:lineRule="auto"/>
              <w:jc w:val="center"/>
              <w:rPr>
                <w:rFonts w:ascii="Times New Roman" w:eastAsia="宋体" w:hAnsi="Times New Roman" w:cs="Times New Roman"/>
                <w:b/>
                <w:bCs/>
                <w:szCs w:val="21"/>
              </w:rPr>
            </w:pPr>
            <w:r w:rsidRPr="00421900">
              <w:rPr>
                <w:rFonts w:ascii="Times New Roman" w:eastAsia="宋体" w:hAnsi="Times New Roman" w:cs="Times New Roman" w:hint="eastAsia"/>
                <w:b/>
                <w:szCs w:val="21"/>
              </w:rPr>
              <w:lastRenderedPageBreak/>
              <w:t>第十四部分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hint="eastAsia"/>
                <w:b/>
                <w:szCs w:val="21"/>
              </w:rPr>
              <w:t>基金的投资</w:t>
            </w:r>
          </w:p>
          <w:p w:rsidR="001B133F" w:rsidRPr="006241CA" w:rsidRDefault="001B133F" w:rsidP="004954E6">
            <w:pPr>
              <w:spacing w:line="360" w:lineRule="auto"/>
              <w:jc w:val="center"/>
              <w:rPr>
                <w:rFonts w:ascii="Times New Roman" w:eastAsia="宋体" w:hAnsi="Times New Roman" w:cs="Times New Roman"/>
                <w:b/>
                <w:szCs w:val="21"/>
              </w:rPr>
            </w:pPr>
          </w:p>
        </w:tc>
        <w:tc>
          <w:tcPr>
            <w:tcW w:w="2217"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二、变更后的“交银施罗德稳固收益债券型证券投资基金”的投资</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（二）投资范围</w:t>
            </w:r>
          </w:p>
          <w:p w:rsidR="001B133F" w:rsidRPr="00165521"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该债券型基金的投资组合比例为：固定收益类资产占基金资产的比例不低于80%，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20%；现金或到期日在一年以内的政府债券的投资比例合计不低于基金资产净值的5%，该基金持有的全部权证，其市值不得超过基金资产净值的3%。</w:t>
            </w:r>
          </w:p>
        </w:tc>
        <w:tc>
          <w:tcPr>
            <w:tcW w:w="2214" w:type="pct"/>
          </w:tcPr>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二、变更后的“交银施罗德稳固收益债券型证券投资基金”的投资</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（二）投资范围</w:t>
            </w:r>
          </w:p>
          <w:p w:rsidR="001B133F" w:rsidRPr="001B133F" w:rsidRDefault="001B133F" w:rsidP="004954E6">
            <w:pPr>
              <w:spacing w:line="360" w:lineRule="auto"/>
              <w:ind w:firstLineChars="200" w:firstLine="420"/>
              <w:rPr>
                <w:rFonts w:asciiTheme="minorEastAsia" w:hAnsiTheme="minorEastAsia"/>
                <w:bCs/>
                <w:szCs w:val="21"/>
              </w:rPr>
            </w:pPr>
            <w:r w:rsidRPr="001B133F">
              <w:rPr>
                <w:rFonts w:asciiTheme="minorEastAsia" w:hAnsiTheme="minorEastAsia" w:hint="eastAsia"/>
                <w:bCs/>
                <w:szCs w:val="21"/>
              </w:rPr>
              <w:t>该债券型基金的投资组合比例为：固定收益类资产占基金资产的比例不低于80%，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20%；现金或到期日在一年以内的政府债券的投资比例合计不低于基金资产净值的5%，其中</w:t>
            </w:r>
            <w:r w:rsidRPr="001B133F">
              <w:rPr>
                <w:rFonts w:asciiTheme="minorEastAsia" w:hAnsiTheme="minorEastAsia"/>
                <w:bCs/>
                <w:szCs w:val="21"/>
              </w:rPr>
              <w:t>现金不包括</w:t>
            </w:r>
            <w:r w:rsidRPr="001B133F">
              <w:rPr>
                <w:rFonts w:asciiTheme="minorEastAsia" w:hAnsiTheme="minorEastAsia" w:hint="eastAsia"/>
                <w:bCs/>
                <w:szCs w:val="21"/>
              </w:rPr>
              <w:t>结算备付金、存出保证金和应收申购款等；该基</w:t>
            </w:r>
            <w:r w:rsidRPr="001B133F">
              <w:rPr>
                <w:rFonts w:asciiTheme="minorEastAsia" w:hAnsiTheme="minorEastAsia" w:hint="eastAsia"/>
                <w:bCs/>
                <w:szCs w:val="21"/>
              </w:rPr>
              <w:lastRenderedPageBreak/>
              <w:t>金持有的全部权证，其市值不得超过基金资产净值的3%。</w:t>
            </w:r>
          </w:p>
        </w:tc>
      </w:tr>
      <w:tr w:rsidR="00165521" w:rsidRPr="006C7529" w:rsidTr="00A77C39">
        <w:trPr>
          <w:jc w:val="center"/>
        </w:trPr>
        <w:tc>
          <w:tcPr>
            <w:tcW w:w="569" w:type="pct"/>
          </w:tcPr>
          <w:p w:rsidR="00165521" w:rsidRPr="00421900" w:rsidRDefault="00165521" w:rsidP="004954E6">
            <w:pPr>
              <w:numPr>
                <w:ilvl w:val="0"/>
                <w:numId w:val="15"/>
              </w:numPr>
              <w:spacing w:line="360" w:lineRule="auto"/>
              <w:jc w:val="center"/>
              <w:rPr>
                <w:rFonts w:ascii="Times New Roman" w:eastAsia="宋体" w:hAnsi="Times New Roman" w:cs="Times New Roman"/>
                <w:b/>
                <w:bCs/>
                <w:szCs w:val="21"/>
              </w:rPr>
            </w:pPr>
            <w:r w:rsidRPr="00421900">
              <w:rPr>
                <w:rFonts w:ascii="Times New Roman" w:eastAsia="宋体" w:hAnsi="Times New Roman" w:cs="Times New Roman" w:hint="eastAsia"/>
                <w:b/>
                <w:szCs w:val="21"/>
              </w:rPr>
              <w:lastRenderedPageBreak/>
              <w:t>第十四部分</w:t>
            </w:r>
            <w:r w:rsidRPr="00421900">
              <w:rPr>
                <w:rFonts w:ascii="Times New Roman" w:eastAsia="宋体" w:hAnsi="Times New Roman" w:cs="Times New Roman"/>
                <w:b/>
                <w:szCs w:val="21"/>
              </w:rPr>
              <w:t xml:space="preserve">  </w:t>
            </w:r>
            <w:r w:rsidRPr="00421900">
              <w:rPr>
                <w:rFonts w:ascii="Times New Roman" w:eastAsia="宋体" w:hAnsi="Times New Roman" w:cs="Times New Roman" w:hint="eastAsia"/>
                <w:b/>
                <w:szCs w:val="21"/>
              </w:rPr>
              <w:t>基金的投资</w:t>
            </w:r>
          </w:p>
          <w:p w:rsidR="00165521" w:rsidRPr="006241CA" w:rsidRDefault="00165521" w:rsidP="004954E6">
            <w:pPr>
              <w:spacing w:line="360" w:lineRule="auto"/>
              <w:jc w:val="center"/>
              <w:rPr>
                <w:rFonts w:ascii="Times New Roman" w:eastAsia="宋体" w:hAnsi="Times New Roman" w:cs="Times New Roman"/>
                <w:b/>
                <w:szCs w:val="21"/>
              </w:rPr>
            </w:pPr>
          </w:p>
        </w:tc>
        <w:tc>
          <w:tcPr>
            <w:tcW w:w="2217" w:type="pct"/>
          </w:tcPr>
          <w:p w:rsid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二、变更后的“交银施罗德稳固收益债券型证券投资基金”的投资</w:t>
            </w:r>
          </w:p>
          <w:p w:rsidR="00165521" w:rsidRP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（三）投资策略</w:t>
            </w:r>
          </w:p>
          <w:p w:rsidR="00165521" w:rsidRP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该基金在逐期追求投资本金安全的风险控制目标下追求基金收益的稳定递增。自转型完成之日起，该基金以3 年为一个运作周期逐期运作，每一运作周期期满后且后一运作周期起始日前，安排不少于5 个工作日的运作调整期，投资者在运作调整期内办理该基金的申购和赎回业务时不收取申购、赎回费用。</w:t>
            </w:r>
          </w:p>
          <w:p w:rsidR="00165521" w:rsidRPr="00165521" w:rsidRDefault="00165521" w:rsidP="004954E6">
            <w:pPr>
              <w:spacing w:line="360" w:lineRule="auto"/>
              <w:ind w:firstLineChars="200" w:firstLine="420"/>
              <w:rPr>
                <w:rFonts w:asciiTheme="minorEastAsia" w:hAnsiTheme="minorEastAsia"/>
                <w:bCs/>
                <w:szCs w:val="21"/>
              </w:rPr>
            </w:pPr>
          </w:p>
        </w:tc>
        <w:tc>
          <w:tcPr>
            <w:tcW w:w="2214" w:type="pct"/>
          </w:tcPr>
          <w:p w:rsid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二、变更后的“交银施罗德稳固收益债券型证券投资基金”的投资</w:t>
            </w:r>
          </w:p>
          <w:p w:rsidR="00165521" w:rsidRP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（三）投资策略</w:t>
            </w:r>
          </w:p>
          <w:p w:rsidR="00165521" w:rsidRPr="00165521" w:rsidRDefault="00165521" w:rsidP="004954E6">
            <w:pPr>
              <w:spacing w:line="360" w:lineRule="auto"/>
              <w:ind w:firstLineChars="200" w:firstLine="420"/>
              <w:rPr>
                <w:rFonts w:asciiTheme="minorEastAsia" w:hAnsiTheme="minorEastAsia"/>
                <w:bCs/>
                <w:szCs w:val="21"/>
              </w:rPr>
            </w:pPr>
            <w:r w:rsidRPr="00165521">
              <w:rPr>
                <w:rFonts w:asciiTheme="minorEastAsia" w:hAnsiTheme="minorEastAsia" w:hint="eastAsia"/>
                <w:bCs/>
                <w:szCs w:val="21"/>
              </w:rPr>
              <w:t>该基金在逐期追求投资本金安全的风险控制目标下追求基金收益的稳定递增。自转型完成之日起，该基金以3 年为一个运作周期逐期运作，每一运作周期期满后且后一运作周期起始日前，安排不少于5 个工作日的运作调整期，除对持续持有期少于7日的基金份额持有人收取不低于1</w:t>
            </w:r>
            <w:r w:rsidRPr="00165521">
              <w:rPr>
                <w:rFonts w:asciiTheme="minorEastAsia" w:hAnsiTheme="minorEastAsia"/>
                <w:bCs/>
                <w:szCs w:val="21"/>
              </w:rPr>
              <w:t>.5%</w:t>
            </w:r>
            <w:r w:rsidRPr="00165521">
              <w:rPr>
                <w:rFonts w:asciiTheme="minorEastAsia" w:hAnsiTheme="minorEastAsia" w:hint="eastAsia"/>
                <w:bCs/>
                <w:szCs w:val="21"/>
              </w:rPr>
              <w:t>的赎回费以外，投资者在运作调整期内办理该基金的申购和赎回业务时不收取申购、赎回费用。</w:t>
            </w:r>
          </w:p>
        </w:tc>
      </w:tr>
      <w:tr w:rsidR="00AD7497" w:rsidRPr="006C7529" w:rsidTr="00A77C39">
        <w:trPr>
          <w:jc w:val="center"/>
        </w:trPr>
        <w:tc>
          <w:tcPr>
            <w:tcW w:w="569" w:type="pct"/>
          </w:tcPr>
          <w:p w:rsidR="00AD7497" w:rsidRPr="00AD7497" w:rsidRDefault="00AD7497" w:rsidP="004954E6">
            <w:pPr>
              <w:pStyle w:val="a3"/>
              <w:numPr>
                <w:ilvl w:val="0"/>
                <w:numId w:val="15"/>
              </w:numPr>
              <w:spacing w:line="360" w:lineRule="auto"/>
              <w:ind w:firstLineChars="0"/>
              <w:rPr>
                <w:rFonts w:ascii="Times New Roman" w:eastAsia="宋体" w:hAnsi="Times New Roman" w:cs="Times New Roman"/>
                <w:b/>
                <w:szCs w:val="21"/>
              </w:rPr>
            </w:pPr>
            <w:r w:rsidRPr="00AD7497">
              <w:rPr>
                <w:rFonts w:ascii="Times New Roman" w:eastAsia="宋体" w:hAnsi="Times New Roman" w:cs="Times New Roman" w:hint="eastAsia"/>
                <w:b/>
                <w:szCs w:val="21"/>
              </w:rPr>
              <w:t>第十四部分</w:t>
            </w:r>
            <w:r w:rsidRPr="00AD7497">
              <w:rPr>
                <w:rFonts w:ascii="Times New Roman" w:eastAsia="宋体" w:hAnsi="Times New Roman" w:cs="Times New Roman" w:hint="eastAsia"/>
                <w:b/>
                <w:szCs w:val="21"/>
              </w:rPr>
              <w:t xml:space="preserve">  </w:t>
            </w:r>
            <w:r w:rsidRPr="00AD7497">
              <w:rPr>
                <w:rFonts w:ascii="Times New Roman" w:eastAsia="宋体" w:hAnsi="Times New Roman" w:cs="Times New Roman" w:hint="eastAsia"/>
                <w:b/>
                <w:szCs w:val="21"/>
              </w:rPr>
              <w:t>基金的投资</w:t>
            </w:r>
          </w:p>
          <w:p w:rsidR="00AD7497" w:rsidRPr="00421900" w:rsidRDefault="00AD7497" w:rsidP="004954E6">
            <w:pPr>
              <w:numPr>
                <w:ilvl w:val="0"/>
                <w:numId w:val="15"/>
              </w:numPr>
              <w:spacing w:line="360" w:lineRule="auto"/>
              <w:jc w:val="center"/>
              <w:rPr>
                <w:rFonts w:ascii="Times New Roman" w:eastAsia="宋体" w:hAnsi="Times New Roman" w:cs="Times New Roman"/>
                <w:b/>
                <w:szCs w:val="21"/>
              </w:rPr>
            </w:pPr>
          </w:p>
        </w:tc>
        <w:tc>
          <w:tcPr>
            <w:tcW w:w="2217" w:type="pct"/>
          </w:tcPr>
          <w:p w:rsid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t>二、变更后的“交银施罗德稳固收益债券型证券投资基金”的投资</w:t>
            </w:r>
          </w:p>
          <w:p w:rsidR="00AD7497" w:rsidRP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bCs/>
                <w:szCs w:val="21"/>
              </w:rPr>
              <w:t>1、组合限制</w:t>
            </w:r>
          </w:p>
          <w:p w:rsid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t>保本周期内保本基金的投资组合限制第</w:t>
            </w:r>
            <w:r w:rsidRPr="00AD7497">
              <w:rPr>
                <w:rFonts w:asciiTheme="minorEastAsia" w:hAnsiTheme="minorEastAsia"/>
                <w:bCs/>
                <w:szCs w:val="21"/>
              </w:rPr>
              <w:t>（2）-（14）</w:t>
            </w:r>
            <w:r w:rsidRPr="00AD7497">
              <w:rPr>
                <w:rFonts w:asciiTheme="minorEastAsia" w:hAnsiTheme="minorEastAsia"/>
                <w:bCs/>
                <w:szCs w:val="21"/>
              </w:rPr>
              <w:lastRenderedPageBreak/>
              <w:t>条</w:t>
            </w:r>
            <w:r w:rsidRPr="00AD7497">
              <w:rPr>
                <w:rFonts w:asciiTheme="minorEastAsia" w:hAnsiTheme="minorEastAsia" w:hint="eastAsia"/>
                <w:bCs/>
                <w:szCs w:val="21"/>
              </w:rPr>
              <w:t>、第（16）-（</w:t>
            </w:r>
            <w:r>
              <w:rPr>
                <w:rFonts w:asciiTheme="minorEastAsia" w:hAnsiTheme="minorEastAsia" w:hint="eastAsia"/>
                <w:bCs/>
                <w:szCs w:val="21"/>
              </w:rPr>
              <w:t>17</w:t>
            </w:r>
            <w:r w:rsidRPr="00AD7497">
              <w:rPr>
                <w:rFonts w:asciiTheme="minorEastAsia" w:hAnsiTheme="minorEastAsia" w:hint="eastAsia"/>
                <w:bCs/>
                <w:szCs w:val="21"/>
              </w:rPr>
              <w:t>）条</w:t>
            </w:r>
            <w:r w:rsidRPr="00AD7497">
              <w:rPr>
                <w:rFonts w:asciiTheme="minorEastAsia" w:hAnsiTheme="minorEastAsia"/>
                <w:bCs/>
                <w:szCs w:val="21"/>
              </w:rPr>
              <w:t>及禁止行为</w:t>
            </w:r>
            <w:r w:rsidRPr="00AD7497">
              <w:rPr>
                <w:rFonts w:asciiTheme="minorEastAsia" w:hAnsiTheme="minorEastAsia" w:hint="eastAsia"/>
                <w:bCs/>
                <w:szCs w:val="21"/>
              </w:rPr>
              <w:t>等相关</w:t>
            </w:r>
            <w:r w:rsidRPr="00AD7497">
              <w:rPr>
                <w:rFonts w:asciiTheme="minorEastAsia" w:hAnsiTheme="minorEastAsia"/>
                <w:bCs/>
                <w:szCs w:val="21"/>
              </w:rPr>
              <w:t>规定适用于转型后的</w:t>
            </w:r>
            <w:r w:rsidRPr="00AD7497">
              <w:rPr>
                <w:rFonts w:asciiTheme="minorEastAsia" w:hAnsiTheme="minorEastAsia" w:hint="eastAsia"/>
                <w:bCs/>
                <w:szCs w:val="21"/>
              </w:rPr>
              <w:t>债券</w:t>
            </w:r>
            <w:r w:rsidRPr="00AD7497">
              <w:rPr>
                <w:rFonts w:asciiTheme="minorEastAsia" w:hAnsiTheme="minorEastAsia"/>
                <w:bCs/>
                <w:szCs w:val="21"/>
              </w:rPr>
              <w:t>型基金。此外，对于转型后的</w:t>
            </w:r>
            <w:r w:rsidRPr="00AD7497">
              <w:rPr>
                <w:rFonts w:asciiTheme="minorEastAsia" w:hAnsiTheme="minorEastAsia" w:hint="eastAsia"/>
                <w:bCs/>
                <w:szCs w:val="21"/>
              </w:rPr>
              <w:t>债券</w:t>
            </w:r>
            <w:r w:rsidRPr="00AD7497">
              <w:rPr>
                <w:rFonts w:asciiTheme="minorEastAsia" w:hAnsiTheme="minorEastAsia"/>
                <w:bCs/>
                <w:szCs w:val="21"/>
              </w:rPr>
              <w:t>型基金，</w:t>
            </w:r>
            <w:r w:rsidRPr="00AD7497">
              <w:rPr>
                <w:rFonts w:asciiTheme="minorEastAsia" w:hAnsiTheme="minorEastAsia" w:hint="eastAsia"/>
                <w:bCs/>
                <w:szCs w:val="21"/>
              </w:rPr>
              <w:t>固定收益类资产占基金资产的比例不低于80%，股票、权证等权益类资产占基金资产的比例不高于20%。</w:t>
            </w:r>
          </w:p>
          <w:p w:rsidR="00AD7497" w:rsidRDefault="00AD7497" w:rsidP="004954E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AD7497" w:rsidRP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c>
          <w:tcPr>
            <w:tcW w:w="2214" w:type="pct"/>
          </w:tcPr>
          <w:p w:rsid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lastRenderedPageBreak/>
              <w:t>二、变更后的“交银施罗德稳固收益债券型证券投资基金”的投资</w:t>
            </w:r>
          </w:p>
          <w:p w:rsidR="00AD7497" w:rsidRP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bCs/>
                <w:szCs w:val="21"/>
              </w:rPr>
              <w:t>1、组合限制</w:t>
            </w:r>
          </w:p>
          <w:p w:rsid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t>保本周期内保本基金的投资组合限制第</w:t>
            </w:r>
            <w:r w:rsidRPr="00AD7497">
              <w:rPr>
                <w:rFonts w:asciiTheme="minorEastAsia" w:hAnsiTheme="minorEastAsia"/>
                <w:bCs/>
                <w:szCs w:val="21"/>
              </w:rPr>
              <w:t>（2）-（14）</w:t>
            </w:r>
            <w:r w:rsidRPr="00AD7497">
              <w:rPr>
                <w:rFonts w:asciiTheme="minorEastAsia" w:hAnsiTheme="minorEastAsia"/>
                <w:bCs/>
                <w:szCs w:val="21"/>
              </w:rPr>
              <w:lastRenderedPageBreak/>
              <w:t>条</w:t>
            </w:r>
            <w:r w:rsidRPr="00AD7497">
              <w:rPr>
                <w:rFonts w:asciiTheme="minorEastAsia" w:hAnsiTheme="minorEastAsia" w:hint="eastAsia"/>
                <w:bCs/>
                <w:szCs w:val="21"/>
              </w:rPr>
              <w:t>、第（16）-（</w:t>
            </w:r>
            <w:r w:rsidRPr="00AD7497">
              <w:rPr>
                <w:rFonts w:asciiTheme="minorEastAsia" w:hAnsiTheme="minorEastAsia"/>
                <w:bCs/>
                <w:szCs w:val="21"/>
              </w:rPr>
              <w:t>20</w:t>
            </w:r>
            <w:r w:rsidRPr="00AD7497">
              <w:rPr>
                <w:rFonts w:asciiTheme="minorEastAsia" w:hAnsiTheme="minorEastAsia" w:hint="eastAsia"/>
                <w:bCs/>
                <w:szCs w:val="21"/>
              </w:rPr>
              <w:t>）条</w:t>
            </w:r>
            <w:r w:rsidRPr="00AD7497">
              <w:rPr>
                <w:rFonts w:asciiTheme="minorEastAsia" w:hAnsiTheme="minorEastAsia"/>
                <w:bCs/>
                <w:szCs w:val="21"/>
              </w:rPr>
              <w:t>及禁止行为</w:t>
            </w:r>
            <w:r w:rsidRPr="00AD7497">
              <w:rPr>
                <w:rFonts w:asciiTheme="minorEastAsia" w:hAnsiTheme="minorEastAsia" w:hint="eastAsia"/>
                <w:bCs/>
                <w:szCs w:val="21"/>
              </w:rPr>
              <w:t>等相关</w:t>
            </w:r>
            <w:r w:rsidRPr="00AD7497">
              <w:rPr>
                <w:rFonts w:asciiTheme="minorEastAsia" w:hAnsiTheme="minorEastAsia"/>
                <w:bCs/>
                <w:szCs w:val="21"/>
              </w:rPr>
              <w:t>规定适用于转型后的</w:t>
            </w:r>
            <w:r w:rsidRPr="00AD7497">
              <w:rPr>
                <w:rFonts w:asciiTheme="minorEastAsia" w:hAnsiTheme="minorEastAsia" w:hint="eastAsia"/>
                <w:bCs/>
                <w:szCs w:val="21"/>
              </w:rPr>
              <w:t>债券</w:t>
            </w:r>
            <w:r w:rsidRPr="00AD7497">
              <w:rPr>
                <w:rFonts w:asciiTheme="minorEastAsia" w:hAnsiTheme="minorEastAsia"/>
                <w:bCs/>
                <w:szCs w:val="21"/>
              </w:rPr>
              <w:t>型基金。此外，对于转型后的</w:t>
            </w:r>
            <w:r w:rsidRPr="00AD7497">
              <w:rPr>
                <w:rFonts w:asciiTheme="minorEastAsia" w:hAnsiTheme="minorEastAsia" w:hint="eastAsia"/>
                <w:bCs/>
                <w:szCs w:val="21"/>
              </w:rPr>
              <w:t>债券</w:t>
            </w:r>
            <w:r w:rsidRPr="00AD7497">
              <w:rPr>
                <w:rFonts w:asciiTheme="minorEastAsia" w:hAnsiTheme="minorEastAsia"/>
                <w:bCs/>
                <w:szCs w:val="21"/>
              </w:rPr>
              <w:t>型基金，</w:t>
            </w:r>
            <w:r w:rsidRPr="00AD7497">
              <w:rPr>
                <w:rFonts w:asciiTheme="minorEastAsia" w:hAnsiTheme="minorEastAsia" w:hint="eastAsia"/>
                <w:bCs/>
                <w:szCs w:val="21"/>
              </w:rPr>
              <w:t>固定收益类资产占基金资产的比例不低于80%，股票、权证等权益类资产占基金资产的比例不高于20%。</w:t>
            </w:r>
          </w:p>
          <w:p w:rsidR="00AD7497" w:rsidRDefault="00AD7497" w:rsidP="004954E6">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AD7497" w:rsidRPr="00AD7497" w:rsidRDefault="00AD7497" w:rsidP="004954E6">
            <w:pPr>
              <w:spacing w:line="360" w:lineRule="auto"/>
              <w:ind w:firstLineChars="200" w:firstLine="420"/>
              <w:rPr>
                <w:rFonts w:asciiTheme="minorEastAsia" w:hAnsiTheme="minorEastAsia"/>
                <w:bCs/>
                <w:szCs w:val="21"/>
              </w:rPr>
            </w:pPr>
            <w:r w:rsidRPr="00AD7497">
              <w:rPr>
                <w:rFonts w:asciiTheme="minorEastAsia" w:hAnsiTheme="minorEastAsia" w:hint="eastAsia"/>
                <w:bCs/>
                <w:szCs w:val="21"/>
              </w:rPr>
              <w:t>除前述投资组合限制第（2）、（1</w:t>
            </w:r>
            <w:r w:rsidRPr="00AD7497">
              <w:rPr>
                <w:rFonts w:asciiTheme="minorEastAsia" w:hAnsiTheme="minorEastAsia"/>
                <w:bCs/>
                <w:szCs w:val="21"/>
              </w:rPr>
              <w:t>2</w:t>
            </w:r>
            <w:r w:rsidRPr="00AD7497">
              <w:rPr>
                <w:rFonts w:asciiTheme="minorEastAsia" w:hAnsiTheme="minorEastAsia" w:hint="eastAsia"/>
                <w:bCs/>
                <w:szCs w:val="21"/>
              </w:rPr>
              <w:t>）、（1</w:t>
            </w:r>
            <w:r w:rsidRPr="00AD7497">
              <w:rPr>
                <w:rFonts w:asciiTheme="minorEastAsia" w:hAnsiTheme="minorEastAsia"/>
                <w:bCs/>
                <w:szCs w:val="21"/>
              </w:rPr>
              <w:t>8</w:t>
            </w:r>
            <w:r w:rsidRPr="00AD7497">
              <w:rPr>
                <w:rFonts w:asciiTheme="minorEastAsia" w:hAnsiTheme="minorEastAsia" w:hint="eastAsia"/>
                <w:bCs/>
                <w:szCs w:val="21"/>
              </w:rPr>
              <w:t>）、（1</w:t>
            </w:r>
            <w:r w:rsidRPr="00AD7497">
              <w:rPr>
                <w:rFonts w:asciiTheme="minorEastAsia" w:hAnsiTheme="minorEastAsia"/>
                <w:bCs/>
                <w:szCs w:val="21"/>
              </w:rPr>
              <w:t>9</w:t>
            </w:r>
            <w:r w:rsidRPr="00AD7497">
              <w:rPr>
                <w:rFonts w:asciiTheme="minorEastAsia" w:hAnsiTheme="minorEastAsia" w:hint="eastAsia"/>
                <w:bCs/>
                <w:szCs w:val="21"/>
              </w:rPr>
              <w:t>）条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tc>
      </w:tr>
      <w:tr w:rsidR="00165521" w:rsidRPr="006C7529" w:rsidTr="00A77C39">
        <w:trPr>
          <w:jc w:val="center"/>
        </w:trPr>
        <w:tc>
          <w:tcPr>
            <w:tcW w:w="569" w:type="pct"/>
          </w:tcPr>
          <w:p w:rsidR="0057285F" w:rsidRPr="0057285F" w:rsidRDefault="0057285F" w:rsidP="004954E6">
            <w:pPr>
              <w:spacing w:line="360" w:lineRule="auto"/>
              <w:jc w:val="center"/>
              <w:rPr>
                <w:rFonts w:ascii="Times New Roman" w:eastAsia="宋体" w:hAnsi="Times New Roman" w:cs="Times New Roman"/>
                <w:b/>
                <w:szCs w:val="21"/>
              </w:rPr>
            </w:pPr>
            <w:bookmarkStart w:id="52" w:name="_Toc17782"/>
            <w:bookmarkStart w:id="53" w:name="_Toc7802"/>
            <w:bookmarkStart w:id="54" w:name="_Toc19714"/>
            <w:bookmarkStart w:id="55" w:name="_Toc31917"/>
            <w:bookmarkStart w:id="56" w:name="_Toc27832"/>
            <w:bookmarkStart w:id="57" w:name="_Toc871"/>
            <w:bookmarkStart w:id="58" w:name="_Toc312933443"/>
            <w:bookmarkStart w:id="59" w:name="_Toc350774416"/>
            <w:r w:rsidRPr="0057285F">
              <w:rPr>
                <w:rFonts w:ascii="Times New Roman" w:eastAsia="宋体" w:hAnsi="Times New Roman" w:cs="Times New Roman"/>
                <w:b/>
                <w:szCs w:val="21"/>
              </w:rPr>
              <w:lastRenderedPageBreak/>
              <w:t>第十</w:t>
            </w:r>
            <w:r w:rsidRPr="0057285F">
              <w:rPr>
                <w:rFonts w:ascii="Times New Roman" w:eastAsia="宋体" w:hAnsi="Times New Roman" w:cs="Times New Roman" w:hint="eastAsia"/>
                <w:b/>
                <w:szCs w:val="21"/>
              </w:rPr>
              <w:t>六</w:t>
            </w:r>
            <w:r w:rsidRPr="0057285F">
              <w:rPr>
                <w:rFonts w:ascii="Times New Roman" w:eastAsia="宋体" w:hAnsi="Times New Roman" w:cs="Times New Roman"/>
                <w:b/>
                <w:szCs w:val="21"/>
              </w:rPr>
              <w:t>部分</w:t>
            </w:r>
            <w:r w:rsidRPr="0057285F">
              <w:rPr>
                <w:rFonts w:ascii="Times New Roman" w:eastAsia="宋体" w:hAnsi="Times New Roman" w:cs="Times New Roman"/>
                <w:b/>
                <w:szCs w:val="21"/>
              </w:rPr>
              <w:t xml:space="preserve">  </w:t>
            </w:r>
            <w:r w:rsidRPr="0057285F">
              <w:rPr>
                <w:rFonts w:ascii="Times New Roman" w:eastAsia="宋体" w:hAnsi="Times New Roman" w:cs="Times New Roman"/>
                <w:b/>
                <w:szCs w:val="21"/>
              </w:rPr>
              <w:t>基金资产估值</w:t>
            </w:r>
            <w:bookmarkEnd w:id="52"/>
            <w:bookmarkEnd w:id="53"/>
            <w:bookmarkEnd w:id="54"/>
            <w:bookmarkEnd w:id="55"/>
            <w:bookmarkEnd w:id="56"/>
            <w:bookmarkEnd w:id="57"/>
            <w:bookmarkEnd w:id="58"/>
            <w:bookmarkEnd w:id="59"/>
          </w:p>
          <w:p w:rsidR="00165521" w:rsidRPr="0057285F" w:rsidRDefault="00165521" w:rsidP="004954E6">
            <w:pPr>
              <w:spacing w:line="360" w:lineRule="auto"/>
              <w:jc w:val="center"/>
              <w:rPr>
                <w:rFonts w:ascii="Times New Roman" w:eastAsia="宋体" w:hAnsi="Times New Roman" w:cs="Times New Roman"/>
                <w:szCs w:val="21"/>
              </w:rPr>
            </w:pPr>
          </w:p>
        </w:tc>
        <w:tc>
          <w:tcPr>
            <w:tcW w:w="2217" w:type="pct"/>
          </w:tcPr>
          <w:p w:rsidR="0057285F" w:rsidRPr="0057285F" w:rsidRDefault="0057285F" w:rsidP="004954E6">
            <w:pPr>
              <w:spacing w:line="360" w:lineRule="auto"/>
              <w:ind w:firstLine="420"/>
              <w:rPr>
                <w:rFonts w:asciiTheme="minorEastAsia" w:hAnsiTheme="minorEastAsia" w:cs="Times New Roman"/>
                <w:bCs/>
                <w:szCs w:val="21"/>
              </w:rPr>
            </w:pPr>
            <w:r w:rsidRPr="0057285F">
              <w:rPr>
                <w:rFonts w:asciiTheme="minorEastAsia" w:hAnsiTheme="minorEastAsia" w:cs="Times New Roman"/>
                <w:bCs/>
                <w:szCs w:val="21"/>
              </w:rPr>
              <w:t>六、暂停估值的情形</w:t>
            </w:r>
          </w:p>
          <w:p w:rsidR="00165521" w:rsidRPr="001C0094" w:rsidRDefault="00165521" w:rsidP="004954E6">
            <w:pPr>
              <w:spacing w:line="360" w:lineRule="auto"/>
              <w:rPr>
                <w:rFonts w:asciiTheme="minorEastAsia" w:hAnsiTheme="minorEastAsia" w:cs="Times New Roman"/>
                <w:szCs w:val="21"/>
              </w:rPr>
            </w:pPr>
          </w:p>
        </w:tc>
        <w:tc>
          <w:tcPr>
            <w:tcW w:w="2214" w:type="pct"/>
          </w:tcPr>
          <w:p w:rsidR="0057285F" w:rsidRPr="0057285F" w:rsidRDefault="0057285F" w:rsidP="004954E6">
            <w:pPr>
              <w:spacing w:line="360" w:lineRule="auto"/>
              <w:ind w:firstLine="420"/>
              <w:rPr>
                <w:rFonts w:asciiTheme="minorEastAsia" w:hAnsiTheme="minorEastAsia" w:cs="Times New Roman"/>
                <w:bCs/>
                <w:szCs w:val="21"/>
              </w:rPr>
            </w:pPr>
            <w:r w:rsidRPr="0057285F">
              <w:rPr>
                <w:rFonts w:asciiTheme="minorEastAsia" w:hAnsiTheme="minorEastAsia" w:cs="Times New Roman"/>
                <w:bCs/>
                <w:szCs w:val="21"/>
              </w:rPr>
              <w:t>六、暂停估值的情形</w:t>
            </w:r>
          </w:p>
          <w:p w:rsidR="00165521" w:rsidRPr="00D67F0C" w:rsidRDefault="00165521" w:rsidP="004954E6">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165521" w:rsidRPr="00D67F0C" w:rsidRDefault="0057285F" w:rsidP="004954E6">
            <w:pPr>
              <w:spacing w:line="360" w:lineRule="auto"/>
              <w:ind w:firstLine="420"/>
              <w:rPr>
                <w:rFonts w:asciiTheme="minorEastAsia" w:hAnsiTheme="minorEastAsia" w:cs="Times New Roman"/>
                <w:bCs/>
                <w:szCs w:val="21"/>
              </w:rPr>
            </w:pPr>
            <w:r w:rsidRPr="0057285F">
              <w:rPr>
                <w:rFonts w:asciiTheme="minorEastAsia" w:hAnsiTheme="minorEastAsia" w:cs="Times New Roman"/>
                <w:bCs/>
                <w:szCs w:val="21"/>
              </w:rPr>
              <w:t>3</w:t>
            </w:r>
            <w:r w:rsidRPr="0057285F">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165521" w:rsidRPr="006C7529" w:rsidTr="00A77C39">
        <w:trPr>
          <w:jc w:val="center"/>
        </w:trPr>
        <w:tc>
          <w:tcPr>
            <w:tcW w:w="569" w:type="pct"/>
          </w:tcPr>
          <w:p w:rsidR="00165521" w:rsidRPr="0057285F" w:rsidRDefault="0057285F" w:rsidP="004954E6">
            <w:pPr>
              <w:spacing w:line="360" w:lineRule="auto"/>
              <w:jc w:val="center"/>
              <w:rPr>
                <w:b/>
              </w:rPr>
            </w:pPr>
            <w:bookmarkStart w:id="60" w:name="_Toc93226151"/>
            <w:bookmarkStart w:id="61" w:name="_Toc92662709"/>
            <w:bookmarkStart w:id="62" w:name="_Toc3056"/>
            <w:bookmarkStart w:id="63" w:name="_Toc193"/>
            <w:bookmarkStart w:id="64" w:name="_Toc141703898"/>
            <w:bookmarkStart w:id="65" w:name="_Toc139991748"/>
            <w:bookmarkStart w:id="66" w:name="_Toc128310501"/>
            <w:bookmarkStart w:id="67" w:name="_Toc1421"/>
            <w:bookmarkStart w:id="68" w:name="_Toc8512"/>
            <w:bookmarkStart w:id="69" w:name="_Toc11049"/>
            <w:bookmarkStart w:id="70" w:name="_Toc1173"/>
            <w:bookmarkStart w:id="71" w:name="_Toc12028"/>
            <w:bookmarkStart w:id="72" w:name="_Toc31866"/>
            <w:bookmarkStart w:id="73" w:name="_Toc29289"/>
            <w:bookmarkStart w:id="74" w:name="_Toc11802"/>
            <w:bookmarkStart w:id="75" w:name="_Toc312933447"/>
            <w:bookmarkStart w:id="76" w:name="_Toc350774420"/>
            <w:r w:rsidRPr="0057285F">
              <w:rPr>
                <w:b/>
              </w:rPr>
              <w:lastRenderedPageBreak/>
              <w:t>第</w:t>
            </w:r>
            <w:r w:rsidRPr="0057285F">
              <w:rPr>
                <w:rFonts w:hint="eastAsia"/>
                <w:b/>
              </w:rPr>
              <w:t>二十</w:t>
            </w:r>
            <w:r w:rsidRPr="0057285F">
              <w:rPr>
                <w:b/>
              </w:rPr>
              <w:t>部分</w:t>
            </w:r>
            <w:r w:rsidRPr="0057285F">
              <w:rPr>
                <w:b/>
              </w:rPr>
              <w:t xml:space="preserve">  </w:t>
            </w:r>
            <w:r w:rsidRPr="0057285F">
              <w:rPr>
                <w:b/>
              </w:rPr>
              <w:t>基金</w:t>
            </w:r>
            <w:bookmarkEnd w:id="60"/>
            <w:bookmarkEnd w:id="61"/>
            <w:r w:rsidRPr="0057285F">
              <w:rPr>
                <w:b/>
              </w:rPr>
              <w:t>的信息披露</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c>
        <w:tc>
          <w:tcPr>
            <w:tcW w:w="2217" w:type="pct"/>
          </w:tcPr>
          <w:p w:rsidR="00165521" w:rsidRPr="00DB0FF0"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165521" w:rsidRPr="00DB0FF0"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一、本基金的信息披露应符合《基金法》、《运作办法》、《信息披露办法》、</w:t>
            </w:r>
            <w:r w:rsidRPr="0057285F">
              <w:rPr>
                <w:rFonts w:ascii="Times New Roman" w:eastAsia="宋体" w:hAnsi="Times New Roman" w:cs="Times New Roman" w:hint="eastAsia"/>
                <w:bCs/>
                <w:szCs w:val="21"/>
              </w:rPr>
              <w:t>《流动性规定》、</w:t>
            </w:r>
            <w:r w:rsidRPr="0057285F">
              <w:rPr>
                <w:rFonts w:ascii="Times New Roman" w:eastAsia="宋体" w:hAnsi="Times New Roman" w:cs="Times New Roman"/>
                <w:bCs/>
                <w:szCs w:val="21"/>
              </w:rPr>
              <w:t>基金合同及其他有关规定。</w:t>
            </w:r>
          </w:p>
        </w:tc>
      </w:tr>
      <w:tr w:rsidR="00165521" w:rsidRPr="006C7529" w:rsidTr="00A77C39">
        <w:trPr>
          <w:jc w:val="center"/>
        </w:trPr>
        <w:tc>
          <w:tcPr>
            <w:tcW w:w="569" w:type="pct"/>
          </w:tcPr>
          <w:p w:rsidR="0057285F" w:rsidRPr="0057285F" w:rsidRDefault="0057285F" w:rsidP="004954E6">
            <w:pPr>
              <w:spacing w:line="360" w:lineRule="auto"/>
              <w:jc w:val="center"/>
              <w:rPr>
                <w:b/>
              </w:rPr>
            </w:pPr>
            <w:r w:rsidRPr="0057285F">
              <w:rPr>
                <w:b/>
              </w:rPr>
              <w:t>第</w:t>
            </w:r>
            <w:r w:rsidRPr="0057285F">
              <w:rPr>
                <w:rFonts w:hint="eastAsia"/>
                <w:b/>
              </w:rPr>
              <w:t>二十</w:t>
            </w:r>
            <w:r w:rsidRPr="0057285F">
              <w:rPr>
                <w:b/>
              </w:rPr>
              <w:t>部分</w:t>
            </w:r>
            <w:r w:rsidRPr="0057285F">
              <w:rPr>
                <w:b/>
              </w:rPr>
              <w:t xml:space="preserve">  </w:t>
            </w:r>
            <w:r w:rsidRPr="0057285F">
              <w:rPr>
                <w:b/>
              </w:rPr>
              <w:t>基金的信息披露</w:t>
            </w:r>
          </w:p>
          <w:p w:rsidR="00165521" w:rsidRPr="0057285F" w:rsidRDefault="00165521" w:rsidP="004954E6">
            <w:pPr>
              <w:spacing w:line="360" w:lineRule="auto"/>
              <w:jc w:val="center"/>
              <w:rPr>
                <w:rFonts w:ascii="Times New Roman" w:eastAsia="宋体" w:hAnsi="Times New Roman" w:cs="Times New Roman"/>
                <w:bCs/>
                <w:szCs w:val="21"/>
              </w:rPr>
            </w:pPr>
          </w:p>
        </w:tc>
        <w:tc>
          <w:tcPr>
            <w:tcW w:w="2217" w:type="pct"/>
          </w:tcPr>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五、公开披露的基金信息</w:t>
            </w:r>
          </w:p>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（六）基金定期报告，包括基金年度报告、基金半年度报告和基金季度报告</w:t>
            </w:r>
          </w:p>
          <w:p w:rsidR="00165521" w:rsidRPr="0057285F" w:rsidRDefault="00165521" w:rsidP="004954E6">
            <w:pPr>
              <w:spacing w:line="360" w:lineRule="auto"/>
              <w:ind w:firstLineChars="200" w:firstLine="420"/>
              <w:rPr>
                <w:rFonts w:ascii="Times New Roman" w:eastAsia="宋体" w:hAnsi="Times New Roman" w:cs="Times New Roman"/>
                <w:bCs/>
                <w:strike/>
                <w:szCs w:val="21"/>
              </w:rPr>
            </w:pPr>
          </w:p>
        </w:tc>
        <w:tc>
          <w:tcPr>
            <w:tcW w:w="2214" w:type="pct"/>
          </w:tcPr>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五、公开披露的基金信息</w:t>
            </w:r>
          </w:p>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（六）基金定期报告，包括基金年度报告、基金半年度报告和基金季度报告</w:t>
            </w:r>
          </w:p>
          <w:p w:rsidR="00165521" w:rsidRPr="00D67F0C" w:rsidRDefault="00165521" w:rsidP="004954E6">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hint="eastAsia"/>
                <w:bCs/>
                <w:szCs w:val="21"/>
              </w:rPr>
              <w:t>如报告期内出现单一投资者持有基金份额达到或超过基金总份额</w:t>
            </w:r>
            <w:r w:rsidRPr="0057285F">
              <w:rPr>
                <w:rFonts w:ascii="Times New Roman" w:eastAsia="宋体" w:hAnsi="Times New Roman" w:cs="Times New Roman" w:hint="eastAsia"/>
                <w:bCs/>
                <w:szCs w:val="21"/>
              </w:rPr>
              <w:t>20%</w:t>
            </w:r>
            <w:r w:rsidRPr="0057285F">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65521" w:rsidRPr="008B5B39"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165521" w:rsidRPr="006C7529" w:rsidTr="00A77C39">
        <w:trPr>
          <w:jc w:val="center"/>
        </w:trPr>
        <w:tc>
          <w:tcPr>
            <w:tcW w:w="569" w:type="pct"/>
          </w:tcPr>
          <w:p w:rsidR="0057285F" w:rsidRPr="0057285F" w:rsidRDefault="0057285F" w:rsidP="004954E6">
            <w:pPr>
              <w:spacing w:line="360" w:lineRule="auto"/>
              <w:jc w:val="center"/>
              <w:rPr>
                <w:b/>
              </w:rPr>
            </w:pPr>
            <w:r w:rsidRPr="0057285F">
              <w:rPr>
                <w:b/>
              </w:rPr>
              <w:t>第</w:t>
            </w:r>
            <w:r w:rsidRPr="0057285F">
              <w:rPr>
                <w:rFonts w:hint="eastAsia"/>
                <w:b/>
              </w:rPr>
              <w:t>二十</w:t>
            </w:r>
            <w:r w:rsidRPr="0057285F">
              <w:rPr>
                <w:b/>
              </w:rPr>
              <w:t>部分</w:t>
            </w:r>
            <w:r w:rsidRPr="0057285F">
              <w:rPr>
                <w:b/>
              </w:rPr>
              <w:t xml:space="preserve">  </w:t>
            </w:r>
            <w:r w:rsidRPr="0057285F">
              <w:rPr>
                <w:b/>
              </w:rPr>
              <w:t>基金的信息</w:t>
            </w:r>
            <w:r w:rsidRPr="0057285F">
              <w:rPr>
                <w:b/>
              </w:rPr>
              <w:lastRenderedPageBreak/>
              <w:t>披露</w:t>
            </w:r>
          </w:p>
          <w:p w:rsidR="00165521" w:rsidRPr="00350E4A" w:rsidRDefault="00165521" w:rsidP="004954E6">
            <w:pPr>
              <w:spacing w:line="360" w:lineRule="auto"/>
              <w:jc w:val="center"/>
              <w:rPr>
                <w:rFonts w:ascii="Times New Roman" w:hAnsi="Times New Roman" w:cs="Times New Roman"/>
                <w:szCs w:val="21"/>
              </w:rPr>
            </w:pPr>
          </w:p>
        </w:tc>
        <w:tc>
          <w:tcPr>
            <w:tcW w:w="2217" w:type="pct"/>
          </w:tcPr>
          <w:p w:rsid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hint="eastAsia"/>
                <w:bCs/>
                <w:szCs w:val="21"/>
              </w:rPr>
              <w:lastRenderedPageBreak/>
              <w:t>五、公开披露的基金信息</w:t>
            </w:r>
          </w:p>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（七）临时报告</w:t>
            </w:r>
          </w:p>
          <w:p w:rsidR="00165521" w:rsidRPr="002C7875" w:rsidRDefault="00165521" w:rsidP="004954E6">
            <w:pPr>
              <w:spacing w:line="360" w:lineRule="auto"/>
              <w:ind w:firstLineChars="200" w:firstLine="420"/>
              <w:rPr>
                <w:rFonts w:ascii="Times New Roman" w:eastAsia="宋体" w:hAnsi="Times New Roman" w:cs="Times New Roman"/>
                <w:bCs/>
                <w:szCs w:val="21"/>
              </w:rPr>
            </w:pPr>
          </w:p>
        </w:tc>
        <w:tc>
          <w:tcPr>
            <w:tcW w:w="2214" w:type="pct"/>
          </w:tcPr>
          <w:p w:rsid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hint="eastAsia"/>
                <w:bCs/>
                <w:szCs w:val="21"/>
              </w:rPr>
              <w:lastRenderedPageBreak/>
              <w:t>五、公开披露的基金信息</w:t>
            </w:r>
          </w:p>
          <w:p w:rsidR="0057285F" w:rsidRPr="0057285F" w:rsidRDefault="0057285F" w:rsidP="004954E6">
            <w:pPr>
              <w:spacing w:line="360" w:lineRule="auto"/>
              <w:ind w:firstLineChars="200" w:firstLine="420"/>
              <w:rPr>
                <w:rFonts w:ascii="Times New Roman" w:eastAsia="宋体" w:hAnsi="Times New Roman" w:cs="Times New Roman"/>
                <w:bCs/>
                <w:szCs w:val="21"/>
              </w:rPr>
            </w:pPr>
            <w:r w:rsidRPr="0057285F">
              <w:rPr>
                <w:rFonts w:ascii="Times New Roman" w:eastAsia="宋体" w:hAnsi="Times New Roman" w:cs="Times New Roman"/>
                <w:bCs/>
                <w:szCs w:val="21"/>
              </w:rPr>
              <w:t>（七）临时报告</w:t>
            </w:r>
          </w:p>
          <w:p w:rsidR="00165521" w:rsidRPr="00D67F0C" w:rsidRDefault="00165521" w:rsidP="004954E6">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lastRenderedPageBreak/>
              <w:t>新增内容如下：</w:t>
            </w:r>
          </w:p>
          <w:p w:rsidR="00165521" w:rsidRPr="002C7875" w:rsidRDefault="00051235" w:rsidP="004954E6">
            <w:pPr>
              <w:spacing w:line="360" w:lineRule="auto"/>
              <w:ind w:firstLineChars="200" w:firstLine="420"/>
              <w:rPr>
                <w:rFonts w:ascii="Times New Roman" w:eastAsia="宋体" w:hAnsi="Times New Roman" w:cs="Times New Roman"/>
                <w:bCs/>
                <w:szCs w:val="21"/>
              </w:rPr>
            </w:pPr>
            <w:r w:rsidRPr="00051235">
              <w:rPr>
                <w:rFonts w:ascii="Times New Roman" w:eastAsia="宋体" w:hAnsi="Times New Roman" w:cs="Times New Roman" w:hint="eastAsia"/>
                <w:bCs/>
                <w:szCs w:val="21"/>
              </w:rPr>
              <w:t>26</w:t>
            </w:r>
            <w:r w:rsidRPr="00051235">
              <w:rPr>
                <w:rFonts w:ascii="Times New Roman" w:eastAsia="宋体" w:hAnsi="Times New Roman" w:cs="Times New Roman" w:hint="eastAsia"/>
                <w:bCs/>
                <w:szCs w:val="21"/>
              </w:rPr>
              <w:t>、发生涉及基金申购、赎回事项调整或潜在影响投资者赎回等重大事项时；</w:t>
            </w:r>
          </w:p>
        </w:tc>
      </w:tr>
      <w:tr w:rsidR="00FA3B31" w:rsidRPr="006C7529" w:rsidTr="00FA3B31">
        <w:trPr>
          <w:jc w:val="center"/>
        </w:trPr>
        <w:tc>
          <w:tcPr>
            <w:tcW w:w="569" w:type="pct"/>
          </w:tcPr>
          <w:p w:rsidR="00FA3B31" w:rsidRPr="0057285F" w:rsidRDefault="00FA3B31" w:rsidP="004954E6">
            <w:pPr>
              <w:spacing w:line="360" w:lineRule="auto"/>
              <w:jc w:val="center"/>
              <w:rPr>
                <w:b/>
              </w:rPr>
            </w:pPr>
            <w:r>
              <w:rPr>
                <w:rFonts w:hint="eastAsia"/>
                <w:b/>
              </w:rPr>
              <w:lastRenderedPageBreak/>
              <w:t>第</w:t>
            </w:r>
            <w:r>
              <w:rPr>
                <w:b/>
              </w:rPr>
              <w:t>二十七部分</w:t>
            </w:r>
            <w:r>
              <w:rPr>
                <w:rFonts w:hint="eastAsia"/>
                <w:b/>
              </w:rPr>
              <w:t xml:space="preserve"> </w:t>
            </w:r>
            <w:r>
              <w:rPr>
                <w:rFonts w:hint="eastAsia"/>
                <w:b/>
              </w:rPr>
              <w:t>基金</w:t>
            </w:r>
            <w:r>
              <w:rPr>
                <w:b/>
              </w:rPr>
              <w:t>合同内容摘要</w:t>
            </w:r>
          </w:p>
        </w:tc>
        <w:tc>
          <w:tcPr>
            <w:tcW w:w="4431" w:type="pct"/>
            <w:gridSpan w:val="2"/>
          </w:tcPr>
          <w:p w:rsidR="00FA3B31" w:rsidRPr="0057285F" w:rsidRDefault="00FA3B31" w:rsidP="00FA3B31">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w:t>
            </w:r>
            <w:r>
              <w:rPr>
                <w:rFonts w:ascii="Times New Roman" w:eastAsia="宋体" w:hAnsi="Times New Roman" w:cs="Times New Roman"/>
                <w:bCs/>
                <w:szCs w:val="21"/>
              </w:rPr>
              <w:t>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FA3B31">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43" w:rsidRDefault="00EE3E43" w:rsidP="00863159">
      <w:r>
        <w:separator/>
      </w:r>
    </w:p>
  </w:endnote>
  <w:endnote w:type="continuationSeparator" w:id="0">
    <w:p w:rsidR="00EE3E43" w:rsidRDefault="00EE3E43"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FA3B31" w:rsidRPr="006468E7" w:rsidRDefault="00FA3B31">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8106D" w:rsidRPr="0068106D">
          <w:rPr>
            <w:rFonts w:ascii="Times New Roman" w:hAnsi="Times New Roman" w:cs="Times New Roman"/>
            <w:noProof/>
            <w:lang w:val="zh-CN"/>
          </w:rPr>
          <w:t>2</w:t>
        </w:r>
        <w:r w:rsidRPr="006468E7">
          <w:rPr>
            <w:rFonts w:ascii="Times New Roman" w:hAnsi="Times New Roman" w:cs="Times New Roman"/>
          </w:rPr>
          <w:fldChar w:fldCharType="end"/>
        </w:r>
      </w:p>
    </w:sdtContent>
  </w:sdt>
  <w:p w:rsidR="00FA3B31" w:rsidRDefault="00FA3B3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8106D" w:rsidRPr="0068106D">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43" w:rsidRDefault="00EE3E43" w:rsidP="00863159">
      <w:r>
        <w:separator/>
      </w:r>
    </w:p>
  </w:footnote>
  <w:footnote w:type="continuationSeparator" w:id="0">
    <w:p w:rsidR="00EE3E43" w:rsidRDefault="00EE3E43"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3"/>
  </w:num>
  <w:num w:numId="3">
    <w:abstractNumId w:val="1"/>
  </w:num>
  <w:num w:numId="4">
    <w:abstractNumId w:val="12"/>
  </w:num>
  <w:num w:numId="5">
    <w:abstractNumId w:val="2"/>
  </w:num>
  <w:num w:numId="6">
    <w:abstractNumId w:val="9"/>
  </w:num>
  <w:num w:numId="7">
    <w:abstractNumId w:val="8"/>
  </w:num>
  <w:num w:numId="8">
    <w:abstractNumId w:val="3"/>
  </w:num>
  <w:num w:numId="9">
    <w:abstractNumId w:val="5"/>
  </w:num>
  <w:num w:numId="10">
    <w:abstractNumId w:val="10"/>
  </w:num>
  <w:num w:numId="11">
    <w:abstractNumId w:val="4"/>
  </w:num>
  <w:num w:numId="12">
    <w:abstractNumId w:val="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1235"/>
    <w:rsid w:val="00052DBA"/>
    <w:rsid w:val="000577EB"/>
    <w:rsid w:val="00076875"/>
    <w:rsid w:val="00076EC8"/>
    <w:rsid w:val="00077802"/>
    <w:rsid w:val="00077C65"/>
    <w:rsid w:val="00083EE8"/>
    <w:rsid w:val="00084D75"/>
    <w:rsid w:val="00085A6D"/>
    <w:rsid w:val="00085D14"/>
    <w:rsid w:val="000940B4"/>
    <w:rsid w:val="000942ED"/>
    <w:rsid w:val="00094CB3"/>
    <w:rsid w:val="00097FFE"/>
    <w:rsid w:val="000A32FE"/>
    <w:rsid w:val="000A49EA"/>
    <w:rsid w:val="000A6E6B"/>
    <w:rsid w:val="000B5107"/>
    <w:rsid w:val="000C1A68"/>
    <w:rsid w:val="000D4406"/>
    <w:rsid w:val="000D69A9"/>
    <w:rsid w:val="000F3056"/>
    <w:rsid w:val="00100921"/>
    <w:rsid w:val="00102E95"/>
    <w:rsid w:val="00106B4C"/>
    <w:rsid w:val="00115E36"/>
    <w:rsid w:val="001230E4"/>
    <w:rsid w:val="00126885"/>
    <w:rsid w:val="00126B2A"/>
    <w:rsid w:val="00131C32"/>
    <w:rsid w:val="00143045"/>
    <w:rsid w:val="00144100"/>
    <w:rsid w:val="00144975"/>
    <w:rsid w:val="00150BD1"/>
    <w:rsid w:val="0015751A"/>
    <w:rsid w:val="00161780"/>
    <w:rsid w:val="00165521"/>
    <w:rsid w:val="00171208"/>
    <w:rsid w:val="00172CD0"/>
    <w:rsid w:val="00176AAD"/>
    <w:rsid w:val="00177AFE"/>
    <w:rsid w:val="00181E32"/>
    <w:rsid w:val="0018446F"/>
    <w:rsid w:val="0019157E"/>
    <w:rsid w:val="00194C40"/>
    <w:rsid w:val="001953B6"/>
    <w:rsid w:val="001971D5"/>
    <w:rsid w:val="001A482A"/>
    <w:rsid w:val="001A6CAE"/>
    <w:rsid w:val="001B05CF"/>
    <w:rsid w:val="001B133F"/>
    <w:rsid w:val="001B189B"/>
    <w:rsid w:val="001C0094"/>
    <w:rsid w:val="001C3CED"/>
    <w:rsid w:val="001D0B44"/>
    <w:rsid w:val="001D6459"/>
    <w:rsid w:val="001E087C"/>
    <w:rsid w:val="001E0EAB"/>
    <w:rsid w:val="001E32F4"/>
    <w:rsid w:val="001F1C55"/>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09F"/>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535E5"/>
    <w:rsid w:val="00360C80"/>
    <w:rsid w:val="003629A3"/>
    <w:rsid w:val="003646AF"/>
    <w:rsid w:val="003665AD"/>
    <w:rsid w:val="00366908"/>
    <w:rsid w:val="003712B4"/>
    <w:rsid w:val="00371965"/>
    <w:rsid w:val="003728F9"/>
    <w:rsid w:val="00372A0B"/>
    <w:rsid w:val="00372D49"/>
    <w:rsid w:val="00373C7B"/>
    <w:rsid w:val="00373CC2"/>
    <w:rsid w:val="00373D04"/>
    <w:rsid w:val="00377736"/>
    <w:rsid w:val="00377ED9"/>
    <w:rsid w:val="00380122"/>
    <w:rsid w:val="00386247"/>
    <w:rsid w:val="0039134D"/>
    <w:rsid w:val="00391CCE"/>
    <w:rsid w:val="00395675"/>
    <w:rsid w:val="00396B13"/>
    <w:rsid w:val="00396B52"/>
    <w:rsid w:val="003A543C"/>
    <w:rsid w:val="003A78F7"/>
    <w:rsid w:val="003A7C07"/>
    <w:rsid w:val="003B0BAE"/>
    <w:rsid w:val="003B3377"/>
    <w:rsid w:val="003B6AF5"/>
    <w:rsid w:val="003C0938"/>
    <w:rsid w:val="003C2156"/>
    <w:rsid w:val="003D1A90"/>
    <w:rsid w:val="003D4CB8"/>
    <w:rsid w:val="003D6003"/>
    <w:rsid w:val="003E3451"/>
    <w:rsid w:val="003F39C1"/>
    <w:rsid w:val="003F6C40"/>
    <w:rsid w:val="004005BE"/>
    <w:rsid w:val="004015DB"/>
    <w:rsid w:val="00402802"/>
    <w:rsid w:val="00405F01"/>
    <w:rsid w:val="00407D0F"/>
    <w:rsid w:val="004108A6"/>
    <w:rsid w:val="00411FF0"/>
    <w:rsid w:val="00412A25"/>
    <w:rsid w:val="00413907"/>
    <w:rsid w:val="00416534"/>
    <w:rsid w:val="00417D25"/>
    <w:rsid w:val="00421900"/>
    <w:rsid w:val="00421F83"/>
    <w:rsid w:val="00427264"/>
    <w:rsid w:val="00430969"/>
    <w:rsid w:val="00435AB5"/>
    <w:rsid w:val="0044091F"/>
    <w:rsid w:val="00441B53"/>
    <w:rsid w:val="00450C54"/>
    <w:rsid w:val="0045694B"/>
    <w:rsid w:val="0046735C"/>
    <w:rsid w:val="00473D30"/>
    <w:rsid w:val="0048690D"/>
    <w:rsid w:val="00490416"/>
    <w:rsid w:val="00491781"/>
    <w:rsid w:val="004937C4"/>
    <w:rsid w:val="004945C2"/>
    <w:rsid w:val="004954E6"/>
    <w:rsid w:val="00496D4D"/>
    <w:rsid w:val="004A5F7F"/>
    <w:rsid w:val="004A66BF"/>
    <w:rsid w:val="004B0622"/>
    <w:rsid w:val="004B642E"/>
    <w:rsid w:val="004C1E37"/>
    <w:rsid w:val="004C259C"/>
    <w:rsid w:val="004C7796"/>
    <w:rsid w:val="004D0ACC"/>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285F"/>
    <w:rsid w:val="00575065"/>
    <w:rsid w:val="00577A60"/>
    <w:rsid w:val="0058235F"/>
    <w:rsid w:val="0058296C"/>
    <w:rsid w:val="00582D0D"/>
    <w:rsid w:val="00584895"/>
    <w:rsid w:val="0058737E"/>
    <w:rsid w:val="005874EB"/>
    <w:rsid w:val="00590AE1"/>
    <w:rsid w:val="00596F6C"/>
    <w:rsid w:val="005A4A49"/>
    <w:rsid w:val="005B022A"/>
    <w:rsid w:val="005B0EAC"/>
    <w:rsid w:val="005B13A0"/>
    <w:rsid w:val="005B4851"/>
    <w:rsid w:val="005D2D0E"/>
    <w:rsid w:val="005D5F25"/>
    <w:rsid w:val="005E1C51"/>
    <w:rsid w:val="005E6B8F"/>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70149"/>
    <w:rsid w:val="006738CF"/>
    <w:rsid w:val="0067487D"/>
    <w:rsid w:val="0067564A"/>
    <w:rsid w:val="00677BF6"/>
    <w:rsid w:val="0068106D"/>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0D2A"/>
    <w:rsid w:val="006D1102"/>
    <w:rsid w:val="006D1F76"/>
    <w:rsid w:val="006D43C3"/>
    <w:rsid w:val="006D5743"/>
    <w:rsid w:val="006D7E29"/>
    <w:rsid w:val="006E11CA"/>
    <w:rsid w:val="006E3CC7"/>
    <w:rsid w:val="006E3EF5"/>
    <w:rsid w:val="006F1BE4"/>
    <w:rsid w:val="006F1EF3"/>
    <w:rsid w:val="00705E9D"/>
    <w:rsid w:val="00717A95"/>
    <w:rsid w:val="00717FBB"/>
    <w:rsid w:val="0072442B"/>
    <w:rsid w:val="00731DAD"/>
    <w:rsid w:val="007367AB"/>
    <w:rsid w:val="007373BD"/>
    <w:rsid w:val="00741529"/>
    <w:rsid w:val="007544DF"/>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2102"/>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53C"/>
    <w:rsid w:val="00832CB5"/>
    <w:rsid w:val="0083449A"/>
    <w:rsid w:val="00836645"/>
    <w:rsid w:val="00843360"/>
    <w:rsid w:val="00843CBA"/>
    <w:rsid w:val="008445C7"/>
    <w:rsid w:val="00845ADB"/>
    <w:rsid w:val="008513B8"/>
    <w:rsid w:val="008514E5"/>
    <w:rsid w:val="00851D51"/>
    <w:rsid w:val="008531B5"/>
    <w:rsid w:val="00856F39"/>
    <w:rsid w:val="0086193E"/>
    <w:rsid w:val="00863159"/>
    <w:rsid w:val="00866770"/>
    <w:rsid w:val="00884B60"/>
    <w:rsid w:val="00884D00"/>
    <w:rsid w:val="00887635"/>
    <w:rsid w:val="00890803"/>
    <w:rsid w:val="00890EAF"/>
    <w:rsid w:val="00894879"/>
    <w:rsid w:val="00894EF0"/>
    <w:rsid w:val="008A072C"/>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3D5E"/>
    <w:rsid w:val="00964F9A"/>
    <w:rsid w:val="00976051"/>
    <w:rsid w:val="009806E4"/>
    <w:rsid w:val="00983489"/>
    <w:rsid w:val="00983989"/>
    <w:rsid w:val="00986A0B"/>
    <w:rsid w:val="009903EA"/>
    <w:rsid w:val="009B02AC"/>
    <w:rsid w:val="009B11F8"/>
    <w:rsid w:val="009B1E78"/>
    <w:rsid w:val="009B34D2"/>
    <w:rsid w:val="009B3757"/>
    <w:rsid w:val="009C5B41"/>
    <w:rsid w:val="009C6FF7"/>
    <w:rsid w:val="009C7F26"/>
    <w:rsid w:val="009D31F1"/>
    <w:rsid w:val="009D3FDB"/>
    <w:rsid w:val="009D5BBF"/>
    <w:rsid w:val="009E2CFD"/>
    <w:rsid w:val="009F263D"/>
    <w:rsid w:val="00A00F0E"/>
    <w:rsid w:val="00A112B0"/>
    <w:rsid w:val="00A221D1"/>
    <w:rsid w:val="00A27241"/>
    <w:rsid w:val="00A304E0"/>
    <w:rsid w:val="00A30ED9"/>
    <w:rsid w:val="00A4021F"/>
    <w:rsid w:val="00A41323"/>
    <w:rsid w:val="00A4256C"/>
    <w:rsid w:val="00A44A4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3650"/>
    <w:rsid w:val="00AD50A2"/>
    <w:rsid w:val="00AD727C"/>
    <w:rsid w:val="00AD7497"/>
    <w:rsid w:val="00AE0306"/>
    <w:rsid w:val="00AE6615"/>
    <w:rsid w:val="00AE742B"/>
    <w:rsid w:val="00AF445C"/>
    <w:rsid w:val="00AF48E6"/>
    <w:rsid w:val="00AF69FD"/>
    <w:rsid w:val="00AF779B"/>
    <w:rsid w:val="00B00C7B"/>
    <w:rsid w:val="00B21797"/>
    <w:rsid w:val="00B21B81"/>
    <w:rsid w:val="00B24C45"/>
    <w:rsid w:val="00B2590F"/>
    <w:rsid w:val="00B30270"/>
    <w:rsid w:val="00B319C3"/>
    <w:rsid w:val="00B35AD7"/>
    <w:rsid w:val="00B361D4"/>
    <w:rsid w:val="00B3698D"/>
    <w:rsid w:val="00B411BC"/>
    <w:rsid w:val="00B418E7"/>
    <w:rsid w:val="00B448A1"/>
    <w:rsid w:val="00B459A0"/>
    <w:rsid w:val="00B47F7F"/>
    <w:rsid w:val="00B51974"/>
    <w:rsid w:val="00B51EAD"/>
    <w:rsid w:val="00B549E6"/>
    <w:rsid w:val="00B64D4F"/>
    <w:rsid w:val="00B674B9"/>
    <w:rsid w:val="00B677DD"/>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5692"/>
    <w:rsid w:val="00BD63EF"/>
    <w:rsid w:val="00BE05D6"/>
    <w:rsid w:val="00BE68AA"/>
    <w:rsid w:val="00BF057B"/>
    <w:rsid w:val="00BF412B"/>
    <w:rsid w:val="00BF5A15"/>
    <w:rsid w:val="00BF7E00"/>
    <w:rsid w:val="00C0083C"/>
    <w:rsid w:val="00C02FA9"/>
    <w:rsid w:val="00C05825"/>
    <w:rsid w:val="00C06E1F"/>
    <w:rsid w:val="00C073BA"/>
    <w:rsid w:val="00C12103"/>
    <w:rsid w:val="00C14FEC"/>
    <w:rsid w:val="00C155FC"/>
    <w:rsid w:val="00C2043F"/>
    <w:rsid w:val="00C206FB"/>
    <w:rsid w:val="00C27D0C"/>
    <w:rsid w:val="00C3374A"/>
    <w:rsid w:val="00C3630F"/>
    <w:rsid w:val="00C36A50"/>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A105A"/>
    <w:rsid w:val="00CA3456"/>
    <w:rsid w:val="00CA4368"/>
    <w:rsid w:val="00CA43FF"/>
    <w:rsid w:val="00CB4C7E"/>
    <w:rsid w:val="00CC356E"/>
    <w:rsid w:val="00CD16FA"/>
    <w:rsid w:val="00CD24EF"/>
    <w:rsid w:val="00CD27F3"/>
    <w:rsid w:val="00CD3A9A"/>
    <w:rsid w:val="00CD600B"/>
    <w:rsid w:val="00CE5685"/>
    <w:rsid w:val="00CF0BCA"/>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86A52"/>
    <w:rsid w:val="00D9080D"/>
    <w:rsid w:val="00D9505E"/>
    <w:rsid w:val="00D95263"/>
    <w:rsid w:val="00D953D8"/>
    <w:rsid w:val="00D96E12"/>
    <w:rsid w:val="00DA0619"/>
    <w:rsid w:val="00DA0C80"/>
    <w:rsid w:val="00DA0FF9"/>
    <w:rsid w:val="00DA6462"/>
    <w:rsid w:val="00DB0FF0"/>
    <w:rsid w:val="00DB2E45"/>
    <w:rsid w:val="00DC1818"/>
    <w:rsid w:val="00DC45D1"/>
    <w:rsid w:val="00DD1BA3"/>
    <w:rsid w:val="00DE1C91"/>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6187E"/>
    <w:rsid w:val="00E646BD"/>
    <w:rsid w:val="00E66C99"/>
    <w:rsid w:val="00E81D82"/>
    <w:rsid w:val="00E8200B"/>
    <w:rsid w:val="00E82CEF"/>
    <w:rsid w:val="00E835C9"/>
    <w:rsid w:val="00E84341"/>
    <w:rsid w:val="00E84E48"/>
    <w:rsid w:val="00E86CAE"/>
    <w:rsid w:val="00E95401"/>
    <w:rsid w:val="00E95C70"/>
    <w:rsid w:val="00E97213"/>
    <w:rsid w:val="00EA4304"/>
    <w:rsid w:val="00EA75C1"/>
    <w:rsid w:val="00EB0523"/>
    <w:rsid w:val="00EB528D"/>
    <w:rsid w:val="00EB6378"/>
    <w:rsid w:val="00EC07C8"/>
    <w:rsid w:val="00EC289F"/>
    <w:rsid w:val="00ED4E8C"/>
    <w:rsid w:val="00ED5BF2"/>
    <w:rsid w:val="00EE333F"/>
    <w:rsid w:val="00EE3E43"/>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3B31"/>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37D97-A218-4465-A8DB-EC307061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6F39-775A-4DEE-9397-F678BC68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14</Pages>
  <Words>964</Words>
  <Characters>5501</Characters>
  <Application>Microsoft Office Word</Application>
  <DocSecurity>0</DocSecurity>
  <Lines>45</Lines>
  <Paragraphs>12</Paragraphs>
  <ScaleCrop>false</ScaleCrop>
  <Company>Sky123.Org</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396</cp:revision>
  <dcterms:created xsi:type="dcterms:W3CDTF">2018-01-12T10:20:00Z</dcterms:created>
  <dcterms:modified xsi:type="dcterms:W3CDTF">2018-03-20T01:38:00Z</dcterms:modified>
</cp:coreProperties>
</file>