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FD7" w:rsidRPr="00B87C7F" w:rsidRDefault="00A03FD7" w:rsidP="00A03FD7">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趋势优先</w:t>
      </w:r>
      <w:r w:rsidRPr="00304E7B">
        <w:rPr>
          <w:rFonts w:ascii="Times New Roman" w:eastAsia="宋体" w:hAnsi="宋体" w:cs="Times New Roman" w:hint="eastAsia"/>
          <w:b/>
          <w:sz w:val="28"/>
          <w:szCs w:val="28"/>
        </w:rPr>
        <w:t>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A03FD7" w:rsidRDefault="00A03FD7" w:rsidP="00A03FD7">
      <w:pPr>
        <w:widowControl/>
        <w:jc w:val="left"/>
        <w:rPr>
          <w:rFonts w:ascii="Times New Roman" w:eastAsia="宋体" w:hAnsi="Times New Roman" w:cs="Times New Roman"/>
          <w:b/>
          <w:sz w:val="24"/>
          <w:szCs w:val="23"/>
        </w:rPr>
      </w:pPr>
    </w:p>
    <w:p w:rsidR="00A03FD7" w:rsidRDefault="00A03FD7" w:rsidP="00A03FD7">
      <w:pPr>
        <w:widowControl/>
        <w:jc w:val="left"/>
        <w:rPr>
          <w:rFonts w:ascii="Times New Roman" w:eastAsia="宋体" w:hAnsi="Times New Roman" w:cs="Times New Roman"/>
          <w:b/>
          <w:sz w:val="24"/>
          <w:szCs w:val="23"/>
        </w:rPr>
      </w:pPr>
    </w:p>
    <w:p w:rsidR="00A03FD7" w:rsidRPr="00E45F39" w:rsidRDefault="00A03FD7" w:rsidP="00A03FD7">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趋势优先</w:t>
      </w:r>
      <w:r w:rsidRPr="00304E7B">
        <w:rPr>
          <w:rFonts w:ascii="Times New Roman" w:hAnsi="宋体" w:hint="eastAsia"/>
          <w:sz w:val="24"/>
          <w:szCs w:val="24"/>
        </w:rPr>
        <w:t>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A03FD7" w:rsidRDefault="00A03FD7" w:rsidP="00A03FD7">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9B5EDE">
        <w:rPr>
          <w:rFonts w:ascii="Times New Roman" w:hAnsi="宋体" w:hint="eastAsia"/>
          <w:sz w:val="24"/>
          <w:szCs w:val="24"/>
        </w:rPr>
        <w:t>对持续持有期少于</w:t>
      </w:r>
      <w:r w:rsidRPr="009B5EDE">
        <w:rPr>
          <w:rFonts w:ascii="Times New Roman" w:hAnsi="宋体" w:hint="eastAsia"/>
          <w:sz w:val="24"/>
          <w:szCs w:val="24"/>
        </w:rPr>
        <w:t>7</w:t>
      </w:r>
      <w:r w:rsidRPr="009B5EDE">
        <w:rPr>
          <w:rFonts w:ascii="Times New Roman" w:hAnsi="宋体" w:hint="eastAsia"/>
          <w:sz w:val="24"/>
          <w:szCs w:val="24"/>
        </w:rPr>
        <w:t>日的基金份额持有人收取不低于</w:t>
      </w:r>
      <w:r w:rsidRPr="009B5EDE">
        <w:rPr>
          <w:rFonts w:ascii="Times New Roman" w:hAnsi="宋体" w:hint="eastAsia"/>
          <w:sz w:val="24"/>
          <w:szCs w:val="24"/>
        </w:rPr>
        <w:t>1.5%</w:t>
      </w:r>
      <w:r w:rsidRPr="009B5ED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A03FD7" w:rsidRPr="009B5EDE" w:rsidRDefault="00A03FD7" w:rsidP="00A03FD7">
      <w:pPr>
        <w:adjustRightInd w:val="0"/>
        <w:snapToGrid w:val="0"/>
        <w:spacing w:line="360" w:lineRule="auto"/>
        <w:ind w:firstLine="480"/>
        <w:jc w:val="left"/>
        <w:rPr>
          <w:rFonts w:ascii="Times New Roman" w:hAnsi="宋体"/>
          <w:sz w:val="24"/>
          <w:szCs w:val="24"/>
        </w:rPr>
      </w:pPr>
    </w:p>
    <w:p w:rsidR="00A03FD7" w:rsidRPr="00E45F39" w:rsidRDefault="00A03FD7" w:rsidP="00A03FD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A03FD7" w:rsidRDefault="00A03FD7" w:rsidP="00A03FD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趋势优先</w:t>
      </w:r>
      <w:r w:rsidRPr="00304E7B">
        <w:rPr>
          <w:rFonts w:ascii="Times New Roman" w:hAnsi="宋体" w:hint="eastAsia"/>
          <w:sz w:val="24"/>
          <w:szCs w:val="24"/>
        </w:rPr>
        <w:t>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A03FD7" w:rsidRPr="00E45F39" w:rsidRDefault="00A03FD7" w:rsidP="00A03FD7">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A03FD7" w:rsidRDefault="00A03FD7" w:rsidP="00A03FD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A03FD7" w:rsidRPr="001674F7" w:rsidRDefault="00A03FD7" w:rsidP="00A03FD7">
      <w:pPr>
        <w:adjustRightInd w:val="0"/>
        <w:snapToGrid w:val="0"/>
        <w:spacing w:line="360" w:lineRule="auto"/>
        <w:ind w:firstLine="480"/>
        <w:jc w:val="left"/>
        <w:rPr>
          <w:rFonts w:ascii="Times New Roman" w:hAnsi="宋体"/>
          <w:sz w:val="24"/>
          <w:szCs w:val="24"/>
        </w:rPr>
      </w:pPr>
    </w:p>
    <w:p w:rsidR="00A03FD7" w:rsidRPr="00E45F39" w:rsidRDefault="00A03FD7" w:rsidP="00A03FD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A03FD7" w:rsidRDefault="00A03FD7" w:rsidP="00A03FD7">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A03FD7" w:rsidRDefault="00A03FD7" w:rsidP="00A03FD7">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A03FD7" w:rsidRPr="00E45F39" w:rsidRDefault="00A03FD7" w:rsidP="00A03FD7">
      <w:pPr>
        <w:adjustRightInd w:val="0"/>
        <w:snapToGrid w:val="0"/>
        <w:spacing w:line="360" w:lineRule="auto"/>
        <w:ind w:firstLine="480"/>
        <w:jc w:val="left"/>
        <w:rPr>
          <w:rFonts w:ascii="Times New Roman" w:hAnsi="宋体"/>
          <w:sz w:val="24"/>
          <w:szCs w:val="24"/>
        </w:rPr>
      </w:pPr>
    </w:p>
    <w:p w:rsidR="00A03FD7" w:rsidRPr="00E45F39" w:rsidRDefault="00A03FD7" w:rsidP="00A03FD7">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A03FD7" w:rsidRDefault="00A03FD7" w:rsidP="00A03FD7">
      <w:pPr>
        <w:adjustRightInd w:val="0"/>
        <w:snapToGrid w:val="0"/>
        <w:spacing w:line="360" w:lineRule="auto"/>
        <w:ind w:firstLine="480"/>
        <w:jc w:val="right"/>
        <w:rPr>
          <w:rFonts w:ascii="Times New Roman" w:eastAsia="宋体" w:hAnsi="Times New Roman" w:cs="Times New Roman"/>
          <w:b/>
          <w:sz w:val="24"/>
          <w:szCs w:val="23"/>
        </w:rPr>
        <w:sectPr w:rsidR="00A03FD7"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二十二</w:t>
      </w:r>
      <w:r w:rsidRPr="00E45F39">
        <w:rPr>
          <w:rFonts w:ascii="Times New Roman" w:hAnsi="宋体" w:hint="eastAsia"/>
          <w:sz w:val="24"/>
          <w:szCs w:val="24"/>
        </w:rPr>
        <w:t>日</w:t>
      </w:r>
    </w:p>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A03FD7">
        <w:rPr>
          <w:rFonts w:ascii="Times New Roman" w:eastAsia="宋体" w:hAnsi="Times New Roman" w:cs="Times New Roman" w:hint="eastAsia"/>
          <w:b/>
          <w:sz w:val="24"/>
          <w:szCs w:val="23"/>
        </w:rPr>
        <w:t>：</w:t>
      </w:r>
      <w:r w:rsidR="001230E4" w:rsidRPr="001230E4">
        <w:rPr>
          <w:rFonts w:ascii="Times New Roman" w:eastAsia="宋体" w:hAnsi="Times New Roman" w:cs="Times New Roman" w:hint="eastAsia"/>
          <w:b/>
          <w:sz w:val="24"/>
          <w:szCs w:val="23"/>
        </w:rPr>
        <w:t>《</w:t>
      </w:r>
      <w:r w:rsidR="00F57DCA">
        <w:rPr>
          <w:rFonts w:ascii="Times New Roman" w:eastAsia="宋体" w:hAnsi="Times New Roman" w:cs="Times New Roman" w:hint="eastAsia"/>
          <w:b/>
          <w:sz w:val="24"/>
          <w:szCs w:val="23"/>
        </w:rPr>
        <w:t>交银施罗德趋势优先混合型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a7"/>
        <w:tblW w:w="4173" w:type="pct"/>
        <w:jc w:val="center"/>
        <w:tblLook w:val="04A0" w:firstRow="1" w:lastRow="0" w:firstColumn="1" w:lastColumn="0" w:noHBand="0" w:noVBand="1"/>
      </w:tblPr>
      <w:tblGrid>
        <w:gridCol w:w="1346"/>
        <w:gridCol w:w="5243"/>
        <w:gridCol w:w="5241"/>
      </w:tblGrid>
      <w:tr w:rsidR="003302D7" w:rsidRPr="006C7529" w:rsidTr="001A49FD">
        <w:trPr>
          <w:jc w:val="center"/>
        </w:trPr>
        <w:tc>
          <w:tcPr>
            <w:tcW w:w="56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A49FD">
        <w:trPr>
          <w:jc w:val="center"/>
        </w:trPr>
        <w:tc>
          <w:tcPr>
            <w:tcW w:w="56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r w:rsidR="00177AFE">
              <w:rPr>
                <w:rFonts w:ascii="Times New Roman" w:eastAsia="宋体" w:hAnsi="Times New Roman" w:cs="Times New Roman" w:hint="eastAsia"/>
                <w:b/>
                <w:szCs w:val="21"/>
              </w:rPr>
              <w:t>和释义</w:t>
            </w:r>
          </w:p>
        </w:tc>
        <w:tc>
          <w:tcPr>
            <w:tcW w:w="2216" w:type="pct"/>
          </w:tcPr>
          <w:p w:rsidR="001A49FD" w:rsidRDefault="001A49FD" w:rsidP="00F57DCA">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前言</w:t>
            </w:r>
          </w:p>
          <w:p w:rsidR="003302D7" w:rsidRPr="00F57DCA" w:rsidRDefault="00F57DCA" w:rsidP="00F57DCA">
            <w:pPr>
              <w:spacing w:line="360" w:lineRule="auto"/>
              <w:ind w:firstLineChars="200" w:firstLine="420"/>
              <w:rPr>
                <w:rFonts w:ascii="Times New Roman" w:eastAsia="宋体" w:hAnsi="Times New Roman" w:cs="Times New Roman"/>
                <w:bCs/>
                <w:szCs w:val="21"/>
              </w:rPr>
            </w:pPr>
            <w:r w:rsidRPr="00F57DCA">
              <w:rPr>
                <w:rFonts w:ascii="Times New Roman" w:eastAsia="宋体" w:hAnsi="Times New Roman" w:cs="Times New Roman" w:hint="eastAsia"/>
                <w:bCs/>
                <w:szCs w:val="21"/>
              </w:rPr>
              <w:t>为保护基金投资者合法权益，明确《基金合同》当事人的权利与义务，规范交银施罗德趋势优先混合型证券投资基金（以下简称“本基金”或“基金”）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w:t>
            </w:r>
            <w:r w:rsidRPr="00F57DCA">
              <w:rPr>
                <w:rFonts w:ascii="Times New Roman" w:eastAsia="宋体" w:hAnsi="Times New Roman" w:cs="Times New Roman" w:hint="eastAsia"/>
                <w:bCs/>
                <w:szCs w:val="21"/>
              </w:rPr>
              <w:t>6</w:t>
            </w:r>
            <w:r w:rsidRPr="00F57DCA">
              <w:rPr>
                <w:rFonts w:ascii="Times New Roman" w:eastAsia="宋体" w:hAnsi="Times New Roman" w:cs="Times New Roman" w:hint="eastAsia"/>
                <w:bCs/>
                <w:szCs w:val="21"/>
              </w:rPr>
              <w:t>号《基金合同的内容与格式》及其他有关规定，在平等自愿、诚实信用、充分保护基金投资者及相关当事人的合法权益的原则基础上，特订立《交银施罗德趋势优先混合型证券投资基金基金合同》（以下简称“本合同”或“《基金合同》”）。</w:t>
            </w:r>
          </w:p>
        </w:tc>
        <w:tc>
          <w:tcPr>
            <w:tcW w:w="2214" w:type="pct"/>
          </w:tcPr>
          <w:p w:rsidR="001A49FD" w:rsidRDefault="001A49FD" w:rsidP="00F57DCA">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前言</w:t>
            </w:r>
          </w:p>
          <w:p w:rsidR="003302D7" w:rsidRPr="00F57DCA" w:rsidRDefault="00F57DCA" w:rsidP="00F57DCA">
            <w:pPr>
              <w:spacing w:line="360" w:lineRule="auto"/>
              <w:ind w:firstLineChars="200" w:firstLine="420"/>
              <w:rPr>
                <w:rFonts w:ascii="Times New Roman" w:eastAsia="宋体" w:hAnsi="Times New Roman" w:cs="Times New Roman"/>
                <w:bCs/>
                <w:szCs w:val="21"/>
              </w:rPr>
            </w:pPr>
            <w:r w:rsidRPr="00F57DCA">
              <w:rPr>
                <w:rFonts w:ascii="Times New Roman" w:eastAsia="宋体" w:hAnsi="Times New Roman" w:cs="Times New Roman" w:hint="eastAsia"/>
                <w:bCs/>
                <w:szCs w:val="21"/>
              </w:rPr>
              <w:t>为保护基金投资者合法权益，明确《基金合同》当事人的权利与义务，规范交银施罗德趋势优先混合型证券投资基金（以下简称“本基金”或“基金”）运作，依照《中华人民共和国合同法》、《中华人民共和国证券投资基金法》（以下简称《基金法》）、《证券投资基金运作管理办法》（以下简称《运作办法》）、《证券投资基金销售管理办法》（以下简称《销售办法》）、《证券投资基金信息披露管理办法》（以下简称《信息披露办法》）、《公开募集开放式证券投资基金流动性风险管理规定》、证券投资基金信息披露内容与格式准则第</w:t>
            </w:r>
            <w:r w:rsidRPr="00F57DCA">
              <w:rPr>
                <w:rFonts w:ascii="Times New Roman" w:eastAsia="宋体" w:hAnsi="Times New Roman" w:cs="Times New Roman" w:hint="eastAsia"/>
                <w:bCs/>
                <w:szCs w:val="21"/>
              </w:rPr>
              <w:t>6</w:t>
            </w:r>
            <w:r w:rsidRPr="00F57DCA">
              <w:rPr>
                <w:rFonts w:ascii="Times New Roman" w:eastAsia="宋体" w:hAnsi="Times New Roman" w:cs="Times New Roman" w:hint="eastAsia"/>
                <w:bCs/>
                <w:szCs w:val="21"/>
              </w:rPr>
              <w:t>号《基金合同的内容与格式》及其他有关规定，在平等自愿、诚实信用、充分保护基金投资者及相关当事人的合法权益的原则基础上，特订立《交银施罗德趋势优先混合型证券投资基金基金合同》（以下简称“本合同”或“《基金合</w:t>
            </w:r>
            <w:r w:rsidRPr="00F57DCA">
              <w:rPr>
                <w:rFonts w:ascii="Times New Roman" w:eastAsia="宋体" w:hAnsi="Times New Roman" w:cs="Times New Roman" w:hint="eastAsia"/>
                <w:bCs/>
                <w:szCs w:val="21"/>
              </w:rPr>
              <w:lastRenderedPageBreak/>
              <w:t>同》”）。</w:t>
            </w:r>
          </w:p>
        </w:tc>
      </w:tr>
      <w:tr w:rsidR="00797707" w:rsidRPr="006C7529" w:rsidTr="001A49FD">
        <w:trPr>
          <w:jc w:val="center"/>
        </w:trPr>
        <w:tc>
          <w:tcPr>
            <w:tcW w:w="569" w:type="pct"/>
          </w:tcPr>
          <w:p w:rsidR="006365BA" w:rsidRPr="006C7529" w:rsidRDefault="00FB05F9" w:rsidP="00E12145">
            <w:pPr>
              <w:spacing w:line="360" w:lineRule="auto"/>
              <w:jc w:val="center"/>
              <w:rPr>
                <w:rFonts w:ascii="Times New Roman" w:eastAsia="宋体" w:hAnsi="Times New Roman" w:cs="Times New Roman"/>
                <w:b/>
                <w:szCs w:val="21"/>
              </w:rPr>
            </w:pPr>
            <w:r w:rsidRPr="00FB05F9">
              <w:rPr>
                <w:rFonts w:ascii="Times New Roman" w:eastAsia="宋体" w:hAnsi="Times New Roman" w:cs="Times New Roman" w:hint="eastAsia"/>
                <w:b/>
                <w:szCs w:val="21"/>
              </w:rPr>
              <w:lastRenderedPageBreak/>
              <w:t>第一部分</w:t>
            </w:r>
            <w:r w:rsidRPr="00FB05F9">
              <w:rPr>
                <w:rFonts w:ascii="Times New Roman" w:eastAsia="宋体" w:hAnsi="Times New Roman" w:cs="Times New Roman" w:hint="eastAsia"/>
                <w:b/>
                <w:szCs w:val="21"/>
              </w:rPr>
              <w:t xml:space="preserve">  </w:t>
            </w:r>
            <w:r w:rsidRPr="00FB05F9">
              <w:rPr>
                <w:rFonts w:ascii="Times New Roman" w:eastAsia="宋体" w:hAnsi="Times New Roman" w:cs="Times New Roman" w:hint="eastAsia"/>
                <w:b/>
                <w:szCs w:val="21"/>
              </w:rPr>
              <w:t>前言和释义</w:t>
            </w:r>
          </w:p>
        </w:tc>
        <w:tc>
          <w:tcPr>
            <w:tcW w:w="2216"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14" w:type="pct"/>
          </w:tcPr>
          <w:p w:rsidR="001A49FD" w:rsidRDefault="001A49FD" w:rsidP="00560401">
            <w:pPr>
              <w:spacing w:line="360" w:lineRule="auto"/>
              <w:ind w:firstLineChars="200" w:firstLine="420"/>
              <w:rPr>
                <w:rFonts w:ascii="Times New Roman" w:hAnsi="Times New Roman" w:cs="Times New Roman"/>
                <w:bCs/>
                <w:szCs w:val="21"/>
              </w:rPr>
            </w:pPr>
            <w:r>
              <w:rPr>
                <w:rFonts w:ascii="Times New Roman" w:hAnsi="Times New Roman" w:cs="Times New Roman"/>
                <w:bCs/>
                <w:szCs w:val="21"/>
              </w:rPr>
              <w:t>释义</w:t>
            </w:r>
          </w:p>
          <w:p w:rsidR="00560401" w:rsidRPr="00560401" w:rsidRDefault="00926C41" w:rsidP="0056040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560401" w:rsidRDefault="00560401" w:rsidP="00560401">
            <w:pPr>
              <w:spacing w:line="360" w:lineRule="auto"/>
              <w:ind w:firstLineChars="200" w:firstLine="420"/>
              <w:rPr>
                <w:rFonts w:ascii="Times New Roman" w:hAnsi="Times New Roman" w:cs="Times New Roman"/>
                <w:bCs/>
                <w:szCs w:val="21"/>
              </w:rPr>
            </w:pPr>
            <w:r w:rsidRPr="00560401">
              <w:rPr>
                <w:rFonts w:ascii="Times New Roman" w:hAnsi="Times New Roman" w:cs="Times New Roman" w:hint="eastAsia"/>
                <w:bCs/>
                <w:szCs w:val="21"/>
              </w:rPr>
              <w:t>《流动性规定》</w:t>
            </w:r>
            <w:r w:rsidRPr="00560401">
              <w:rPr>
                <w:rFonts w:ascii="Times New Roman" w:hAnsi="Times New Roman" w:cs="Times New Roman"/>
                <w:bCs/>
                <w:szCs w:val="21"/>
              </w:rPr>
              <w:tab/>
            </w:r>
            <w:r w:rsidRPr="00560401">
              <w:rPr>
                <w:rFonts w:ascii="Times New Roman" w:hAnsi="Times New Roman" w:cs="Times New Roman" w:hint="eastAsia"/>
                <w:bCs/>
                <w:szCs w:val="21"/>
              </w:rPr>
              <w:t>指中国证监会</w:t>
            </w:r>
            <w:r w:rsidRPr="00560401">
              <w:rPr>
                <w:rFonts w:ascii="Times New Roman" w:hAnsi="Times New Roman" w:cs="Times New Roman" w:hint="eastAsia"/>
                <w:bCs/>
                <w:szCs w:val="21"/>
              </w:rPr>
              <w:t>2017</w:t>
            </w:r>
            <w:r w:rsidRPr="00560401">
              <w:rPr>
                <w:rFonts w:ascii="Times New Roman" w:hAnsi="Times New Roman" w:cs="Times New Roman" w:hint="eastAsia"/>
                <w:bCs/>
                <w:szCs w:val="21"/>
              </w:rPr>
              <w:t>年</w:t>
            </w:r>
            <w:r w:rsidRPr="00560401">
              <w:rPr>
                <w:rFonts w:ascii="Times New Roman" w:hAnsi="Times New Roman" w:cs="Times New Roman" w:hint="eastAsia"/>
                <w:bCs/>
                <w:szCs w:val="21"/>
              </w:rPr>
              <w:t>8</w:t>
            </w:r>
            <w:r w:rsidRPr="00560401">
              <w:rPr>
                <w:rFonts w:ascii="Times New Roman" w:hAnsi="Times New Roman" w:cs="Times New Roman" w:hint="eastAsia"/>
                <w:bCs/>
                <w:szCs w:val="21"/>
              </w:rPr>
              <w:t>月</w:t>
            </w:r>
            <w:r w:rsidRPr="00560401">
              <w:rPr>
                <w:rFonts w:ascii="Times New Roman" w:hAnsi="Times New Roman" w:cs="Times New Roman" w:hint="eastAsia"/>
                <w:bCs/>
                <w:szCs w:val="21"/>
              </w:rPr>
              <w:t>31</w:t>
            </w:r>
            <w:r w:rsidRPr="00560401">
              <w:rPr>
                <w:rFonts w:ascii="Times New Roman" w:hAnsi="Times New Roman" w:cs="Times New Roman" w:hint="eastAsia"/>
                <w:bCs/>
                <w:szCs w:val="21"/>
              </w:rPr>
              <w:t>日颁布、同年</w:t>
            </w:r>
            <w:r w:rsidRPr="00560401">
              <w:rPr>
                <w:rFonts w:ascii="Times New Roman" w:hAnsi="Times New Roman" w:cs="Times New Roman" w:hint="eastAsia"/>
                <w:bCs/>
                <w:szCs w:val="21"/>
              </w:rPr>
              <w:t>10</w:t>
            </w:r>
            <w:r w:rsidRPr="00560401">
              <w:rPr>
                <w:rFonts w:ascii="Times New Roman" w:hAnsi="Times New Roman" w:cs="Times New Roman" w:hint="eastAsia"/>
                <w:bCs/>
                <w:szCs w:val="21"/>
              </w:rPr>
              <w:t>月</w:t>
            </w:r>
            <w:r w:rsidRPr="00560401">
              <w:rPr>
                <w:rFonts w:ascii="Times New Roman" w:hAnsi="Times New Roman" w:cs="Times New Roman" w:hint="eastAsia"/>
                <w:bCs/>
                <w:szCs w:val="21"/>
              </w:rPr>
              <w:t>1</w:t>
            </w:r>
            <w:r w:rsidRPr="00560401">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560401">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560401" w:rsidRDefault="00560401" w:rsidP="00560401">
            <w:pPr>
              <w:spacing w:line="360" w:lineRule="auto"/>
              <w:ind w:firstLineChars="200" w:firstLine="420"/>
              <w:rPr>
                <w:rFonts w:ascii="Times New Roman" w:eastAsia="宋体" w:hAnsi="Times New Roman" w:cs="Times New Roman"/>
                <w:bCs/>
                <w:szCs w:val="21"/>
              </w:rPr>
            </w:pPr>
            <w:r w:rsidRPr="00560401">
              <w:rPr>
                <w:rFonts w:ascii="Times New Roman" w:eastAsia="宋体" w:hAnsi="Times New Roman" w:cs="Times New Roman" w:hint="eastAsia"/>
                <w:bCs/>
                <w:szCs w:val="21"/>
              </w:rPr>
              <w:t>流动性受限资产</w:t>
            </w:r>
            <w:r w:rsidRPr="00560401">
              <w:rPr>
                <w:rFonts w:ascii="Times New Roman" w:eastAsia="宋体" w:hAnsi="Times New Roman" w:cs="Times New Roman"/>
                <w:bCs/>
                <w:szCs w:val="21"/>
              </w:rPr>
              <w:tab/>
            </w:r>
            <w:r w:rsidRPr="00560401">
              <w:rPr>
                <w:rFonts w:ascii="Times New Roman" w:eastAsia="宋体" w:hAnsi="Times New Roman" w:cs="Times New Roman" w:hint="eastAsia"/>
                <w:bCs/>
                <w:szCs w:val="21"/>
              </w:rPr>
              <w:t>指由于法律法规、监管、合同或操作障碍等原因无法以合理价格予以变现的资产，包括但不限于到期日在</w:t>
            </w:r>
            <w:r w:rsidRPr="00560401">
              <w:rPr>
                <w:rFonts w:ascii="Times New Roman" w:eastAsia="宋体" w:hAnsi="Times New Roman" w:cs="Times New Roman" w:hint="eastAsia"/>
                <w:bCs/>
                <w:szCs w:val="21"/>
              </w:rPr>
              <w:t>10</w:t>
            </w:r>
            <w:r w:rsidRPr="00560401">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1A49FD">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bookmarkStart w:id="1" w:name="_Toc466827091"/>
            <w:r w:rsidRPr="006C7529">
              <w:rPr>
                <w:rFonts w:ascii="Times New Roman" w:eastAsia="宋体" w:hAnsi="Times New Roman" w:cs="Times New Roman"/>
                <w:b/>
                <w:szCs w:val="21"/>
              </w:rPr>
              <w:t>第</w:t>
            </w:r>
            <w:r w:rsidR="00B67C8B">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
          </w:p>
          <w:p w:rsidR="006365BA" w:rsidRPr="006C7529" w:rsidRDefault="006365BA" w:rsidP="00E12145">
            <w:pPr>
              <w:spacing w:line="360" w:lineRule="auto"/>
              <w:jc w:val="center"/>
              <w:rPr>
                <w:rFonts w:ascii="Times New Roman" w:eastAsia="宋体" w:hAnsi="Times New Roman" w:cs="Times New Roman"/>
                <w:szCs w:val="21"/>
              </w:rPr>
            </w:pPr>
          </w:p>
        </w:tc>
        <w:tc>
          <w:tcPr>
            <w:tcW w:w="2216" w:type="pct"/>
          </w:tcPr>
          <w:p w:rsidR="006365BA" w:rsidRPr="00AF69FD" w:rsidRDefault="00926C41" w:rsidP="001A49FD">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lastRenderedPageBreak/>
              <w:t>五、</w:t>
            </w:r>
            <w:r w:rsidR="00A0227F" w:rsidRPr="00A0227F">
              <w:rPr>
                <w:rFonts w:ascii="Times New Roman" w:eastAsia="宋体" w:hAnsi="Times New Roman" w:cs="Times New Roman" w:hint="eastAsia"/>
                <w:szCs w:val="21"/>
              </w:rPr>
              <w:t>申购与赎回的数额限制</w:t>
            </w:r>
          </w:p>
        </w:tc>
        <w:tc>
          <w:tcPr>
            <w:tcW w:w="2214" w:type="pct"/>
          </w:tcPr>
          <w:p w:rsidR="00926C41" w:rsidRDefault="00926C41" w:rsidP="00E12145">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w:t>
            </w:r>
            <w:r w:rsidR="00A0227F" w:rsidRPr="00A0227F">
              <w:rPr>
                <w:rFonts w:ascii="Times New Roman" w:eastAsia="宋体" w:hAnsi="Times New Roman" w:cs="Times New Roman" w:hint="eastAsia"/>
                <w:szCs w:val="21"/>
              </w:rPr>
              <w:t>申购与赎回的数额限制</w:t>
            </w:r>
          </w:p>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3A4BCD" w:rsidP="003A4BCD">
            <w:pPr>
              <w:spacing w:line="360" w:lineRule="auto"/>
              <w:ind w:firstLineChars="200" w:firstLine="420"/>
              <w:rPr>
                <w:rFonts w:ascii="Times New Roman" w:hAnsi="Times New Roman" w:cs="Times New Roman"/>
                <w:bCs/>
                <w:szCs w:val="21"/>
              </w:rPr>
            </w:pPr>
            <w:r w:rsidRPr="003A4BCD">
              <w:rPr>
                <w:rFonts w:ascii="Times New Roman" w:hAnsi="Times New Roman" w:cs="Times New Roman" w:hint="eastAsia"/>
                <w:bCs/>
                <w:szCs w:val="21"/>
              </w:rPr>
              <w:t>4</w:t>
            </w:r>
            <w:r w:rsidRPr="003A4BCD">
              <w:rPr>
                <w:rFonts w:ascii="Times New Roman" w:hAnsi="Times New Roman" w:cs="Times New Roman" w:hint="eastAsia"/>
                <w:bCs/>
                <w:szCs w:val="21"/>
              </w:rPr>
              <w:t>、当接受申购申请对存量基金份额持有人利益构</w:t>
            </w:r>
            <w:r w:rsidRPr="003A4BCD">
              <w:rPr>
                <w:rFonts w:ascii="Times New Roman" w:hAnsi="Times New Roman" w:cs="Times New Roman" w:hint="eastAsia"/>
                <w:bCs/>
                <w:szCs w:val="21"/>
              </w:rPr>
              <w:lastRenderedPageBreak/>
              <w:t>成潜在重大不利影响时，基金管理人应当采取设定单一投资者申购金额上限或基金单日净申购比例上限、拒绝大额申购、暂停基金申购等</w:t>
            </w:r>
            <w:r w:rsidR="009E1618">
              <w:rPr>
                <w:rFonts w:ascii="Times New Roman" w:hAnsi="Times New Roman" w:cs="Times New Roman" w:hint="eastAsia"/>
                <w:bCs/>
                <w:szCs w:val="21"/>
              </w:rPr>
              <w:t>措施，切实保护存量基金份额持有人的合法权益。具体请参见相关公告；</w:t>
            </w:r>
          </w:p>
        </w:tc>
      </w:tr>
      <w:tr w:rsidR="00BE68AA" w:rsidRPr="006C7529" w:rsidTr="001A49FD">
        <w:trPr>
          <w:jc w:val="center"/>
        </w:trPr>
        <w:tc>
          <w:tcPr>
            <w:tcW w:w="56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6907E4">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p>
        </w:tc>
        <w:tc>
          <w:tcPr>
            <w:tcW w:w="2216" w:type="pct"/>
          </w:tcPr>
          <w:p w:rsidR="006907E4" w:rsidRDefault="006907E4" w:rsidP="006907E4">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六、申购费用和赎回费用</w:t>
            </w:r>
          </w:p>
          <w:p w:rsidR="00BE68AA" w:rsidRPr="00926C41" w:rsidRDefault="006907E4" w:rsidP="006907E4">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2</w:t>
            </w:r>
            <w:r w:rsidRPr="006907E4">
              <w:rPr>
                <w:rFonts w:ascii="Times New Roman" w:eastAsia="宋体" w:hAnsi="Times New Roman" w:cs="Times New Roman" w:hint="eastAsia"/>
                <w:bCs/>
                <w:szCs w:val="21"/>
              </w:rPr>
              <w:t>、投资者可将其持有的全部或部分基金份额赎回。本基金的赎回费用在投资者赎回本基金份额时收取，部分归入基金财产，其余用于市场推广、支付注册登记费和其他手续费，赎回费归入基金财产的比例不得低于法律法规或中国证监会规定的比例下限。</w:t>
            </w:r>
          </w:p>
        </w:tc>
        <w:tc>
          <w:tcPr>
            <w:tcW w:w="2214" w:type="pct"/>
          </w:tcPr>
          <w:p w:rsidR="00926C41" w:rsidRDefault="006907E4" w:rsidP="006907E4">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六、申购费用和赎回费用</w:t>
            </w:r>
          </w:p>
          <w:p w:rsidR="00BE68AA" w:rsidRPr="003A4BCD" w:rsidRDefault="003A4BCD" w:rsidP="003A4BCD">
            <w:pPr>
              <w:spacing w:line="360" w:lineRule="auto"/>
              <w:ind w:firstLineChars="200" w:firstLine="420"/>
              <w:rPr>
                <w:rFonts w:ascii="Times New Roman" w:eastAsia="宋体" w:hAnsi="Times New Roman" w:cs="Times New Roman"/>
                <w:bCs/>
                <w:szCs w:val="21"/>
              </w:rPr>
            </w:pPr>
            <w:r w:rsidRPr="003A4BCD">
              <w:rPr>
                <w:rFonts w:ascii="Times New Roman" w:eastAsia="宋体" w:hAnsi="Times New Roman" w:cs="Times New Roman" w:hint="eastAsia"/>
                <w:bCs/>
                <w:szCs w:val="21"/>
              </w:rPr>
              <w:t>2</w:t>
            </w:r>
            <w:r w:rsidRPr="003A4BCD">
              <w:rPr>
                <w:rFonts w:ascii="Times New Roman" w:eastAsia="宋体" w:hAnsi="Times New Roman" w:cs="Times New Roman" w:hint="eastAsia"/>
                <w:bCs/>
                <w:szCs w:val="21"/>
              </w:rPr>
              <w:t>、投资者可将其持有的全部或部分基金份额赎回。本基金的赎回费用在投资者赎回本基金份额时收取，部分归入基金财产，其余用于市场推广、支付注册登记费和其他手续费，赎回费归入基金财产的比例不得低于法律法规或中国证监会规定的比例下限。其中，对持续持有期少于</w:t>
            </w:r>
            <w:r w:rsidRPr="003A4BCD">
              <w:rPr>
                <w:rFonts w:ascii="Times New Roman" w:eastAsia="宋体" w:hAnsi="Times New Roman" w:cs="Times New Roman" w:hint="eastAsia"/>
                <w:bCs/>
                <w:szCs w:val="21"/>
              </w:rPr>
              <w:t>7</w:t>
            </w:r>
            <w:r w:rsidRPr="003A4BCD">
              <w:rPr>
                <w:rFonts w:ascii="Times New Roman" w:eastAsia="宋体" w:hAnsi="Times New Roman" w:cs="Times New Roman" w:hint="eastAsia"/>
                <w:bCs/>
                <w:szCs w:val="21"/>
              </w:rPr>
              <w:t>日的基金份额持有人收取不低于</w:t>
            </w:r>
            <w:r w:rsidRPr="003A4BCD">
              <w:rPr>
                <w:rFonts w:ascii="Times New Roman" w:eastAsia="宋体" w:hAnsi="Times New Roman" w:cs="Times New Roman" w:hint="eastAsia"/>
                <w:bCs/>
                <w:szCs w:val="21"/>
              </w:rPr>
              <w:t>1.5%</w:t>
            </w:r>
            <w:r w:rsidRPr="003A4BCD">
              <w:rPr>
                <w:rFonts w:ascii="Times New Roman" w:eastAsia="宋体" w:hAnsi="Times New Roman" w:cs="Times New Roman" w:hint="eastAsia"/>
                <w:bCs/>
                <w:szCs w:val="21"/>
              </w:rPr>
              <w:t>的赎回费并全额计入基金财产。</w:t>
            </w:r>
          </w:p>
        </w:tc>
      </w:tr>
      <w:tr w:rsidR="00797707" w:rsidRPr="006C7529" w:rsidTr="001A49FD">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sidR="001A49FD">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p>
        </w:tc>
        <w:tc>
          <w:tcPr>
            <w:tcW w:w="2216" w:type="pct"/>
          </w:tcPr>
          <w:p w:rsidR="006907E4" w:rsidRDefault="006907E4" w:rsidP="00E12145">
            <w:pPr>
              <w:spacing w:line="360" w:lineRule="auto"/>
              <w:ind w:firstLineChars="200" w:firstLine="420"/>
              <w:rPr>
                <w:rFonts w:asciiTheme="minorEastAsia" w:hAnsiTheme="minorEastAsia" w:cs="Times New Roman"/>
                <w:bCs/>
                <w:szCs w:val="21"/>
              </w:rPr>
            </w:pPr>
            <w:r w:rsidRPr="006907E4">
              <w:rPr>
                <w:rFonts w:asciiTheme="minorEastAsia" w:hAnsiTheme="minorEastAsia" w:cs="Times New Roman" w:hint="eastAsia"/>
                <w:bCs/>
                <w:szCs w:val="21"/>
              </w:rPr>
              <w:t>九、拒绝或暂停申购的情形及处理方式</w:t>
            </w: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6907E4" w:rsidRDefault="003A4BCD" w:rsidP="003A4BCD">
            <w:pPr>
              <w:spacing w:line="360" w:lineRule="auto"/>
              <w:ind w:firstLineChars="200" w:firstLine="420"/>
              <w:rPr>
                <w:rFonts w:asciiTheme="minorEastAsia" w:hAnsiTheme="minorEastAsia"/>
                <w:bCs/>
                <w:szCs w:val="21"/>
              </w:rPr>
            </w:pPr>
            <w:r w:rsidRPr="003A4BCD">
              <w:rPr>
                <w:rFonts w:asciiTheme="minorEastAsia" w:hAnsiTheme="minorEastAsia" w:cs="Times New Roman" w:hint="eastAsia"/>
                <w:bCs/>
                <w:szCs w:val="21"/>
              </w:rPr>
              <w:t>发生上述情形之一的，申购款项将全额退还投资者。发生上述（</w:t>
            </w:r>
            <w:r w:rsidRPr="003A4BCD">
              <w:rPr>
                <w:rFonts w:asciiTheme="minorEastAsia" w:hAnsiTheme="minorEastAsia" w:cs="Times New Roman"/>
                <w:bCs/>
                <w:szCs w:val="21"/>
              </w:rPr>
              <w:t>1</w:t>
            </w:r>
            <w:r w:rsidRPr="003A4BCD">
              <w:rPr>
                <w:rFonts w:asciiTheme="minorEastAsia" w:hAnsiTheme="minorEastAsia" w:cs="Times New Roman" w:hint="eastAsia"/>
                <w:bCs/>
                <w:szCs w:val="21"/>
              </w:rPr>
              <w:t>）到（5）项暂停申购情形时，基金管理人应当在指定媒体刊登暂停申购公告。</w:t>
            </w:r>
          </w:p>
        </w:tc>
        <w:tc>
          <w:tcPr>
            <w:tcW w:w="2214" w:type="pct"/>
          </w:tcPr>
          <w:p w:rsidR="006907E4" w:rsidRDefault="006907E4" w:rsidP="00BE68AA">
            <w:pPr>
              <w:spacing w:line="360" w:lineRule="auto"/>
              <w:ind w:firstLineChars="200" w:firstLine="420"/>
              <w:rPr>
                <w:rFonts w:asciiTheme="minorEastAsia" w:hAnsiTheme="minorEastAsia" w:cs="Times New Roman"/>
                <w:szCs w:val="21"/>
              </w:rPr>
            </w:pPr>
            <w:r w:rsidRPr="006907E4">
              <w:rPr>
                <w:rFonts w:asciiTheme="minorEastAsia" w:hAnsiTheme="minorEastAsia" w:cs="Times New Roman" w:hint="eastAsia"/>
                <w:szCs w:val="21"/>
              </w:rPr>
              <w:lastRenderedPageBreak/>
              <w:t>九、拒绝或暂停申购的情形及处理方式</w:t>
            </w:r>
          </w:p>
          <w:p w:rsidR="003A4BCD" w:rsidRPr="003A4BCD" w:rsidRDefault="003A4BCD" w:rsidP="003A4BCD">
            <w:pPr>
              <w:spacing w:line="360" w:lineRule="auto"/>
              <w:ind w:firstLineChars="200" w:firstLine="420"/>
              <w:rPr>
                <w:rFonts w:asciiTheme="minorEastAsia" w:hAnsiTheme="minorEastAsia" w:cs="Times New Roman"/>
                <w:bCs/>
                <w:szCs w:val="21"/>
              </w:rPr>
            </w:pPr>
            <w:r w:rsidRPr="003A4BCD">
              <w:rPr>
                <w:rFonts w:asciiTheme="minorEastAsia" w:hAnsiTheme="minorEastAsia" w:cs="Times New Roman" w:hint="eastAsia"/>
                <w:bCs/>
                <w:szCs w:val="21"/>
              </w:rPr>
              <w:t>（5）当前一估值日基金资产净值50%以上的资产出现无可参考的活跃市场价格且采用估值技术仍导致公允价值存在重大不确定性时</w:t>
            </w:r>
            <w:r w:rsidR="009E1618">
              <w:rPr>
                <w:rFonts w:asciiTheme="minorEastAsia" w:hAnsiTheme="minorEastAsia" w:cs="Times New Roman" w:hint="eastAsia"/>
                <w:bCs/>
                <w:szCs w:val="21"/>
              </w:rPr>
              <w:t>，经与基金托管人协商确认后，基金管理人应当暂停接受基金申购申请；</w:t>
            </w:r>
          </w:p>
          <w:p w:rsidR="003A4BCD" w:rsidRPr="003A4BCD" w:rsidRDefault="003A4BCD" w:rsidP="003A4BCD">
            <w:pPr>
              <w:spacing w:line="360" w:lineRule="auto"/>
              <w:ind w:firstLineChars="200" w:firstLine="420"/>
              <w:rPr>
                <w:rFonts w:asciiTheme="minorEastAsia" w:hAnsiTheme="minorEastAsia" w:cs="Times New Roman"/>
                <w:bCs/>
                <w:szCs w:val="21"/>
              </w:rPr>
            </w:pPr>
            <w:r w:rsidRPr="003A4BCD">
              <w:rPr>
                <w:rFonts w:asciiTheme="minorEastAsia" w:hAnsiTheme="minorEastAsia" w:cs="Times New Roman" w:hint="eastAsia"/>
                <w:bCs/>
                <w:szCs w:val="21"/>
              </w:rPr>
              <w:lastRenderedPageBreak/>
              <w:t>（6）基金管理人接受某笔或者某些申购申请有可能导致单一投资者持有基金份额的比例超过50%，或者变相规避50%</w:t>
            </w:r>
            <w:r w:rsidR="009E1618">
              <w:rPr>
                <w:rFonts w:asciiTheme="minorEastAsia" w:hAnsiTheme="minorEastAsia" w:cs="Times New Roman" w:hint="eastAsia"/>
                <w:bCs/>
                <w:szCs w:val="21"/>
              </w:rPr>
              <w:t>集中度的情形。法律法规或中国证监会另有规定的除外；</w:t>
            </w:r>
          </w:p>
          <w:p w:rsidR="00926C41" w:rsidRPr="00926C41" w:rsidRDefault="00926C41" w:rsidP="00926C41">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6907E4" w:rsidRDefault="003A4BCD" w:rsidP="003A4BCD">
            <w:pPr>
              <w:spacing w:line="360" w:lineRule="auto"/>
              <w:ind w:firstLineChars="200" w:firstLine="420"/>
              <w:rPr>
                <w:rFonts w:asciiTheme="minorEastAsia" w:hAnsiTheme="minorEastAsia"/>
                <w:bCs/>
                <w:szCs w:val="21"/>
              </w:rPr>
            </w:pPr>
            <w:r w:rsidRPr="003A4BCD">
              <w:rPr>
                <w:rFonts w:asciiTheme="minorEastAsia" w:hAnsiTheme="minorEastAsia" w:hint="eastAsia"/>
                <w:bCs/>
                <w:szCs w:val="21"/>
              </w:rPr>
              <w:t>发生上述情形之一的，申购款项将全额退还投资者。发生上述（</w:t>
            </w:r>
            <w:r w:rsidRPr="003A4BCD">
              <w:rPr>
                <w:rFonts w:asciiTheme="minorEastAsia" w:hAnsiTheme="minorEastAsia"/>
                <w:bCs/>
                <w:szCs w:val="21"/>
              </w:rPr>
              <w:t>1</w:t>
            </w:r>
            <w:r w:rsidRPr="003A4BCD">
              <w:rPr>
                <w:rFonts w:asciiTheme="minorEastAsia" w:hAnsiTheme="minorEastAsia" w:hint="eastAsia"/>
                <w:bCs/>
                <w:szCs w:val="21"/>
              </w:rPr>
              <w:t>）到（5）、（7）项暂停申购情形时，基金管理人应当在指定媒体刊登暂停申购公告。</w:t>
            </w:r>
          </w:p>
        </w:tc>
      </w:tr>
      <w:tr w:rsidR="00797707" w:rsidRPr="006C7529" w:rsidTr="001A49FD">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1A49FD">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p>
        </w:tc>
        <w:tc>
          <w:tcPr>
            <w:tcW w:w="2216" w:type="pct"/>
          </w:tcPr>
          <w:p w:rsidR="00427264" w:rsidRDefault="00427264" w:rsidP="00A610A0">
            <w:pPr>
              <w:spacing w:line="360" w:lineRule="auto"/>
              <w:ind w:firstLineChars="200" w:firstLine="420"/>
              <w:rPr>
                <w:rFonts w:asciiTheme="minorEastAsia" w:hAnsiTheme="minorEastAsia" w:cs="Times New Roman"/>
                <w:szCs w:val="21"/>
              </w:rPr>
            </w:pPr>
            <w:r w:rsidRPr="00427264">
              <w:rPr>
                <w:rFonts w:asciiTheme="minorEastAsia" w:hAnsiTheme="minorEastAsia" w:cs="Times New Roman" w:hint="eastAsia"/>
                <w:szCs w:val="21"/>
              </w:rPr>
              <w:t>十、暂停赎回或者延缓支付赎回款项的情形及处理方式</w:t>
            </w:r>
          </w:p>
          <w:p w:rsidR="00A610A0" w:rsidRPr="00A610A0" w:rsidRDefault="00A610A0" w:rsidP="00E12145">
            <w:pPr>
              <w:spacing w:line="360" w:lineRule="auto"/>
              <w:ind w:firstLineChars="200" w:firstLine="420"/>
              <w:rPr>
                <w:rFonts w:asciiTheme="minorEastAsia" w:hAnsiTheme="minorEastAsia" w:cs="Times New Roman"/>
                <w:szCs w:val="21"/>
              </w:rPr>
            </w:pPr>
          </w:p>
        </w:tc>
        <w:tc>
          <w:tcPr>
            <w:tcW w:w="2214" w:type="pct"/>
          </w:tcPr>
          <w:p w:rsidR="00427264" w:rsidRDefault="00427264" w:rsidP="00A610A0">
            <w:pPr>
              <w:spacing w:line="360" w:lineRule="auto"/>
              <w:ind w:firstLineChars="200" w:firstLine="420"/>
              <w:rPr>
                <w:rFonts w:asciiTheme="minorEastAsia" w:hAnsiTheme="minorEastAsia"/>
                <w:bCs/>
                <w:szCs w:val="21"/>
              </w:rPr>
            </w:pPr>
            <w:r w:rsidRPr="00427264">
              <w:rPr>
                <w:rFonts w:asciiTheme="minorEastAsia" w:hAnsiTheme="minorEastAsia" w:hint="eastAsia"/>
                <w:bCs/>
                <w:szCs w:val="21"/>
              </w:rPr>
              <w:t>十、暂停赎回或者延缓支付赎回款项的情形及处理方式</w:t>
            </w:r>
          </w:p>
          <w:p w:rsidR="00AD33B2" w:rsidRDefault="00E835C9" w:rsidP="00A610A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B35D42" w:rsidRDefault="00B35D42" w:rsidP="00B35D42">
            <w:pPr>
              <w:spacing w:line="360" w:lineRule="auto"/>
              <w:ind w:firstLineChars="200" w:firstLine="420"/>
              <w:rPr>
                <w:rFonts w:asciiTheme="minorEastAsia" w:hAnsiTheme="minorEastAsia"/>
                <w:bCs/>
                <w:szCs w:val="21"/>
              </w:rPr>
            </w:pPr>
            <w:r w:rsidRPr="00B35D42">
              <w:rPr>
                <w:rFonts w:asciiTheme="minorEastAsia" w:hAnsiTheme="minorEastAsia" w:hint="eastAsia"/>
                <w:bCs/>
                <w:szCs w:val="21"/>
              </w:rPr>
              <w:t>（4）当前一估值日基金资产净值50%以上的资产出现无可参考的活跃市场价格且采用估值技术仍导致公允价值存在重大不确定性时，经与基金托管人协</w:t>
            </w:r>
            <w:r w:rsidR="009E1618">
              <w:rPr>
                <w:rFonts w:asciiTheme="minorEastAsia" w:hAnsiTheme="minorEastAsia" w:hint="eastAsia"/>
                <w:bCs/>
                <w:szCs w:val="21"/>
              </w:rPr>
              <w:t>商确认后，基金管理人应当暂停接受基金赎回申请或延缓支付赎回款项；</w:t>
            </w:r>
          </w:p>
        </w:tc>
      </w:tr>
      <w:tr w:rsidR="00797707" w:rsidRPr="006C7529" w:rsidTr="001A49FD">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sidR="001A49FD">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lastRenderedPageBreak/>
              <w:t>基金份额的申购与赎回</w:t>
            </w:r>
          </w:p>
          <w:p w:rsidR="00AD33B2" w:rsidRPr="006C7529" w:rsidRDefault="00AD33B2" w:rsidP="00E12145">
            <w:pPr>
              <w:spacing w:line="360" w:lineRule="auto"/>
              <w:jc w:val="center"/>
              <w:rPr>
                <w:rFonts w:ascii="Times New Roman" w:eastAsia="宋体" w:hAnsi="Times New Roman" w:cs="Times New Roman"/>
                <w:b/>
                <w:szCs w:val="21"/>
              </w:rPr>
            </w:pPr>
          </w:p>
        </w:tc>
        <w:tc>
          <w:tcPr>
            <w:tcW w:w="2216" w:type="pct"/>
          </w:tcPr>
          <w:p w:rsidR="00641A0E" w:rsidRPr="00641A0E" w:rsidRDefault="00E835C9" w:rsidP="00641A0E">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lastRenderedPageBreak/>
              <w:t>十一</w:t>
            </w:r>
            <w:r w:rsidR="00641A0E" w:rsidRPr="00641A0E">
              <w:rPr>
                <w:rFonts w:asciiTheme="minorEastAsia" w:hAnsiTheme="minorEastAsia" w:cs="Times New Roman" w:hint="eastAsia"/>
                <w:bCs/>
                <w:szCs w:val="21"/>
              </w:rPr>
              <w:t>、巨额赎回的情形及处理方式</w:t>
            </w:r>
          </w:p>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lastRenderedPageBreak/>
              <w:t>2、巨额赎回的处理方式</w:t>
            </w:r>
          </w:p>
          <w:p w:rsidR="006365BA" w:rsidRPr="00E12145" w:rsidRDefault="00143941" w:rsidP="00143941">
            <w:pPr>
              <w:spacing w:line="360" w:lineRule="auto"/>
              <w:ind w:firstLineChars="200" w:firstLine="420"/>
              <w:rPr>
                <w:rFonts w:asciiTheme="minorEastAsia" w:hAnsiTheme="minorEastAsia" w:cs="Times New Roman"/>
                <w:bCs/>
                <w:szCs w:val="21"/>
              </w:rPr>
            </w:pPr>
            <w:r w:rsidRPr="00143941">
              <w:rPr>
                <w:rFonts w:asciiTheme="minorEastAsia" w:hAnsiTheme="minorEastAsia" w:cs="Times New Roman" w:hint="eastAsia"/>
                <w:bCs/>
                <w:szCs w:val="21"/>
              </w:rPr>
              <w:t>（2）部分顺延赎回</w:t>
            </w:r>
          </w:p>
        </w:tc>
        <w:tc>
          <w:tcPr>
            <w:tcW w:w="2214" w:type="pct"/>
          </w:tcPr>
          <w:p w:rsidR="00641A0E" w:rsidRPr="00641A0E" w:rsidRDefault="00E835C9" w:rsidP="00641A0E">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十一</w:t>
            </w:r>
            <w:r w:rsidR="00641A0E" w:rsidRPr="00641A0E">
              <w:rPr>
                <w:rFonts w:asciiTheme="minorEastAsia" w:hAnsiTheme="minorEastAsia" w:hint="eastAsia"/>
                <w:bCs/>
                <w:szCs w:val="21"/>
              </w:rPr>
              <w:t>、巨额赎回的情形及处理方式</w:t>
            </w:r>
          </w:p>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lastRenderedPageBreak/>
              <w:t>2、巨额赎回的处理方式</w:t>
            </w:r>
          </w:p>
          <w:p w:rsidR="00143941" w:rsidRDefault="00143941" w:rsidP="00143941">
            <w:pPr>
              <w:spacing w:line="360" w:lineRule="auto"/>
              <w:ind w:firstLineChars="200" w:firstLine="420"/>
              <w:rPr>
                <w:rFonts w:asciiTheme="minorEastAsia" w:hAnsiTheme="minorEastAsia"/>
                <w:bCs/>
                <w:szCs w:val="21"/>
              </w:rPr>
            </w:pPr>
            <w:r w:rsidRPr="00143941">
              <w:rPr>
                <w:rFonts w:asciiTheme="minorEastAsia" w:hAnsiTheme="minorEastAsia" w:hint="eastAsia"/>
                <w:bCs/>
                <w:szCs w:val="21"/>
              </w:rPr>
              <w:t>（2）部分顺延赎回</w:t>
            </w:r>
          </w:p>
          <w:p w:rsidR="00AD33B2" w:rsidRDefault="00AD33B2" w:rsidP="00143941">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B35D42" w:rsidRDefault="00892035" w:rsidP="00B35D42">
            <w:pPr>
              <w:spacing w:line="360" w:lineRule="auto"/>
              <w:ind w:firstLineChars="200" w:firstLine="420"/>
              <w:rPr>
                <w:rFonts w:asciiTheme="minorEastAsia" w:hAnsiTheme="minorEastAsia"/>
                <w:bCs/>
                <w:szCs w:val="21"/>
              </w:rPr>
            </w:pPr>
            <w:r w:rsidRPr="00892035">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tc>
      </w:tr>
      <w:tr w:rsidR="00C3374A" w:rsidRPr="006C7529" w:rsidTr="001A49FD">
        <w:trPr>
          <w:jc w:val="center"/>
        </w:trPr>
        <w:tc>
          <w:tcPr>
            <w:tcW w:w="569" w:type="pct"/>
          </w:tcPr>
          <w:p w:rsidR="00C3374A" w:rsidRPr="006C7529" w:rsidRDefault="00C3374A" w:rsidP="00E12145">
            <w:pPr>
              <w:spacing w:line="360" w:lineRule="auto"/>
              <w:jc w:val="center"/>
              <w:rPr>
                <w:rFonts w:ascii="Times New Roman" w:eastAsia="宋体" w:hAnsi="Times New Roman" w:cs="Times New Roman"/>
                <w:b/>
                <w:szCs w:val="21"/>
              </w:rPr>
            </w:pPr>
            <w:r w:rsidRPr="00C3374A">
              <w:rPr>
                <w:rFonts w:ascii="Times New Roman" w:eastAsia="宋体" w:hAnsi="Times New Roman" w:cs="Times New Roman" w:hint="eastAsia"/>
                <w:b/>
                <w:szCs w:val="21"/>
              </w:rPr>
              <w:lastRenderedPageBreak/>
              <w:t>第十一部分</w:t>
            </w:r>
            <w:r w:rsidRPr="00C3374A">
              <w:rPr>
                <w:rFonts w:ascii="Times New Roman" w:eastAsia="宋体" w:hAnsi="Times New Roman" w:cs="Times New Roman" w:hint="eastAsia"/>
                <w:b/>
                <w:szCs w:val="21"/>
              </w:rPr>
              <w:t xml:space="preserve">  </w:t>
            </w:r>
            <w:r w:rsidRPr="00C3374A">
              <w:rPr>
                <w:rFonts w:ascii="Times New Roman" w:eastAsia="宋体" w:hAnsi="Times New Roman" w:cs="Times New Roman" w:hint="eastAsia"/>
                <w:b/>
                <w:szCs w:val="21"/>
              </w:rPr>
              <w:t>基金的投资</w:t>
            </w:r>
          </w:p>
        </w:tc>
        <w:tc>
          <w:tcPr>
            <w:tcW w:w="2216" w:type="pct"/>
          </w:tcPr>
          <w:p w:rsidR="00C3374A" w:rsidRDefault="00C3374A" w:rsidP="00246199">
            <w:pPr>
              <w:spacing w:line="360" w:lineRule="auto"/>
              <w:ind w:firstLineChars="200" w:firstLine="420"/>
              <w:rPr>
                <w:rFonts w:asciiTheme="minorEastAsia" w:hAnsiTheme="minorEastAsia"/>
                <w:bCs/>
                <w:szCs w:val="21"/>
              </w:rPr>
            </w:pPr>
            <w:r>
              <w:rPr>
                <w:rFonts w:asciiTheme="minorEastAsia" w:hAnsiTheme="minorEastAsia" w:hint="eastAsia"/>
                <w:bCs/>
                <w:szCs w:val="21"/>
              </w:rPr>
              <w:t>二、投资范围</w:t>
            </w:r>
          </w:p>
          <w:p w:rsidR="00577A60" w:rsidRPr="00577A60" w:rsidRDefault="00B35D42" w:rsidP="00B35D42">
            <w:pPr>
              <w:spacing w:line="360" w:lineRule="auto"/>
              <w:ind w:firstLineChars="200" w:firstLine="420"/>
              <w:rPr>
                <w:rFonts w:asciiTheme="minorEastAsia" w:hAnsiTheme="minorEastAsia"/>
                <w:bCs/>
                <w:szCs w:val="21"/>
              </w:rPr>
            </w:pPr>
            <w:r w:rsidRPr="00B35D42">
              <w:rPr>
                <w:rFonts w:asciiTheme="minorEastAsia" w:hAnsiTheme="minorEastAsia" w:hint="eastAsia"/>
                <w:bCs/>
                <w:szCs w:val="21"/>
              </w:rPr>
              <w:t>基金的投资组合比例为：</w:t>
            </w:r>
            <w:r w:rsidRPr="00B35D42">
              <w:rPr>
                <w:rFonts w:asciiTheme="minorEastAsia" w:hAnsiTheme="minorEastAsia"/>
                <w:bCs/>
                <w:szCs w:val="21"/>
              </w:rPr>
              <w:t>股票</w:t>
            </w:r>
            <w:r w:rsidRPr="00B35D42">
              <w:rPr>
                <w:rFonts w:asciiTheme="minorEastAsia" w:hAnsiTheme="minorEastAsia" w:hint="eastAsia"/>
                <w:bCs/>
                <w:szCs w:val="21"/>
              </w:rPr>
              <w:t>资产占</w:t>
            </w:r>
            <w:r w:rsidRPr="00B35D42">
              <w:rPr>
                <w:rFonts w:asciiTheme="minorEastAsia" w:hAnsiTheme="minorEastAsia"/>
                <w:bCs/>
                <w:szCs w:val="21"/>
              </w:rPr>
              <w:t>基金资产的</w:t>
            </w:r>
            <w:r w:rsidRPr="00B35D42">
              <w:rPr>
                <w:rFonts w:asciiTheme="minorEastAsia" w:hAnsiTheme="minorEastAsia" w:hint="eastAsia"/>
                <w:bCs/>
                <w:szCs w:val="21"/>
              </w:rPr>
              <w:t>60</w:t>
            </w:r>
            <w:r w:rsidRPr="00B35D42">
              <w:rPr>
                <w:rFonts w:asciiTheme="minorEastAsia" w:hAnsiTheme="minorEastAsia"/>
                <w:bCs/>
                <w:szCs w:val="21"/>
              </w:rPr>
              <w:t>%-</w:t>
            </w:r>
            <w:r w:rsidRPr="00B35D42">
              <w:rPr>
                <w:rFonts w:asciiTheme="minorEastAsia" w:hAnsiTheme="minorEastAsia" w:hint="eastAsia"/>
                <w:bCs/>
                <w:szCs w:val="21"/>
              </w:rPr>
              <w:t>95</w:t>
            </w:r>
            <w:r w:rsidRPr="00B35D42">
              <w:rPr>
                <w:rFonts w:asciiTheme="minorEastAsia" w:hAnsiTheme="minorEastAsia"/>
                <w:bCs/>
                <w:szCs w:val="21"/>
              </w:rPr>
              <w:t>%；</w:t>
            </w:r>
            <w:r w:rsidRPr="00B35D42">
              <w:rPr>
                <w:rFonts w:asciiTheme="minorEastAsia" w:hAnsiTheme="minorEastAsia" w:hint="eastAsia"/>
                <w:bCs/>
                <w:szCs w:val="21"/>
              </w:rPr>
              <w:t>债券、货币市场工具、现金、权证、资产支持证券以及法律法规或中国证监会允许基金投资的其他证券品种占基金资产的5%-40%，其中基金持有的权证</w:t>
            </w:r>
            <w:r w:rsidRPr="00B35D42">
              <w:rPr>
                <w:rFonts w:asciiTheme="minorEastAsia" w:hAnsiTheme="minorEastAsia" w:hint="eastAsia"/>
                <w:bCs/>
                <w:szCs w:val="21"/>
              </w:rPr>
              <w:lastRenderedPageBreak/>
              <w:t>不超过基金资产净值的</w:t>
            </w:r>
            <w:r w:rsidRPr="00B35D42">
              <w:rPr>
                <w:rFonts w:asciiTheme="minorEastAsia" w:hAnsiTheme="minorEastAsia"/>
                <w:bCs/>
                <w:szCs w:val="21"/>
              </w:rPr>
              <w:t>3%</w:t>
            </w:r>
            <w:r w:rsidRPr="00B35D42">
              <w:rPr>
                <w:rFonts w:asciiTheme="minorEastAsia" w:hAnsiTheme="minorEastAsia" w:hint="eastAsia"/>
                <w:bCs/>
                <w:szCs w:val="21"/>
              </w:rPr>
              <w:t>，基金保留的现金和投资于到期日在一年以内的政府债券的比例合计不低于基金资产净值的5%。在基金实际管理过程中，基金管理人将根据中国宏观经济情况和证券市场的阶段性变化，在上述组合比例范围内，适时调整基金资产在股票、债券及货币市场工具等之间的配置比例。</w:t>
            </w:r>
          </w:p>
        </w:tc>
        <w:tc>
          <w:tcPr>
            <w:tcW w:w="2214" w:type="pct"/>
          </w:tcPr>
          <w:p w:rsidR="00C3374A" w:rsidRDefault="00C3374A" w:rsidP="00246199">
            <w:pPr>
              <w:spacing w:line="360" w:lineRule="auto"/>
              <w:ind w:firstLineChars="200" w:firstLine="420"/>
              <w:rPr>
                <w:rFonts w:asciiTheme="minorEastAsia" w:hAnsiTheme="minorEastAsia"/>
                <w:bCs/>
                <w:szCs w:val="21"/>
              </w:rPr>
            </w:pPr>
            <w:r w:rsidRPr="00C3374A">
              <w:rPr>
                <w:rFonts w:asciiTheme="minorEastAsia" w:hAnsiTheme="minorEastAsia" w:hint="eastAsia"/>
                <w:bCs/>
                <w:szCs w:val="21"/>
              </w:rPr>
              <w:lastRenderedPageBreak/>
              <w:t>二、投资范围</w:t>
            </w:r>
          </w:p>
          <w:p w:rsidR="00577A60" w:rsidRPr="00577A60" w:rsidRDefault="00B35D42" w:rsidP="00B35D42">
            <w:pPr>
              <w:spacing w:line="360" w:lineRule="auto"/>
              <w:ind w:firstLineChars="200" w:firstLine="420"/>
              <w:rPr>
                <w:rFonts w:asciiTheme="minorEastAsia" w:hAnsiTheme="minorEastAsia"/>
                <w:bCs/>
                <w:szCs w:val="21"/>
              </w:rPr>
            </w:pPr>
            <w:r w:rsidRPr="00B35D42">
              <w:rPr>
                <w:rFonts w:asciiTheme="minorEastAsia" w:hAnsiTheme="minorEastAsia" w:hint="eastAsia"/>
                <w:bCs/>
                <w:szCs w:val="21"/>
              </w:rPr>
              <w:t>基金的投资组合比例为：</w:t>
            </w:r>
            <w:r w:rsidRPr="00B35D42">
              <w:rPr>
                <w:rFonts w:asciiTheme="minorEastAsia" w:hAnsiTheme="minorEastAsia"/>
                <w:bCs/>
                <w:szCs w:val="21"/>
              </w:rPr>
              <w:t>股票</w:t>
            </w:r>
            <w:r w:rsidRPr="00B35D42">
              <w:rPr>
                <w:rFonts w:asciiTheme="minorEastAsia" w:hAnsiTheme="minorEastAsia" w:hint="eastAsia"/>
                <w:bCs/>
                <w:szCs w:val="21"/>
              </w:rPr>
              <w:t>资产占</w:t>
            </w:r>
            <w:r w:rsidRPr="00B35D42">
              <w:rPr>
                <w:rFonts w:asciiTheme="minorEastAsia" w:hAnsiTheme="minorEastAsia"/>
                <w:bCs/>
                <w:szCs w:val="21"/>
              </w:rPr>
              <w:t>基金资产的</w:t>
            </w:r>
            <w:r w:rsidRPr="00B35D42">
              <w:rPr>
                <w:rFonts w:asciiTheme="minorEastAsia" w:hAnsiTheme="minorEastAsia" w:hint="eastAsia"/>
                <w:bCs/>
                <w:szCs w:val="21"/>
              </w:rPr>
              <w:t>60</w:t>
            </w:r>
            <w:r w:rsidRPr="00B35D42">
              <w:rPr>
                <w:rFonts w:asciiTheme="minorEastAsia" w:hAnsiTheme="minorEastAsia"/>
                <w:bCs/>
                <w:szCs w:val="21"/>
              </w:rPr>
              <w:t>%-</w:t>
            </w:r>
            <w:r w:rsidRPr="00B35D42">
              <w:rPr>
                <w:rFonts w:asciiTheme="minorEastAsia" w:hAnsiTheme="minorEastAsia" w:hint="eastAsia"/>
                <w:bCs/>
                <w:szCs w:val="21"/>
              </w:rPr>
              <w:t>95</w:t>
            </w:r>
            <w:r w:rsidRPr="00B35D42">
              <w:rPr>
                <w:rFonts w:asciiTheme="minorEastAsia" w:hAnsiTheme="minorEastAsia"/>
                <w:bCs/>
                <w:szCs w:val="21"/>
              </w:rPr>
              <w:t>%；</w:t>
            </w:r>
            <w:r w:rsidRPr="00B35D42">
              <w:rPr>
                <w:rFonts w:asciiTheme="minorEastAsia" w:hAnsiTheme="minorEastAsia" w:hint="eastAsia"/>
                <w:bCs/>
                <w:szCs w:val="21"/>
              </w:rPr>
              <w:t>债券、货币市场工具、现金、权证、资产支持证券以及法律法规或中国证监会允许基金投资的其他证券品种占基金资产的5%-40%，其中基金持有的权证</w:t>
            </w:r>
            <w:r w:rsidRPr="00B35D42">
              <w:rPr>
                <w:rFonts w:asciiTheme="minorEastAsia" w:hAnsiTheme="minorEastAsia" w:hint="eastAsia"/>
                <w:bCs/>
                <w:szCs w:val="21"/>
              </w:rPr>
              <w:lastRenderedPageBreak/>
              <w:t>不超过基金资产净值的</w:t>
            </w:r>
            <w:r w:rsidRPr="00B35D42">
              <w:rPr>
                <w:rFonts w:asciiTheme="minorEastAsia" w:hAnsiTheme="minorEastAsia"/>
                <w:bCs/>
                <w:szCs w:val="21"/>
              </w:rPr>
              <w:t>3%</w:t>
            </w:r>
            <w:r w:rsidRPr="00B35D42">
              <w:rPr>
                <w:rFonts w:asciiTheme="minorEastAsia" w:hAnsiTheme="minorEastAsia" w:hint="eastAsia"/>
                <w:bCs/>
                <w:szCs w:val="21"/>
              </w:rPr>
              <w:t>，基金保留的现金和投资于到期日在一年以内的政府债券的比例合计不低于基金资产净值的5%，</w:t>
            </w:r>
            <w:r w:rsidR="005B04F1">
              <w:rPr>
                <w:rFonts w:asciiTheme="minorEastAsia" w:hAnsiTheme="minorEastAsia" w:hint="eastAsia"/>
                <w:bCs/>
                <w:szCs w:val="21"/>
              </w:rPr>
              <w:t>其中</w:t>
            </w:r>
            <w:r w:rsidRPr="00B35D42">
              <w:rPr>
                <w:rFonts w:asciiTheme="minorEastAsia" w:hAnsiTheme="minorEastAsia"/>
                <w:bCs/>
                <w:szCs w:val="21"/>
              </w:rPr>
              <w:t>现金不包括</w:t>
            </w:r>
            <w:r w:rsidRPr="00B35D42">
              <w:rPr>
                <w:rFonts w:asciiTheme="minorEastAsia" w:hAnsiTheme="minorEastAsia" w:hint="eastAsia"/>
                <w:bCs/>
                <w:szCs w:val="21"/>
              </w:rPr>
              <w:t>结算备付金、存出保证金和应收申购款等。在基金实际管理过程中，基金管理人将根据中国宏观经济情况和证券市场的阶段性变化，在上述组合比例范围内，适时调整基金资产在股票、债券及货币市场工具等之间的配置比例。</w:t>
            </w:r>
          </w:p>
        </w:tc>
      </w:tr>
      <w:tr w:rsidR="00797707" w:rsidRPr="006C7529" w:rsidTr="001A49FD">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16437"/>
            <w:bookmarkStart w:id="3" w:name="_Toc11351"/>
            <w:bookmarkStart w:id="4" w:name="_Toc5477"/>
            <w:bookmarkStart w:id="5" w:name="_Toc3872"/>
            <w:bookmarkStart w:id="6" w:name="_Toc21917"/>
            <w:bookmarkStart w:id="7" w:name="_Toc2981"/>
            <w:bookmarkStart w:id="8" w:name="_Toc801"/>
            <w:bookmarkStart w:id="9" w:name="_Toc578"/>
            <w:bookmarkStart w:id="10" w:name="_Toc22538"/>
            <w:bookmarkStart w:id="11" w:name="_Toc11395"/>
            <w:bookmarkStart w:id="12" w:name="_Toc466827097"/>
            <w:r w:rsidRPr="006C7529">
              <w:rPr>
                <w:rFonts w:ascii="Times New Roman" w:eastAsia="宋体" w:hAnsi="Times New Roman" w:cs="Times New Roman"/>
                <w:b/>
                <w:szCs w:val="21"/>
              </w:rPr>
              <w:lastRenderedPageBreak/>
              <w:t>第十</w:t>
            </w:r>
            <w:r w:rsidR="00C3374A">
              <w:rPr>
                <w:rFonts w:ascii="Times New Roman" w:eastAsia="宋体" w:hAnsi="Times New Roman" w:cs="Times New Roman" w:hint="eastAsia"/>
                <w:b/>
                <w:szCs w:val="21"/>
              </w:rPr>
              <w:t>一</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2"/>
            <w:bookmarkEnd w:id="3"/>
            <w:bookmarkEnd w:id="4"/>
            <w:bookmarkEnd w:id="5"/>
            <w:bookmarkEnd w:id="6"/>
            <w:bookmarkEnd w:id="7"/>
            <w:bookmarkEnd w:id="8"/>
            <w:bookmarkEnd w:id="9"/>
            <w:bookmarkEnd w:id="10"/>
            <w:bookmarkEnd w:id="11"/>
            <w:bookmarkEnd w:id="12"/>
          </w:p>
          <w:p w:rsidR="006365BA" w:rsidRPr="006C7529" w:rsidRDefault="006365BA" w:rsidP="003046E7">
            <w:pPr>
              <w:spacing w:line="360" w:lineRule="auto"/>
              <w:rPr>
                <w:rFonts w:ascii="Times New Roman" w:eastAsia="宋体" w:hAnsi="Times New Roman" w:cs="Times New Roman"/>
                <w:szCs w:val="21"/>
              </w:rPr>
            </w:pPr>
          </w:p>
        </w:tc>
        <w:tc>
          <w:tcPr>
            <w:tcW w:w="2216" w:type="pct"/>
          </w:tcPr>
          <w:p w:rsidR="00577A60" w:rsidRPr="00577A60" w:rsidRDefault="007157C1" w:rsidP="00577A60">
            <w:pPr>
              <w:spacing w:line="360" w:lineRule="auto"/>
              <w:ind w:firstLineChars="200" w:firstLine="420"/>
              <w:rPr>
                <w:rFonts w:asciiTheme="minorEastAsia" w:hAnsiTheme="minorEastAsia"/>
                <w:bCs/>
                <w:szCs w:val="21"/>
              </w:rPr>
            </w:pPr>
            <w:r>
              <w:rPr>
                <w:rFonts w:asciiTheme="minorEastAsia" w:hAnsiTheme="minorEastAsia" w:hint="eastAsia"/>
                <w:bCs/>
                <w:szCs w:val="21"/>
              </w:rPr>
              <w:t>六</w:t>
            </w:r>
            <w:r w:rsidR="00577A60" w:rsidRPr="00577A60">
              <w:rPr>
                <w:rFonts w:asciiTheme="minorEastAsia" w:hAnsiTheme="minorEastAsia" w:hint="eastAsia"/>
                <w:bCs/>
                <w:szCs w:val="21"/>
              </w:rPr>
              <w:t>、投资限制</w:t>
            </w:r>
          </w:p>
          <w:p w:rsid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（二）投资组合限制</w:t>
            </w:r>
          </w:p>
          <w:p w:rsidR="006365BA" w:rsidRPr="00246199" w:rsidRDefault="007157C1" w:rsidP="007157C1">
            <w:pPr>
              <w:spacing w:line="360" w:lineRule="auto"/>
              <w:ind w:firstLineChars="200" w:firstLine="420"/>
              <w:rPr>
                <w:rFonts w:asciiTheme="minorEastAsia" w:hAnsiTheme="minorEastAsia" w:cs="Times New Roman"/>
                <w:szCs w:val="21"/>
              </w:rPr>
            </w:pPr>
            <w:r w:rsidRPr="007157C1">
              <w:rPr>
                <w:rFonts w:asciiTheme="minorEastAsia" w:hAnsiTheme="minorEastAsia" w:hint="eastAsia"/>
                <w:bCs/>
                <w:szCs w:val="21"/>
              </w:rPr>
              <w:t>5、现金和到期日不超过1年的政府债券合计不低于基金资产净值的5%；</w:t>
            </w:r>
          </w:p>
        </w:tc>
        <w:tc>
          <w:tcPr>
            <w:tcW w:w="2214" w:type="pct"/>
          </w:tcPr>
          <w:p w:rsidR="00246199" w:rsidRPr="00246199" w:rsidRDefault="007157C1" w:rsidP="00246199">
            <w:pPr>
              <w:spacing w:line="360" w:lineRule="auto"/>
              <w:ind w:firstLineChars="200" w:firstLine="420"/>
              <w:rPr>
                <w:rFonts w:asciiTheme="minorEastAsia" w:hAnsiTheme="minorEastAsia"/>
                <w:bCs/>
                <w:szCs w:val="21"/>
              </w:rPr>
            </w:pPr>
            <w:r>
              <w:rPr>
                <w:rFonts w:asciiTheme="minorEastAsia" w:hAnsiTheme="minorEastAsia" w:hint="eastAsia"/>
                <w:bCs/>
                <w:szCs w:val="21"/>
              </w:rPr>
              <w:t>六</w:t>
            </w:r>
            <w:r w:rsidR="00246199" w:rsidRPr="00246199">
              <w:rPr>
                <w:rFonts w:asciiTheme="minorEastAsia" w:hAnsiTheme="minorEastAsia" w:hint="eastAsia"/>
                <w:bCs/>
                <w:szCs w:val="21"/>
              </w:rPr>
              <w:t>、投资限制</w:t>
            </w:r>
          </w:p>
          <w:p w:rsid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（二）投资组合限制</w:t>
            </w:r>
          </w:p>
          <w:p w:rsidR="007157C1" w:rsidRDefault="007157C1" w:rsidP="007157C1">
            <w:pPr>
              <w:spacing w:line="360" w:lineRule="auto"/>
              <w:ind w:firstLineChars="200" w:firstLine="420"/>
              <w:rPr>
                <w:rFonts w:asciiTheme="minorEastAsia" w:hAnsiTheme="minorEastAsia"/>
                <w:bCs/>
                <w:szCs w:val="21"/>
              </w:rPr>
            </w:pPr>
            <w:r w:rsidRPr="007157C1">
              <w:rPr>
                <w:rFonts w:asciiTheme="minorEastAsia" w:hAnsiTheme="minorEastAsia" w:hint="eastAsia"/>
                <w:bCs/>
                <w:szCs w:val="21"/>
              </w:rPr>
              <w:t>5、现金和到期日不超过1年的政府债券合计不低于基金资产净值的5%，其中</w:t>
            </w:r>
            <w:r w:rsidRPr="007157C1">
              <w:rPr>
                <w:rFonts w:asciiTheme="minorEastAsia" w:hAnsiTheme="minorEastAsia"/>
                <w:bCs/>
                <w:szCs w:val="21"/>
              </w:rPr>
              <w:t>现金不包括</w:t>
            </w:r>
            <w:r w:rsidRPr="007157C1">
              <w:rPr>
                <w:rFonts w:asciiTheme="minorEastAsia" w:hAnsiTheme="minorEastAsia" w:hint="eastAsia"/>
                <w:bCs/>
                <w:szCs w:val="21"/>
              </w:rPr>
              <w:t>结算备付金、存出保证金和应收申购款等；</w:t>
            </w:r>
          </w:p>
          <w:p w:rsidR="006365BA" w:rsidRPr="003046E7" w:rsidRDefault="00EF136D" w:rsidP="007157C1">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D11CF4" w:rsidRPr="00D11CF4" w:rsidRDefault="00D11CF4" w:rsidP="00D11CF4">
            <w:pPr>
              <w:spacing w:line="360" w:lineRule="auto"/>
              <w:ind w:firstLineChars="200" w:firstLine="420"/>
              <w:rPr>
                <w:rFonts w:asciiTheme="minorEastAsia" w:hAnsiTheme="minorEastAsia" w:cs="Times New Roman"/>
                <w:bCs/>
                <w:szCs w:val="21"/>
              </w:rPr>
            </w:pPr>
            <w:r w:rsidRPr="00D11CF4">
              <w:rPr>
                <w:rFonts w:asciiTheme="minorEastAsia" w:hAnsiTheme="minorEastAsia" w:cs="Times New Roman" w:hint="eastAsia"/>
                <w:bCs/>
                <w:szCs w:val="21"/>
              </w:rPr>
              <w:t>11、本基金管理人管理的全部开放式基金（包括开放式基金以及处于开放期的定期开放基金）持有一家上市公司发行的可流通股票，不得超过该上市公司可流通</w:t>
            </w:r>
            <w:r w:rsidRPr="00D11CF4">
              <w:rPr>
                <w:rFonts w:asciiTheme="minorEastAsia" w:hAnsiTheme="minorEastAsia" w:cs="Times New Roman" w:hint="eastAsia"/>
                <w:bCs/>
                <w:szCs w:val="21"/>
              </w:rPr>
              <w:lastRenderedPageBreak/>
              <w:t>股票的15%；本基金管理人管理的全部投资组合持有一家上市公司发行的可流通股票，不得超过该上市公司可流通股票的30%；</w:t>
            </w:r>
          </w:p>
          <w:p w:rsidR="00D11CF4" w:rsidRPr="00D11CF4" w:rsidRDefault="00D11CF4" w:rsidP="00D11CF4">
            <w:pPr>
              <w:spacing w:line="360" w:lineRule="auto"/>
              <w:ind w:firstLineChars="200" w:firstLine="420"/>
              <w:rPr>
                <w:rFonts w:asciiTheme="minorEastAsia" w:hAnsiTheme="minorEastAsia" w:cs="Times New Roman"/>
                <w:bCs/>
                <w:szCs w:val="21"/>
              </w:rPr>
            </w:pPr>
            <w:r w:rsidRPr="00D11CF4">
              <w:rPr>
                <w:rFonts w:asciiTheme="minorEastAsia" w:hAnsiTheme="minorEastAsia" w:cs="Times New Roman" w:hint="eastAsia"/>
                <w:bCs/>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D11CF4" w:rsidRDefault="00D11CF4" w:rsidP="00D11CF4">
            <w:pPr>
              <w:spacing w:line="360" w:lineRule="auto"/>
              <w:ind w:firstLineChars="200" w:firstLine="420"/>
              <w:rPr>
                <w:rFonts w:asciiTheme="minorEastAsia" w:hAnsiTheme="minorEastAsia" w:cs="Times New Roman"/>
                <w:bCs/>
                <w:szCs w:val="21"/>
              </w:rPr>
            </w:pPr>
            <w:r w:rsidRPr="00D11CF4">
              <w:rPr>
                <w:rFonts w:asciiTheme="minorEastAsia" w:hAnsiTheme="minorEastAsia" w:cs="Times New Roman" w:hint="eastAsia"/>
                <w:bCs/>
                <w:szCs w:val="21"/>
              </w:rPr>
              <w:t>13、本基金与私募类证券资管产品及中国证监会认定的其他主体为交易对手开展逆回购交易的，可接受质押品的资质要求应当与基金合同约定的投资范围保持一致；</w:t>
            </w:r>
          </w:p>
        </w:tc>
      </w:tr>
      <w:tr w:rsidR="006241CA" w:rsidRPr="006C7529" w:rsidTr="001A49FD">
        <w:trPr>
          <w:jc w:val="center"/>
        </w:trPr>
        <w:tc>
          <w:tcPr>
            <w:tcW w:w="56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sidR="00577A60">
              <w:rPr>
                <w:rFonts w:ascii="Times New Roman" w:eastAsia="宋体" w:hAnsi="Times New Roman" w:cs="Times New Roman" w:hint="eastAsia"/>
                <w:b/>
                <w:szCs w:val="21"/>
              </w:rPr>
              <w:t>一</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Pr="006241CA" w:rsidRDefault="006241CA" w:rsidP="00E12145">
            <w:pPr>
              <w:spacing w:line="360" w:lineRule="auto"/>
              <w:jc w:val="center"/>
              <w:rPr>
                <w:rFonts w:ascii="Times New Roman" w:eastAsia="宋体" w:hAnsi="Times New Roman" w:cs="Times New Roman"/>
                <w:b/>
                <w:szCs w:val="21"/>
              </w:rPr>
            </w:pPr>
          </w:p>
        </w:tc>
        <w:tc>
          <w:tcPr>
            <w:tcW w:w="2216" w:type="pct"/>
          </w:tcPr>
          <w:p w:rsidR="00577A60" w:rsidRPr="00577A60" w:rsidRDefault="00D11CF4" w:rsidP="00577A60">
            <w:pPr>
              <w:spacing w:line="360" w:lineRule="auto"/>
              <w:ind w:firstLineChars="200" w:firstLine="420"/>
              <w:rPr>
                <w:rFonts w:asciiTheme="minorEastAsia" w:hAnsiTheme="minorEastAsia"/>
                <w:bCs/>
                <w:szCs w:val="21"/>
              </w:rPr>
            </w:pPr>
            <w:r>
              <w:rPr>
                <w:rFonts w:asciiTheme="minorEastAsia" w:hAnsiTheme="minorEastAsia" w:hint="eastAsia"/>
                <w:bCs/>
                <w:szCs w:val="21"/>
              </w:rPr>
              <w:t>六</w:t>
            </w:r>
            <w:r w:rsidR="00577A60" w:rsidRPr="00577A60">
              <w:rPr>
                <w:rFonts w:asciiTheme="minorEastAsia" w:hAnsiTheme="minorEastAsia" w:hint="eastAsia"/>
                <w:bCs/>
                <w:szCs w:val="21"/>
              </w:rPr>
              <w:t>、投资限制</w:t>
            </w:r>
          </w:p>
          <w:p w:rsidR="00246199"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（二）投资组合限制</w:t>
            </w:r>
          </w:p>
          <w:p w:rsidR="006241CA" w:rsidRPr="00246199" w:rsidRDefault="00D11CF4" w:rsidP="00D11CF4">
            <w:pPr>
              <w:spacing w:line="360" w:lineRule="auto"/>
              <w:ind w:firstLineChars="200" w:firstLine="420"/>
              <w:rPr>
                <w:rFonts w:asciiTheme="minorEastAsia" w:hAnsiTheme="minorEastAsia"/>
                <w:bCs/>
                <w:szCs w:val="21"/>
              </w:rPr>
            </w:pPr>
            <w:r w:rsidRPr="00D11CF4">
              <w:rPr>
                <w:rFonts w:asciiTheme="minorEastAsia" w:hAnsiTheme="minorEastAsia"/>
                <w:bCs/>
                <w:szCs w:val="21"/>
              </w:rPr>
              <w:t>由于</w:t>
            </w:r>
            <w:r w:rsidRPr="00D11CF4">
              <w:rPr>
                <w:rFonts w:asciiTheme="minorEastAsia" w:hAnsiTheme="minorEastAsia" w:hint="eastAsia"/>
                <w:bCs/>
                <w:szCs w:val="21"/>
              </w:rPr>
              <w:t>证券市场波动、上市公司合并</w:t>
            </w:r>
            <w:r w:rsidRPr="00D11CF4">
              <w:rPr>
                <w:rFonts w:asciiTheme="minorEastAsia" w:hAnsiTheme="minorEastAsia"/>
                <w:bCs/>
                <w:szCs w:val="21"/>
              </w:rPr>
              <w:t>或</w:t>
            </w:r>
            <w:r w:rsidRPr="00D11CF4">
              <w:rPr>
                <w:rFonts w:asciiTheme="minorEastAsia" w:hAnsiTheme="minorEastAsia" w:hint="eastAsia"/>
                <w:bCs/>
                <w:szCs w:val="21"/>
              </w:rPr>
              <w:t>基金规模变动等基金管理人之外的原因</w:t>
            </w:r>
            <w:r w:rsidRPr="00D11CF4">
              <w:rPr>
                <w:rFonts w:asciiTheme="minorEastAsia" w:hAnsiTheme="minorEastAsia"/>
                <w:bCs/>
                <w:szCs w:val="21"/>
              </w:rPr>
              <w:t>导致的投资组合</w:t>
            </w:r>
            <w:r w:rsidRPr="00D11CF4">
              <w:rPr>
                <w:rFonts w:asciiTheme="minorEastAsia" w:hAnsiTheme="minorEastAsia" w:hint="eastAsia"/>
                <w:bCs/>
                <w:szCs w:val="21"/>
              </w:rPr>
              <w:t>不符合</w:t>
            </w:r>
            <w:r w:rsidRPr="00D11CF4">
              <w:rPr>
                <w:rFonts w:asciiTheme="minorEastAsia" w:hAnsiTheme="minorEastAsia"/>
                <w:bCs/>
                <w:szCs w:val="21"/>
              </w:rPr>
              <w:t>上述约定的比例不在限制之内，但基金管理人应在</w:t>
            </w:r>
            <w:r w:rsidRPr="00D11CF4">
              <w:rPr>
                <w:rFonts w:asciiTheme="minorEastAsia" w:hAnsiTheme="minorEastAsia" w:hint="eastAsia"/>
                <w:bCs/>
                <w:szCs w:val="21"/>
              </w:rPr>
              <w:t>10个交</w:t>
            </w:r>
            <w:r w:rsidRPr="00D11CF4">
              <w:rPr>
                <w:rFonts w:asciiTheme="minorEastAsia" w:hAnsiTheme="minorEastAsia" w:hint="eastAsia"/>
                <w:bCs/>
                <w:szCs w:val="21"/>
              </w:rPr>
              <w:lastRenderedPageBreak/>
              <w:t>易日</w:t>
            </w:r>
            <w:r w:rsidRPr="00D11CF4">
              <w:rPr>
                <w:rFonts w:asciiTheme="minorEastAsia" w:hAnsiTheme="minorEastAsia"/>
                <w:bCs/>
                <w:szCs w:val="21"/>
              </w:rPr>
              <w:t>内进行调整，以达到标准</w:t>
            </w:r>
            <w:r w:rsidRPr="00D11CF4">
              <w:rPr>
                <w:rFonts w:asciiTheme="minorEastAsia" w:hAnsiTheme="minorEastAsia" w:hint="eastAsia"/>
                <w:bCs/>
                <w:szCs w:val="21"/>
              </w:rPr>
              <w:t>。法律法规另有规定的从其规定。</w:t>
            </w:r>
          </w:p>
        </w:tc>
        <w:tc>
          <w:tcPr>
            <w:tcW w:w="2214" w:type="pct"/>
          </w:tcPr>
          <w:p w:rsidR="00577A60" w:rsidRPr="00577A60" w:rsidRDefault="00D11CF4" w:rsidP="00577A60">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六</w:t>
            </w:r>
            <w:r w:rsidR="00577A60" w:rsidRPr="00577A60">
              <w:rPr>
                <w:rFonts w:asciiTheme="minorEastAsia" w:hAnsiTheme="minorEastAsia" w:hint="eastAsia"/>
                <w:bCs/>
                <w:szCs w:val="21"/>
              </w:rPr>
              <w:t>、投资限制</w:t>
            </w:r>
          </w:p>
          <w:p w:rsidR="00577A60" w:rsidRDefault="00577A60" w:rsidP="00577A60">
            <w:pPr>
              <w:spacing w:line="360" w:lineRule="auto"/>
              <w:ind w:firstLineChars="200" w:firstLine="420"/>
              <w:rPr>
                <w:rFonts w:asciiTheme="minorEastAsia" w:hAnsiTheme="minorEastAsia"/>
                <w:bCs/>
                <w:szCs w:val="21"/>
              </w:rPr>
            </w:pPr>
            <w:r w:rsidRPr="00577A60">
              <w:rPr>
                <w:rFonts w:asciiTheme="minorEastAsia" w:hAnsiTheme="minorEastAsia" w:hint="eastAsia"/>
                <w:bCs/>
                <w:szCs w:val="21"/>
              </w:rPr>
              <w:t>（二）投资组合限制</w:t>
            </w:r>
          </w:p>
          <w:p w:rsidR="006241CA" w:rsidRPr="00577A60" w:rsidRDefault="00D11CF4" w:rsidP="00D11CF4">
            <w:pPr>
              <w:spacing w:line="360" w:lineRule="auto"/>
              <w:ind w:firstLineChars="200" w:firstLine="420"/>
              <w:rPr>
                <w:rFonts w:asciiTheme="minorEastAsia" w:hAnsiTheme="minorEastAsia"/>
                <w:b/>
                <w:bCs/>
                <w:szCs w:val="21"/>
              </w:rPr>
            </w:pPr>
            <w:r w:rsidRPr="00D11CF4">
              <w:rPr>
                <w:rFonts w:asciiTheme="minorEastAsia" w:hAnsiTheme="minorEastAsia" w:hint="eastAsia"/>
                <w:bCs/>
                <w:szCs w:val="21"/>
              </w:rPr>
              <w:t>除上述第5、12、13项以外，</w:t>
            </w:r>
            <w:r w:rsidRPr="00D11CF4">
              <w:rPr>
                <w:rFonts w:asciiTheme="minorEastAsia" w:hAnsiTheme="minorEastAsia"/>
                <w:bCs/>
                <w:szCs w:val="21"/>
              </w:rPr>
              <w:t>由于</w:t>
            </w:r>
            <w:r w:rsidRPr="00D11CF4">
              <w:rPr>
                <w:rFonts w:asciiTheme="minorEastAsia" w:hAnsiTheme="minorEastAsia" w:hint="eastAsia"/>
                <w:bCs/>
                <w:szCs w:val="21"/>
              </w:rPr>
              <w:t>证券市场波动、上市公司合并</w:t>
            </w:r>
            <w:r w:rsidRPr="00D11CF4">
              <w:rPr>
                <w:rFonts w:asciiTheme="minorEastAsia" w:hAnsiTheme="minorEastAsia"/>
                <w:bCs/>
                <w:szCs w:val="21"/>
              </w:rPr>
              <w:t>或</w:t>
            </w:r>
            <w:r w:rsidRPr="00D11CF4">
              <w:rPr>
                <w:rFonts w:asciiTheme="minorEastAsia" w:hAnsiTheme="minorEastAsia" w:hint="eastAsia"/>
                <w:bCs/>
                <w:szCs w:val="21"/>
              </w:rPr>
              <w:t>基金规模变动等基金管理人之外的原因</w:t>
            </w:r>
            <w:r w:rsidRPr="00D11CF4">
              <w:rPr>
                <w:rFonts w:asciiTheme="minorEastAsia" w:hAnsiTheme="minorEastAsia"/>
                <w:bCs/>
                <w:szCs w:val="21"/>
              </w:rPr>
              <w:t>导致的投资组合</w:t>
            </w:r>
            <w:r w:rsidRPr="00D11CF4">
              <w:rPr>
                <w:rFonts w:asciiTheme="minorEastAsia" w:hAnsiTheme="minorEastAsia" w:hint="eastAsia"/>
                <w:bCs/>
                <w:szCs w:val="21"/>
              </w:rPr>
              <w:t>不符合</w:t>
            </w:r>
            <w:r w:rsidRPr="00D11CF4">
              <w:rPr>
                <w:rFonts w:asciiTheme="minorEastAsia" w:hAnsiTheme="minorEastAsia"/>
                <w:bCs/>
                <w:szCs w:val="21"/>
              </w:rPr>
              <w:t>上述约定的比例不在限制之</w:t>
            </w:r>
            <w:r w:rsidRPr="00D11CF4">
              <w:rPr>
                <w:rFonts w:asciiTheme="minorEastAsia" w:hAnsiTheme="minorEastAsia"/>
                <w:bCs/>
                <w:szCs w:val="21"/>
              </w:rPr>
              <w:lastRenderedPageBreak/>
              <w:t>内，但基金管理人应在</w:t>
            </w:r>
            <w:r w:rsidRPr="00D11CF4">
              <w:rPr>
                <w:rFonts w:asciiTheme="minorEastAsia" w:hAnsiTheme="minorEastAsia" w:hint="eastAsia"/>
                <w:bCs/>
                <w:szCs w:val="21"/>
              </w:rPr>
              <w:t>10个交易日</w:t>
            </w:r>
            <w:r w:rsidRPr="00D11CF4">
              <w:rPr>
                <w:rFonts w:asciiTheme="minorEastAsia" w:hAnsiTheme="minorEastAsia"/>
                <w:bCs/>
                <w:szCs w:val="21"/>
              </w:rPr>
              <w:t>内进行调整，以达到标准</w:t>
            </w:r>
            <w:r w:rsidRPr="00D11CF4">
              <w:rPr>
                <w:rFonts w:asciiTheme="minorEastAsia" w:hAnsiTheme="minorEastAsia" w:hint="eastAsia"/>
                <w:bCs/>
                <w:szCs w:val="21"/>
              </w:rPr>
              <w:t>。法律法规另有规定的从其规定。</w:t>
            </w:r>
          </w:p>
        </w:tc>
      </w:tr>
      <w:tr w:rsidR="00797707" w:rsidRPr="006C7529" w:rsidTr="001A49FD">
        <w:trPr>
          <w:jc w:val="center"/>
        </w:trPr>
        <w:tc>
          <w:tcPr>
            <w:tcW w:w="569" w:type="pct"/>
          </w:tcPr>
          <w:p w:rsidR="006365BA" w:rsidRPr="006C7529" w:rsidRDefault="006365BA" w:rsidP="00E12145">
            <w:pPr>
              <w:spacing w:line="360" w:lineRule="auto"/>
              <w:jc w:val="center"/>
              <w:rPr>
                <w:rFonts w:ascii="Times New Roman" w:eastAsia="宋体" w:hAnsi="Times New Roman" w:cs="Times New Roman"/>
                <w:b/>
                <w:szCs w:val="21"/>
              </w:rPr>
            </w:pPr>
            <w:bookmarkStart w:id="13" w:name="_Toc17782"/>
            <w:bookmarkStart w:id="14" w:name="_Toc7802"/>
            <w:bookmarkStart w:id="15" w:name="_Toc19714"/>
            <w:bookmarkStart w:id="16" w:name="_Toc31917"/>
            <w:bookmarkStart w:id="17" w:name="_Toc27832"/>
            <w:bookmarkStart w:id="18" w:name="_Toc871"/>
            <w:bookmarkStart w:id="19" w:name="_Toc466827099"/>
            <w:r w:rsidRPr="006C7529">
              <w:rPr>
                <w:rFonts w:ascii="Times New Roman" w:eastAsia="宋体" w:hAnsi="Times New Roman" w:cs="Times New Roman"/>
                <w:b/>
                <w:szCs w:val="21"/>
              </w:rPr>
              <w:lastRenderedPageBreak/>
              <w:t>第十</w:t>
            </w:r>
            <w:r w:rsidR="003215C1">
              <w:rPr>
                <w:rFonts w:ascii="Times New Roman" w:eastAsia="宋体" w:hAnsi="Times New Roman" w:cs="Times New Roman" w:hint="eastAsia"/>
                <w:b/>
                <w:szCs w:val="21"/>
              </w:rPr>
              <w:t>三</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3"/>
            <w:bookmarkEnd w:id="14"/>
            <w:bookmarkEnd w:id="15"/>
            <w:bookmarkEnd w:id="16"/>
            <w:bookmarkEnd w:id="17"/>
            <w:bookmarkEnd w:id="18"/>
            <w:bookmarkEnd w:id="19"/>
          </w:p>
          <w:p w:rsidR="006365BA" w:rsidRPr="006C7529" w:rsidRDefault="006365BA" w:rsidP="00E12145">
            <w:pPr>
              <w:spacing w:line="360" w:lineRule="auto"/>
              <w:jc w:val="center"/>
              <w:rPr>
                <w:rFonts w:ascii="Times New Roman" w:eastAsia="宋体" w:hAnsi="Times New Roman" w:cs="Times New Roman"/>
                <w:szCs w:val="21"/>
              </w:rPr>
            </w:pPr>
          </w:p>
        </w:tc>
        <w:tc>
          <w:tcPr>
            <w:tcW w:w="2216" w:type="pct"/>
          </w:tcPr>
          <w:p w:rsidR="006365BA" w:rsidRPr="00E12145" w:rsidRDefault="003215C1" w:rsidP="0064373C">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七</w:t>
            </w:r>
            <w:r w:rsidR="00246199" w:rsidRPr="00246199">
              <w:rPr>
                <w:rFonts w:asciiTheme="minorEastAsia" w:hAnsiTheme="minorEastAsia" w:cs="Times New Roman" w:hint="eastAsia"/>
                <w:szCs w:val="21"/>
              </w:rPr>
              <w:t>、</w:t>
            </w:r>
            <w:r w:rsidR="00246199" w:rsidRPr="0064373C">
              <w:rPr>
                <w:rFonts w:ascii="Times New Roman" w:eastAsia="宋体" w:hAnsi="Times New Roman" w:cs="Times New Roman" w:hint="eastAsia"/>
                <w:bCs/>
                <w:szCs w:val="21"/>
              </w:rPr>
              <w:t>暂停</w:t>
            </w:r>
            <w:r w:rsidR="00246199" w:rsidRPr="00246199">
              <w:rPr>
                <w:rFonts w:asciiTheme="minorEastAsia" w:hAnsiTheme="minorEastAsia" w:cs="Times New Roman" w:hint="eastAsia"/>
                <w:szCs w:val="21"/>
              </w:rPr>
              <w:t>估值的情形</w:t>
            </w:r>
          </w:p>
        </w:tc>
        <w:tc>
          <w:tcPr>
            <w:tcW w:w="2214" w:type="pct"/>
          </w:tcPr>
          <w:p w:rsidR="00246199" w:rsidRDefault="003215C1" w:rsidP="00246199">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七</w:t>
            </w:r>
            <w:r w:rsidR="00246199" w:rsidRPr="00246199">
              <w:rPr>
                <w:rFonts w:asciiTheme="minorEastAsia" w:hAnsiTheme="minorEastAsia" w:cs="Times New Roman" w:hint="eastAsia"/>
                <w:bCs/>
                <w:szCs w:val="21"/>
              </w:rPr>
              <w:t>、暂停估值的情形</w:t>
            </w:r>
          </w:p>
          <w:p w:rsidR="006365BA" w:rsidRPr="00E12145" w:rsidRDefault="006365BA" w:rsidP="00246199">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D11CF4" w:rsidRDefault="00D11CF4" w:rsidP="00D11CF4">
            <w:pPr>
              <w:spacing w:line="360" w:lineRule="auto"/>
              <w:ind w:firstLineChars="200" w:firstLine="420"/>
              <w:rPr>
                <w:rFonts w:asciiTheme="minorEastAsia" w:hAnsiTheme="minorEastAsia" w:cs="Times New Roman"/>
                <w:bCs/>
                <w:szCs w:val="21"/>
              </w:rPr>
            </w:pPr>
            <w:r w:rsidRPr="00D11CF4">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64373C">
              <w:rPr>
                <w:rFonts w:asciiTheme="minorEastAsia" w:hAnsiTheme="minorEastAsia" w:cs="Times New Roman" w:hint="eastAsia"/>
                <w:bCs/>
                <w:szCs w:val="21"/>
              </w:rPr>
              <w:t>确认后</w:t>
            </w:r>
            <w:r w:rsidRPr="00D11CF4">
              <w:rPr>
                <w:rFonts w:asciiTheme="minorEastAsia" w:hAnsiTheme="minorEastAsia" w:cs="Times New Roman" w:hint="eastAsia"/>
                <w:bCs/>
                <w:szCs w:val="21"/>
              </w:rPr>
              <w:t>，基金管理人应当暂停估值；</w:t>
            </w:r>
          </w:p>
        </w:tc>
      </w:tr>
      <w:tr w:rsidR="00321BD5" w:rsidRPr="006C7529" w:rsidTr="001A49FD">
        <w:trPr>
          <w:jc w:val="center"/>
        </w:trPr>
        <w:tc>
          <w:tcPr>
            <w:tcW w:w="569" w:type="pct"/>
          </w:tcPr>
          <w:p w:rsidR="00321BD5" w:rsidRPr="00E12145" w:rsidRDefault="00321BD5" w:rsidP="00417D25">
            <w:pPr>
              <w:jc w:val="center"/>
              <w:rPr>
                <w:b/>
              </w:rPr>
            </w:pPr>
            <w:r w:rsidRPr="00321BD5">
              <w:rPr>
                <w:rFonts w:hint="eastAsia"/>
                <w:b/>
              </w:rPr>
              <w:t>第十七部分</w:t>
            </w:r>
            <w:r w:rsidRPr="00321BD5">
              <w:rPr>
                <w:rFonts w:hint="eastAsia"/>
                <w:b/>
              </w:rPr>
              <w:t xml:space="preserve">  </w:t>
            </w:r>
            <w:r w:rsidRPr="00321BD5">
              <w:rPr>
                <w:rFonts w:hint="eastAsia"/>
                <w:b/>
              </w:rPr>
              <w:t>基金的信息披露</w:t>
            </w:r>
          </w:p>
        </w:tc>
        <w:tc>
          <w:tcPr>
            <w:tcW w:w="2216" w:type="pct"/>
          </w:tcPr>
          <w:p w:rsidR="00321BD5" w:rsidRPr="00321BD5" w:rsidRDefault="00321BD5" w:rsidP="00321BD5">
            <w:pPr>
              <w:spacing w:line="360" w:lineRule="auto"/>
              <w:ind w:firstLineChars="200" w:firstLine="420"/>
              <w:rPr>
                <w:rFonts w:ascii="Times New Roman" w:eastAsia="宋体" w:hAnsi="Times New Roman" w:cs="Times New Roman"/>
                <w:bCs/>
                <w:szCs w:val="21"/>
              </w:rPr>
            </w:pPr>
            <w:r w:rsidRPr="00321BD5">
              <w:rPr>
                <w:rFonts w:ascii="Times New Roman" w:eastAsia="宋体" w:hAnsi="Times New Roman" w:cs="Times New Roman" w:hint="eastAsia"/>
                <w:bCs/>
                <w:szCs w:val="21"/>
              </w:rPr>
              <w:t>一、本基金的信息披露应符合《基金法》、《运作办法》、《信息披露办法》</w:t>
            </w:r>
            <w:r>
              <w:rPr>
                <w:rFonts w:ascii="Times New Roman" w:eastAsia="宋体" w:hAnsi="Times New Roman" w:cs="Times New Roman" w:hint="eastAsia"/>
                <w:bCs/>
                <w:szCs w:val="21"/>
              </w:rPr>
              <w:t>、</w:t>
            </w:r>
            <w:r w:rsidRPr="00321BD5">
              <w:rPr>
                <w:rFonts w:ascii="Times New Roman" w:eastAsia="宋体" w:hAnsi="Times New Roman" w:cs="Times New Roman" w:hint="eastAsia"/>
                <w:bCs/>
                <w:szCs w:val="21"/>
              </w:rPr>
              <w:t>《基金合同》及其他有关规定。</w:t>
            </w:r>
          </w:p>
        </w:tc>
        <w:tc>
          <w:tcPr>
            <w:tcW w:w="2214" w:type="pct"/>
          </w:tcPr>
          <w:p w:rsidR="00321BD5" w:rsidRPr="00D11CF4" w:rsidRDefault="00D11CF4" w:rsidP="001B189B">
            <w:pPr>
              <w:spacing w:line="360" w:lineRule="auto"/>
              <w:ind w:firstLineChars="200" w:firstLine="420"/>
              <w:rPr>
                <w:rFonts w:ascii="Times New Roman" w:eastAsia="宋体" w:hAnsi="Times New Roman" w:cs="Times New Roman"/>
                <w:bCs/>
                <w:szCs w:val="21"/>
              </w:rPr>
            </w:pPr>
            <w:r w:rsidRPr="00D11CF4">
              <w:rPr>
                <w:rFonts w:ascii="Times New Roman" w:eastAsia="宋体" w:hAnsi="Times New Roman" w:cs="Times New Roman" w:hint="eastAsia"/>
                <w:bCs/>
                <w:szCs w:val="21"/>
              </w:rPr>
              <w:t>一、本基金的信息披露应符合《基金法》、《运作办法》、《信息披露办法》、《流动性规定》、《基金合同》及其他有关规定。</w:t>
            </w:r>
          </w:p>
        </w:tc>
      </w:tr>
      <w:tr w:rsidR="00797707" w:rsidRPr="006C7529" w:rsidTr="001A49FD">
        <w:trPr>
          <w:jc w:val="center"/>
        </w:trPr>
        <w:tc>
          <w:tcPr>
            <w:tcW w:w="569" w:type="pct"/>
          </w:tcPr>
          <w:p w:rsidR="006365BA" w:rsidRPr="00A8233D" w:rsidRDefault="006365BA" w:rsidP="00417D25">
            <w:pPr>
              <w:jc w:val="center"/>
            </w:pPr>
            <w:bookmarkStart w:id="20" w:name="_Toc93226151"/>
            <w:bookmarkStart w:id="21" w:name="_Toc92662709"/>
            <w:bookmarkStart w:id="22" w:name="_Toc3056"/>
            <w:bookmarkStart w:id="23" w:name="_Toc193"/>
            <w:bookmarkStart w:id="24" w:name="_Toc141703898"/>
            <w:bookmarkStart w:id="25" w:name="_Toc139991748"/>
            <w:bookmarkStart w:id="26" w:name="_Toc128310501"/>
            <w:bookmarkStart w:id="27" w:name="_Toc1421"/>
            <w:bookmarkStart w:id="28" w:name="_Toc8512"/>
            <w:bookmarkStart w:id="29" w:name="_Toc11049"/>
            <w:bookmarkStart w:id="30" w:name="_Toc1173"/>
            <w:bookmarkStart w:id="31" w:name="_Toc12028"/>
            <w:bookmarkStart w:id="32" w:name="_Toc31866"/>
            <w:bookmarkStart w:id="33" w:name="_Toc29289"/>
            <w:bookmarkStart w:id="34" w:name="_Toc11802"/>
            <w:bookmarkStart w:id="35" w:name="_Toc466827103"/>
            <w:r w:rsidRPr="00E12145">
              <w:rPr>
                <w:rFonts w:hint="eastAsia"/>
                <w:b/>
              </w:rPr>
              <w:t>第十</w:t>
            </w:r>
            <w:r w:rsidR="00321BD5">
              <w:rPr>
                <w:rFonts w:hint="eastAsia"/>
                <w:b/>
              </w:rPr>
              <w:t>七</w:t>
            </w:r>
            <w:r w:rsidRPr="00E12145">
              <w:rPr>
                <w:rFonts w:hint="eastAsia"/>
                <w:b/>
              </w:rPr>
              <w:t>部分</w:t>
            </w:r>
            <w:r w:rsidRPr="00E12145">
              <w:rPr>
                <w:b/>
              </w:rPr>
              <w:t xml:space="preserve">  </w:t>
            </w:r>
            <w:r w:rsidRPr="00E12145">
              <w:rPr>
                <w:rFonts w:hint="eastAsia"/>
                <w:b/>
              </w:rPr>
              <w:t>基金</w:t>
            </w:r>
            <w:bookmarkEnd w:id="20"/>
            <w:bookmarkEnd w:id="21"/>
            <w:r w:rsidRPr="00E12145">
              <w:rPr>
                <w:rFonts w:hint="eastAsia"/>
                <w:b/>
              </w:rPr>
              <w:t>的信息披露</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365BA" w:rsidRPr="00246199" w:rsidRDefault="006365BA" w:rsidP="006853D0">
            <w:pPr>
              <w:spacing w:line="360" w:lineRule="auto"/>
              <w:jc w:val="center"/>
              <w:rPr>
                <w:rFonts w:ascii="Times New Roman" w:eastAsia="宋体" w:hAnsi="Times New Roman" w:cs="Times New Roman"/>
                <w:bCs/>
                <w:szCs w:val="21"/>
              </w:rPr>
            </w:pPr>
          </w:p>
        </w:tc>
        <w:tc>
          <w:tcPr>
            <w:tcW w:w="2216"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8B61D2" w:rsidRPr="008B61D2" w:rsidRDefault="008B61D2" w:rsidP="008B61D2">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（六）基金定期报告，包括基金年度报告、基金半年度报告和基金季度报告</w:t>
            </w:r>
          </w:p>
          <w:p w:rsidR="006365BA" w:rsidRPr="008B61D2" w:rsidRDefault="006365BA" w:rsidP="00E12145">
            <w:pPr>
              <w:spacing w:line="360" w:lineRule="auto"/>
              <w:ind w:firstLineChars="200" w:firstLine="420"/>
              <w:rPr>
                <w:rFonts w:ascii="Times New Roman" w:eastAsia="宋体" w:hAnsi="Times New Roman" w:cs="Times New Roman"/>
                <w:bCs/>
                <w:strike/>
                <w:szCs w:val="21"/>
              </w:rPr>
            </w:pPr>
          </w:p>
        </w:tc>
        <w:tc>
          <w:tcPr>
            <w:tcW w:w="221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8B61D2" w:rsidRPr="008B61D2" w:rsidRDefault="008B61D2" w:rsidP="008B61D2">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（六）基金定期报告，包括基金年度报告、基金半年度报告和基金季度报告</w:t>
            </w:r>
          </w:p>
          <w:p w:rsidR="00077C65" w:rsidRPr="00F000D4" w:rsidRDefault="00077C65"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8B61D2" w:rsidRPr="008B61D2" w:rsidRDefault="008B61D2" w:rsidP="008B61D2">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如报告期内出现单一投资者持有基金份额达到或超过基金总份额</w:t>
            </w:r>
            <w:r w:rsidRPr="008B61D2">
              <w:rPr>
                <w:rFonts w:ascii="Times New Roman" w:eastAsia="宋体" w:hAnsi="Times New Roman" w:cs="Times New Roman" w:hint="eastAsia"/>
                <w:bCs/>
                <w:szCs w:val="21"/>
              </w:rPr>
              <w:t>20%</w:t>
            </w:r>
            <w:r w:rsidRPr="008B61D2">
              <w:rPr>
                <w:rFonts w:ascii="Times New Roman" w:eastAsia="宋体" w:hAnsi="Times New Roman" w:cs="Times New Roman" w:hint="eastAsia"/>
                <w:bCs/>
                <w:szCs w:val="21"/>
              </w:rPr>
              <w:t>的情形，为保障其他投资者的权</w:t>
            </w:r>
            <w:r w:rsidRPr="008B61D2">
              <w:rPr>
                <w:rFonts w:ascii="Times New Roman" w:eastAsia="宋体" w:hAnsi="Times New Roman" w:cs="Times New Roman" w:hint="eastAsia"/>
                <w:bCs/>
                <w:szCs w:val="21"/>
              </w:rPr>
              <w:lastRenderedPageBreak/>
              <w:t>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8B61D2" w:rsidRDefault="008B61D2" w:rsidP="008B61D2">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1A49FD">
        <w:trPr>
          <w:jc w:val="center"/>
        </w:trPr>
        <w:tc>
          <w:tcPr>
            <w:tcW w:w="569" w:type="pct"/>
          </w:tcPr>
          <w:p w:rsidR="006365BA" w:rsidRPr="00A8233D" w:rsidRDefault="006365BA" w:rsidP="00417D25">
            <w:pPr>
              <w:jc w:val="center"/>
            </w:pPr>
            <w:r w:rsidRPr="00E12145">
              <w:rPr>
                <w:rFonts w:hint="eastAsia"/>
                <w:b/>
              </w:rPr>
              <w:lastRenderedPageBreak/>
              <w:t>第十</w:t>
            </w:r>
            <w:r w:rsidR="00986A0B">
              <w:rPr>
                <w:rFonts w:hint="eastAsia"/>
                <w:b/>
              </w:rPr>
              <w:t>七</w:t>
            </w:r>
            <w:r w:rsidRPr="00E12145">
              <w:rPr>
                <w:rFonts w:hint="eastAsia"/>
                <w:b/>
              </w:rPr>
              <w:t>部分</w:t>
            </w:r>
            <w:r w:rsidRPr="00E12145">
              <w:rPr>
                <w:b/>
              </w:rPr>
              <w:t xml:space="preserve">  </w:t>
            </w:r>
            <w:r w:rsidRPr="00E12145">
              <w:rPr>
                <w:rFonts w:hint="eastAsia"/>
                <w:b/>
              </w:rPr>
              <w:t>基金的信息披露</w:t>
            </w:r>
          </w:p>
          <w:p w:rsidR="006365BA" w:rsidRPr="006C7529" w:rsidRDefault="006365BA" w:rsidP="00246DCF">
            <w:pPr>
              <w:spacing w:line="360" w:lineRule="auto"/>
              <w:jc w:val="center"/>
              <w:rPr>
                <w:rFonts w:ascii="Times New Roman" w:hAnsi="Times New Roman" w:cs="Times New Roman"/>
                <w:szCs w:val="21"/>
              </w:rPr>
            </w:pPr>
          </w:p>
        </w:tc>
        <w:tc>
          <w:tcPr>
            <w:tcW w:w="2216" w:type="pct"/>
          </w:tcPr>
          <w:p w:rsidR="001B189B" w:rsidRPr="001B189B" w:rsidRDefault="006365BA" w:rsidP="001B189B">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001B189B" w:rsidRPr="001B189B">
              <w:rPr>
                <w:rFonts w:ascii="Times New Roman" w:eastAsia="宋体" w:hAnsi="Times New Roman" w:cs="Times New Roman" w:hint="eastAsia"/>
                <w:bCs/>
                <w:szCs w:val="21"/>
              </w:rPr>
              <w:t>五、公开披露的基金信息</w:t>
            </w:r>
          </w:p>
          <w:p w:rsidR="006365BA" w:rsidRPr="006C7529"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1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6365BA" w:rsidRPr="00F000D4" w:rsidRDefault="006365BA"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F028E3" w:rsidRDefault="008B61D2" w:rsidP="008B61D2">
            <w:pPr>
              <w:spacing w:line="360" w:lineRule="auto"/>
              <w:ind w:firstLineChars="200" w:firstLine="420"/>
              <w:rPr>
                <w:rFonts w:ascii="Times New Roman" w:hAnsi="Times New Roman" w:cs="Times New Roman"/>
                <w:bCs/>
                <w:szCs w:val="21"/>
              </w:rPr>
            </w:pPr>
            <w:r w:rsidRPr="008B61D2">
              <w:rPr>
                <w:rFonts w:ascii="Times New Roman" w:hAnsi="Times New Roman" w:cs="Times New Roman" w:hint="eastAsia"/>
                <w:bCs/>
                <w:szCs w:val="21"/>
              </w:rPr>
              <w:t>26</w:t>
            </w:r>
            <w:r w:rsidRPr="008B61D2">
              <w:rPr>
                <w:rFonts w:ascii="Times New Roman" w:hAnsi="Times New Roman" w:cs="Times New Roman" w:hint="eastAsia"/>
                <w:bCs/>
                <w:szCs w:val="21"/>
              </w:rPr>
              <w:t>、发生涉及基金申购、赎回事项调整或潜在影响投资者赎回等重大事项时；</w:t>
            </w:r>
          </w:p>
        </w:tc>
      </w:tr>
      <w:tr w:rsidR="00797707" w:rsidRPr="006C7529" w:rsidTr="001A49FD">
        <w:trPr>
          <w:jc w:val="center"/>
        </w:trPr>
        <w:tc>
          <w:tcPr>
            <w:tcW w:w="56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443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0"/>
    </w:tbl>
    <w:p w:rsidR="00360C80" w:rsidRDefault="00360C80">
      <w:pPr>
        <w:widowControl/>
        <w:jc w:val="left"/>
        <w:rPr>
          <w:rFonts w:ascii="Times New Roman" w:eastAsia="宋体" w:hAnsi="Times New Roman" w:cs="Times New Roman"/>
          <w:b/>
          <w:sz w:val="24"/>
          <w:szCs w:val="23"/>
        </w:rPr>
      </w:pPr>
    </w:p>
    <w:p w:rsidR="00F6596F" w:rsidRPr="001230E4" w:rsidRDefault="00F6596F" w:rsidP="00F6596F">
      <w:pPr>
        <w:tabs>
          <w:tab w:val="left" w:pos="1843"/>
        </w:tabs>
        <w:spacing w:beforeLines="50" w:before="156" w:afterLines="50" w:after="156" w:line="305" w:lineRule="auto"/>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bookmarkStart w:id="36" w:name="_GoBack"/>
      <w:bookmarkEnd w:id="36"/>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C1" w:rsidRDefault="00AC79C1" w:rsidP="00863159">
      <w:r>
        <w:separator/>
      </w:r>
    </w:p>
  </w:endnote>
  <w:endnote w:type="continuationSeparator" w:id="0">
    <w:p w:rsidR="00AC79C1" w:rsidRDefault="00AC79C1"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A03FD7" w:rsidRPr="006468E7" w:rsidRDefault="00A03FD7">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Pr="00A03FD7">
          <w:rPr>
            <w:rFonts w:ascii="Times New Roman" w:hAnsi="Times New Roman" w:cs="Times New Roman"/>
            <w:noProof/>
            <w:lang w:val="zh-CN"/>
          </w:rPr>
          <w:t>2</w:t>
        </w:r>
        <w:r w:rsidRPr="006468E7">
          <w:rPr>
            <w:rFonts w:ascii="Times New Roman" w:hAnsi="Times New Roman" w:cs="Times New Roman"/>
          </w:rPr>
          <w:fldChar w:fldCharType="end"/>
        </w:r>
      </w:p>
    </w:sdtContent>
  </w:sdt>
  <w:p w:rsidR="00A03FD7" w:rsidRDefault="00A03FD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A03FD7" w:rsidRPr="00A03FD7">
          <w:rPr>
            <w:rFonts w:ascii="Times New Roman" w:hAnsi="Times New Roman" w:cs="Times New Roman"/>
            <w:noProof/>
            <w:lang w:val="zh-CN"/>
          </w:rPr>
          <w:t>10</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C1" w:rsidRDefault="00AC79C1" w:rsidP="00863159">
      <w:r>
        <w:separator/>
      </w:r>
    </w:p>
  </w:footnote>
  <w:footnote w:type="continuationSeparator" w:id="0">
    <w:p w:rsidR="00AC79C1" w:rsidRDefault="00AC79C1"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ADD"/>
    <w:rsid w:val="00050B6F"/>
    <w:rsid w:val="000577EB"/>
    <w:rsid w:val="00071779"/>
    <w:rsid w:val="00077802"/>
    <w:rsid w:val="00077C65"/>
    <w:rsid w:val="00083EE8"/>
    <w:rsid w:val="000940B4"/>
    <w:rsid w:val="00097FFE"/>
    <w:rsid w:val="000A6E6B"/>
    <w:rsid w:val="000B5107"/>
    <w:rsid w:val="000C1A68"/>
    <w:rsid w:val="000D4406"/>
    <w:rsid w:val="000F3056"/>
    <w:rsid w:val="00100921"/>
    <w:rsid w:val="00102E95"/>
    <w:rsid w:val="00106B4C"/>
    <w:rsid w:val="001230E4"/>
    <w:rsid w:val="00126885"/>
    <w:rsid w:val="00143941"/>
    <w:rsid w:val="00144100"/>
    <w:rsid w:val="00150BD1"/>
    <w:rsid w:val="00171208"/>
    <w:rsid w:val="00177AFE"/>
    <w:rsid w:val="0018446F"/>
    <w:rsid w:val="0019157E"/>
    <w:rsid w:val="001A49FD"/>
    <w:rsid w:val="001A6CAE"/>
    <w:rsid w:val="001B189B"/>
    <w:rsid w:val="001C3CED"/>
    <w:rsid w:val="001D0B44"/>
    <w:rsid w:val="001D6459"/>
    <w:rsid w:val="001E087C"/>
    <w:rsid w:val="001E0EAB"/>
    <w:rsid w:val="001E32F4"/>
    <w:rsid w:val="001F4A5A"/>
    <w:rsid w:val="00202806"/>
    <w:rsid w:val="0021390F"/>
    <w:rsid w:val="0021577A"/>
    <w:rsid w:val="002165A4"/>
    <w:rsid w:val="00226DF3"/>
    <w:rsid w:val="0023134E"/>
    <w:rsid w:val="00243B58"/>
    <w:rsid w:val="0024478E"/>
    <w:rsid w:val="00246199"/>
    <w:rsid w:val="00246DCF"/>
    <w:rsid w:val="00256461"/>
    <w:rsid w:val="0025692E"/>
    <w:rsid w:val="00260B33"/>
    <w:rsid w:val="002615C4"/>
    <w:rsid w:val="00266C04"/>
    <w:rsid w:val="002706B9"/>
    <w:rsid w:val="00273744"/>
    <w:rsid w:val="00281321"/>
    <w:rsid w:val="00295226"/>
    <w:rsid w:val="002B2BEC"/>
    <w:rsid w:val="002C3133"/>
    <w:rsid w:val="002C6457"/>
    <w:rsid w:val="002C7AD1"/>
    <w:rsid w:val="002E0830"/>
    <w:rsid w:val="002E566B"/>
    <w:rsid w:val="002F5712"/>
    <w:rsid w:val="003046E7"/>
    <w:rsid w:val="00307A30"/>
    <w:rsid w:val="0031703B"/>
    <w:rsid w:val="003215C1"/>
    <w:rsid w:val="00321BD5"/>
    <w:rsid w:val="00322B1F"/>
    <w:rsid w:val="00323121"/>
    <w:rsid w:val="003302D7"/>
    <w:rsid w:val="00331747"/>
    <w:rsid w:val="00334BC0"/>
    <w:rsid w:val="00340E65"/>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A4BCD"/>
    <w:rsid w:val="003A543C"/>
    <w:rsid w:val="003A78F7"/>
    <w:rsid w:val="003A7C07"/>
    <w:rsid w:val="003B0BAE"/>
    <w:rsid w:val="003B3377"/>
    <w:rsid w:val="003C0938"/>
    <w:rsid w:val="003D1A90"/>
    <w:rsid w:val="003D6003"/>
    <w:rsid w:val="003F39C1"/>
    <w:rsid w:val="003F6C40"/>
    <w:rsid w:val="004005BE"/>
    <w:rsid w:val="004015DB"/>
    <w:rsid w:val="00402802"/>
    <w:rsid w:val="00411FF0"/>
    <w:rsid w:val="00413907"/>
    <w:rsid w:val="00417D25"/>
    <w:rsid w:val="00427264"/>
    <w:rsid w:val="00430969"/>
    <w:rsid w:val="00441B53"/>
    <w:rsid w:val="0045694B"/>
    <w:rsid w:val="0046735C"/>
    <w:rsid w:val="00491781"/>
    <w:rsid w:val="004937C4"/>
    <w:rsid w:val="004A5F7F"/>
    <w:rsid w:val="004A66BF"/>
    <w:rsid w:val="004B41AC"/>
    <w:rsid w:val="004C259C"/>
    <w:rsid w:val="004C7796"/>
    <w:rsid w:val="004D1E24"/>
    <w:rsid w:val="004E2D62"/>
    <w:rsid w:val="004F2B78"/>
    <w:rsid w:val="004F390D"/>
    <w:rsid w:val="00501169"/>
    <w:rsid w:val="00512CC0"/>
    <w:rsid w:val="00516627"/>
    <w:rsid w:val="00516FCE"/>
    <w:rsid w:val="005174F5"/>
    <w:rsid w:val="00524B95"/>
    <w:rsid w:val="005304F6"/>
    <w:rsid w:val="00536FD2"/>
    <w:rsid w:val="005567D5"/>
    <w:rsid w:val="00560401"/>
    <w:rsid w:val="00565B19"/>
    <w:rsid w:val="0056642B"/>
    <w:rsid w:val="0056732A"/>
    <w:rsid w:val="00577A60"/>
    <w:rsid w:val="0058235F"/>
    <w:rsid w:val="0058296C"/>
    <w:rsid w:val="00582D0D"/>
    <w:rsid w:val="0058737E"/>
    <w:rsid w:val="005A4A49"/>
    <w:rsid w:val="005B022A"/>
    <w:rsid w:val="005B04F1"/>
    <w:rsid w:val="005B13A0"/>
    <w:rsid w:val="005D2D0E"/>
    <w:rsid w:val="005E1C51"/>
    <w:rsid w:val="00614DEE"/>
    <w:rsid w:val="006241CA"/>
    <w:rsid w:val="00625D27"/>
    <w:rsid w:val="006342E8"/>
    <w:rsid w:val="00634453"/>
    <w:rsid w:val="006365BA"/>
    <w:rsid w:val="00641A0E"/>
    <w:rsid w:val="0064373C"/>
    <w:rsid w:val="0064379D"/>
    <w:rsid w:val="006468E7"/>
    <w:rsid w:val="0064745B"/>
    <w:rsid w:val="0066309A"/>
    <w:rsid w:val="00666A1D"/>
    <w:rsid w:val="00666DC3"/>
    <w:rsid w:val="006738CF"/>
    <w:rsid w:val="0067487D"/>
    <w:rsid w:val="00677BF6"/>
    <w:rsid w:val="006853D0"/>
    <w:rsid w:val="006863D4"/>
    <w:rsid w:val="006907E4"/>
    <w:rsid w:val="00695569"/>
    <w:rsid w:val="006A0475"/>
    <w:rsid w:val="006A5DC7"/>
    <w:rsid w:val="006B110E"/>
    <w:rsid w:val="006B7406"/>
    <w:rsid w:val="006B7FC8"/>
    <w:rsid w:val="006C35E3"/>
    <w:rsid w:val="006C6890"/>
    <w:rsid w:val="006D1102"/>
    <w:rsid w:val="006D1F76"/>
    <w:rsid w:val="006D7E29"/>
    <w:rsid w:val="006E11CA"/>
    <w:rsid w:val="006E3CC7"/>
    <w:rsid w:val="006F1BE4"/>
    <w:rsid w:val="00705E9D"/>
    <w:rsid w:val="007157C1"/>
    <w:rsid w:val="00717A95"/>
    <w:rsid w:val="00717FBB"/>
    <w:rsid w:val="0072442B"/>
    <w:rsid w:val="00731DAD"/>
    <w:rsid w:val="007367AB"/>
    <w:rsid w:val="007373BD"/>
    <w:rsid w:val="007544DF"/>
    <w:rsid w:val="00775391"/>
    <w:rsid w:val="00780F91"/>
    <w:rsid w:val="0078167D"/>
    <w:rsid w:val="00781E21"/>
    <w:rsid w:val="00781FE9"/>
    <w:rsid w:val="00783837"/>
    <w:rsid w:val="0078743B"/>
    <w:rsid w:val="00790B01"/>
    <w:rsid w:val="00792030"/>
    <w:rsid w:val="00793D64"/>
    <w:rsid w:val="00797707"/>
    <w:rsid w:val="007A5540"/>
    <w:rsid w:val="007A5A9A"/>
    <w:rsid w:val="007A6FC8"/>
    <w:rsid w:val="007C18F7"/>
    <w:rsid w:val="007C2122"/>
    <w:rsid w:val="007C22FC"/>
    <w:rsid w:val="007D0C7D"/>
    <w:rsid w:val="007D1CB7"/>
    <w:rsid w:val="007D53A4"/>
    <w:rsid w:val="007E097B"/>
    <w:rsid w:val="007E229D"/>
    <w:rsid w:val="007F407E"/>
    <w:rsid w:val="008159E4"/>
    <w:rsid w:val="00832CB5"/>
    <w:rsid w:val="00843360"/>
    <w:rsid w:val="00843CBA"/>
    <w:rsid w:val="008513B8"/>
    <w:rsid w:val="008514E5"/>
    <w:rsid w:val="008531B5"/>
    <w:rsid w:val="0086193E"/>
    <w:rsid w:val="00863159"/>
    <w:rsid w:val="00866770"/>
    <w:rsid w:val="00884D00"/>
    <w:rsid w:val="00887635"/>
    <w:rsid w:val="00890803"/>
    <w:rsid w:val="00892035"/>
    <w:rsid w:val="008B61D2"/>
    <w:rsid w:val="008D7B86"/>
    <w:rsid w:val="008E0C7B"/>
    <w:rsid w:val="008E7AC3"/>
    <w:rsid w:val="00901EB3"/>
    <w:rsid w:val="009040A2"/>
    <w:rsid w:val="00914B9B"/>
    <w:rsid w:val="00926C41"/>
    <w:rsid w:val="00931E52"/>
    <w:rsid w:val="00937B55"/>
    <w:rsid w:val="009421D0"/>
    <w:rsid w:val="0094524B"/>
    <w:rsid w:val="00954C81"/>
    <w:rsid w:val="009554EF"/>
    <w:rsid w:val="00963D5E"/>
    <w:rsid w:val="00964F9A"/>
    <w:rsid w:val="00970C08"/>
    <w:rsid w:val="00976051"/>
    <w:rsid w:val="009806E4"/>
    <w:rsid w:val="00983489"/>
    <w:rsid w:val="00986A0B"/>
    <w:rsid w:val="009B02AC"/>
    <w:rsid w:val="009B11F8"/>
    <w:rsid w:val="009B34D2"/>
    <w:rsid w:val="009C6FF7"/>
    <w:rsid w:val="009C7F26"/>
    <w:rsid w:val="009D31F1"/>
    <w:rsid w:val="009D3FDB"/>
    <w:rsid w:val="009E1618"/>
    <w:rsid w:val="009E2CFD"/>
    <w:rsid w:val="00A00F0E"/>
    <w:rsid w:val="00A0227F"/>
    <w:rsid w:val="00A03FD7"/>
    <w:rsid w:val="00A112B0"/>
    <w:rsid w:val="00A21962"/>
    <w:rsid w:val="00A30ED9"/>
    <w:rsid w:val="00A41323"/>
    <w:rsid w:val="00A4256C"/>
    <w:rsid w:val="00A44A47"/>
    <w:rsid w:val="00A52F87"/>
    <w:rsid w:val="00A55B2C"/>
    <w:rsid w:val="00A610A0"/>
    <w:rsid w:val="00A640A6"/>
    <w:rsid w:val="00A65CA5"/>
    <w:rsid w:val="00A676AC"/>
    <w:rsid w:val="00A7129C"/>
    <w:rsid w:val="00A7612C"/>
    <w:rsid w:val="00A769B1"/>
    <w:rsid w:val="00A8233D"/>
    <w:rsid w:val="00A83765"/>
    <w:rsid w:val="00A85B89"/>
    <w:rsid w:val="00A90805"/>
    <w:rsid w:val="00A91186"/>
    <w:rsid w:val="00A91520"/>
    <w:rsid w:val="00AB36A5"/>
    <w:rsid w:val="00AC1E5E"/>
    <w:rsid w:val="00AC4E2A"/>
    <w:rsid w:val="00AC79C1"/>
    <w:rsid w:val="00AD33B2"/>
    <w:rsid w:val="00AD727C"/>
    <w:rsid w:val="00AE0306"/>
    <w:rsid w:val="00AE6615"/>
    <w:rsid w:val="00AF445C"/>
    <w:rsid w:val="00AF69FD"/>
    <w:rsid w:val="00B35D42"/>
    <w:rsid w:val="00B361D4"/>
    <w:rsid w:val="00B411BC"/>
    <w:rsid w:val="00B418E7"/>
    <w:rsid w:val="00B448A1"/>
    <w:rsid w:val="00B459A0"/>
    <w:rsid w:val="00B51EAD"/>
    <w:rsid w:val="00B64D4F"/>
    <w:rsid w:val="00B674B9"/>
    <w:rsid w:val="00B67C8B"/>
    <w:rsid w:val="00B702B7"/>
    <w:rsid w:val="00B87A79"/>
    <w:rsid w:val="00B91170"/>
    <w:rsid w:val="00B93F00"/>
    <w:rsid w:val="00BA0CAA"/>
    <w:rsid w:val="00BB0F03"/>
    <w:rsid w:val="00BB23E7"/>
    <w:rsid w:val="00BB5DD2"/>
    <w:rsid w:val="00BB79D0"/>
    <w:rsid w:val="00BC2746"/>
    <w:rsid w:val="00BD2166"/>
    <w:rsid w:val="00BE68AA"/>
    <w:rsid w:val="00BF057B"/>
    <w:rsid w:val="00C05825"/>
    <w:rsid w:val="00C073BA"/>
    <w:rsid w:val="00C14FEC"/>
    <w:rsid w:val="00C155FC"/>
    <w:rsid w:val="00C206FB"/>
    <w:rsid w:val="00C27D0C"/>
    <w:rsid w:val="00C3374A"/>
    <w:rsid w:val="00C3630F"/>
    <w:rsid w:val="00C40D0C"/>
    <w:rsid w:val="00C4211F"/>
    <w:rsid w:val="00C52047"/>
    <w:rsid w:val="00C57EC4"/>
    <w:rsid w:val="00C655FA"/>
    <w:rsid w:val="00C73B3C"/>
    <w:rsid w:val="00C80395"/>
    <w:rsid w:val="00C822A1"/>
    <w:rsid w:val="00C85E8D"/>
    <w:rsid w:val="00CA105A"/>
    <w:rsid w:val="00CA3456"/>
    <w:rsid w:val="00CA4368"/>
    <w:rsid w:val="00CA43FF"/>
    <w:rsid w:val="00CD16FA"/>
    <w:rsid w:val="00CD24EF"/>
    <w:rsid w:val="00CE5685"/>
    <w:rsid w:val="00D035B3"/>
    <w:rsid w:val="00D03F12"/>
    <w:rsid w:val="00D04C49"/>
    <w:rsid w:val="00D1154B"/>
    <w:rsid w:val="00D11CF4"/>
    <w:rsid w:val="00D16FA0"/>
    <w:rsid w:val="00D208C2"/>
    <w:rsid w:val="00D23CDB"/>
    <w:rsid w:val="00D2494B"/>
    <w:rsid w:val="00D41EC9"/>
    <w:rsid w:val="00D47417"/>
    <w:rsid w:val="00D67A77"/>
    <w:rsid w:val="00D70F23"/>
    <w:rsid w:val="00D9080D"/>
    <w:rsid w:val="00D9505E"/>
    <w:rsid w:val="00DA6462"/>
    <w:rsid w:val="00DC1818"/>
    <w:rsid w:val="00DD1BA3"/>
    <w:rsid w:val="00DF1809"/>
    <w:rsid w:val="00DF7459"/>
    <w:rsid w:val="00E02701"/>
    <w:rsid w:val="00E12145"/>
    <w:rsid w:val="00E318CB"/>
    <w:rsid w:val="00E31AF6"/>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C4FBF"/>
    <w:rsid w:val="00ED5BF2"/>
    <w:rsid w:val="00EE18BA"/>
    <w:rsid w:val="00EF136D"/>
    <w:rsid w:val="00EF2A7D"/>
    <w:rsid w:val="00EF4035"/>
    <w:rsid w:val="00EF73FC"/>
    <w:rsid w:val="00F000D4"/>
    <w:rsid w:val="00F028E3"/>
    <w:rsid w:val="00F0425A"/>
    <w:rsid w:val="00F0616B"/>
    <w:rsid w:val="00F141C4"/>
    <w:rsid w:val="00F14901"/>
    <w:rsid w:val="00F15BD8"/>
    <w:rsid w:val="00F17488"/>
    <w:rsid w:val="00F20377"/>
    <w:rsid w:val="00F24525"/>
    <w:rsid w:val="00F36651"/>
    <w:rsid w:val="00F414C5"/>
    <w:rsid w:val="00F42A1C"/>
    <w:rsid w:val="00F57693"/>
    <w:rsid w:val="00F57DCA"/>
    <w:rsid w:val="00F6596F"/>
    <w:rsid w:val="00F66A8D"/>
    <w:rsid w:val="00F67CB5"/>
    <w:rsid w:val="00F67E0F"/>
    <w:rsid w:val="00F74070"/>
    <w:rsid w:val="00F763F6"/>
    <w:rsid w:val="00F80563"/>
    <w:rsid w:val="00F806AC"/>
    <w:rsid w:val="00F81483"/>
    <w:rsid w:val="00F84311"/>
    <w:rsid w:val="00FA0D7A"/>
    <w:rsid w:val="00FA6C74"/>
    <w:rsid w:val="00FB05F9"/>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72F216-357A-48EF-A9D4-9056207D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2634-CB66-4869-AACC-2A957DE8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758</Words>
  <Characters>4323</Characters>
  <Application>Microsoft Office Word</Application>
  <DocSecurity>0</DocSecurity>
  <Lines>36</Lines>
  <Paragraphs>10</Paragraphs>
  <ScaleCrop>false</ScaleCrop>
  <Company>Sky123.Org</Company>
  <LinksUpToDate>false</LinksUpToDate>
  <CharactersWithSpaces>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177</cp:revision>
  <dcterms:created xsi:type="dcterms:W3CDTF">2018-01-12T10:20:00Z</dcterms:created>
  <dcterms:modified xsi:type="dcterms:W3CDTF">2018-03-16T07:08:00Z</dcterms:modified>
</cp:coreProperties>
</file>