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proofErr w:type="gramStart"/>
      <w:r w:rsidRPr="005858C2">
        <w:rPr>
          <w:rFonts w:eastAsiaTheme="minorEastAsia"/>
          <w:b/>
          <w:sz w:val="36"/>
          <w:szCs w:val="36"/>
        </w:rPr>
        <w:t>交银施罗德纯债债券</w:t>
      </w:r>
      <w:proofErr w:type="gramEnd"/>
      <w:r w:rsidRPr="005858C2">
        <w:rPr>
          <w:rFonts w:eastAsiaTheme="minorEastAsia"/>
          <w:b/>
          <w:sz w:val="36"/>
          <w:szCs w:val="36"/>
        </w:rPr>
        <w:t>型发起式证券投资基金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二〇一八年一月二十二日</w:t>
      </w:r>
    </w:p>
    <w:p w:rsidR="009238DB" w:rsidRPr="007F52FA" w:rsidRDefault="009238DB" w:rsidP="00BE251D">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w:t>
      </w:r>
      <w:proofErr w:type="gramStart"/>
      <w:r>
        <w:rPr>
          <w:rFonts w:eastAsiaTheme="minorEastAsia"/>
          <w:color w:val="000000"/>
          <w:sz w:val="24"/>
        </w:rPr>
        <w:t>作出</w:t>
      </w:r>
      <w:proofErr w:type="gramEnd"/>
      <w:r>
        <w:rPr>
          <w:rFonts w:eastAsiaTheme="minorEastAsia"/>
          <w:color w:val="000000"/>
          <w:sz w:val="24"/>
        </w:rPr>
        <w:t>投资决策前应仔细阅读本基金的招募说明书。</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w:t>
            </w:r>
            <w:proofErr w:type="gramStart"/>
            <w:r w:rsidRPr="007F52FA">
              <w:rPr>
                <w:color w:val="000000"/>
                <w:kern w:val="0"/>
                <w:sz w:val="24"/>
              </w:rPr>
              <w:t>银纯债</w:t>
            </w:r>
            <w:proofErr w:type="gramEnd"/>
            <w:r w:rsidRPr="007F52FA">
              <w:rPr>
                <w:color w:val="000000"/>
                <w:kern w:val="0"/>
                <w:sz w:val="24"/>
              </w:rPr>
              <w:t>债券发起</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476,524,315.32</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w:t>
            </w:r>
            <w:proofErr w:type="gramStart"/>
            <w:r w:rsidRPr="007F52FA">
              <w:rPr>
                <w:color w:val="000000"/>
                <w:kern w:val="0"/>
                <w:sz w:val="24"/>
              </w:rPr>
              <w:t>为纯债基金</w:t>
            </w:r>
            <w:proofErr w:type="gramEnd"/>
            <w:r w:rsidRPr="007F52FA">
              <w:rPr>
                <w:color w:val="000000"/>
                <w:kern w:val="0"/>
                <w:sz w:val="24"/>
              </w:rPr>
              <w:t>，在严格控制投资风险的基础上，追求稳定的当期收益和基金资产的稳健增值。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w:t>
            </w:r>
            <w:proofErr w:type="gramStart"/>
            <w:r w:rsidRPr="007F52FA">
              <w:rPr>
                <w:color w:val="000000"/>
                <w:kern w:val="0"/>
                <w:sz w:val="24"/>
              </w:rPr>
              <w:t>考量</w:t>
            </w:r>
            <w:proofErr w:type="gramEnd"/>
            <w:r w:rsidRPr="007F52FA">
              <w:rPr>
                <w:color w:val="000000"/>
                <w:kern w:val="0"/>
                <w:sz w:val="24"/>
              </w:rPr>
              <w:t>各类债券的流动性、供求关系和收益率水平等，自下而上地精选个</w:t>
            </w:r>
            <w:proofErr w:type="gramStart"/>
            <w:r w:rsidRPr="007F52FA">
              <w:rPr>
                <w:color w:val="000000"/>
                <w:kern w:val="0"/>
                <w:sz w:val="24"/>
              </w:rPr>
              <w:t>券</w:t>
            </w:r>
            <w:proofErr w:type="gramEnd"/>
            <w:r w:rsidRPr="007F52FA">
              <w:rPr>
                <w:color w:val="000000"/>
                <w:kern w:val="0"/>
                <w:sz w:val="24"/>
              </w:rPr>
              <w:t>。</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w:t>
            </w:r>
            <w:proofErr w:type="gramStart"/>
            <w:r w:rsidRPr="007F52FA">
              <w:rPr>
                <w:color w:val="000000"/>
                <w:kern w:val="0"/>
                <w:sz w:val="24"/>
              </w:rPr>
              <w:t>债综合全价指数</w:t>
            </w:r>
            <w:proofErr w:type="gramEnd"/>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w:t>
            </w:r>
            <w:proofErr w:type="gramStart"/>
            <w:r w:rsidRPr="007F52FA">
              <w:rPr>
                <w:sz w:val="24"/>
              </w:rPr>
              <w:t>银纯债</w:t>
            </w:r>
            <w:proofErr w:type="gramEnd"/>
            <w:r w:rsidRPr="007F52FA">
              <w:rPr>
                <w:sz w:val="24"/>
              </w:rPr>
              <w:t>债券发起</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w:t>
            </w:r>
            <w:proofErr w:type="gramStart"/>
            <w:r w:rsidRPr="007F52FA">
              <w:rPr>
                <w:sz w:val="24"/>
              </w:rPr>
              <w:t>银纯债</w:t>
            </w:r>
            <w:proofErr w:type="gramEnd"/>
            <w:r w:rsidRPr="007F52FA">
              <w:rPr>
                <w:sz w:val="24"/>
              </w:rPr>
              <w:t>债券发起</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519720</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460,255,804.89</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16,268,510.43</w:t>
            </w:r>
            <w:r w:rsidRPr="007F52FA">
              <w:rPr>
                <w:color w:val="000000"/>
                <w:kern w:val="0"/>
                <w:sz w:val="24"/>
              </w:rPr>
              <w:t>份</w:t>
            </w:r>
          </w:p>
        </w:tc>
      </w:tr>
    </w:tbl>
    <w:p w:rsidR="00DC1F3C" w:rsidRDefault="00F53EB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w:t>
            </w:r>
            <w:proofErr w:type="gramStart"/>
            <w:r w:rsidRPr="007F52FA">
              <w:rPr>
                <w:sz w:val="24"/>
              </w:rPr>
              <w:t>银纯债</w:t>
            </w:r>
            <w:proofErr w:type="gramEnd"/>
            <w:r w:rsidRPr="007F52FA">
              <w:rPr>
                <w:sz w:val="24"/>
              </w:rPr>
              <w:t>债券发起</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w:t>
            </w:r>
            <w:proofErr w:type="gramStart"/>
            <w:r w:rsidRPr="007F52FA">
              <w:rPr>
                <w:sz w:val="24"/>
              </w:rPr>
              <w:t>银纯债</w:t>
            </w:r>
            <w:proofErr w:type="gramEnd"/>
            <w:r w:rsidRPr="007F52FA">
              <w:rPr>
                <w:sz w:val="24"/>
              </w:rPr>
              <w:t>债券发起</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2,774,102.47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83,181.58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-2,937,903.97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-124,171.92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-0.0064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-0.0074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461,606,197.76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16,194,968.22</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1.003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0.995</w:t>
            </w:r>
          </w:p>
        </w:tc>
      </w:tr>
    </w:tbl>
    <w:p w:rsidR="00DC1F3C" w:rsidRDefault="00F53EB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proofErr w:type="gramStart"/>
      <w:r>
        <w:rPr>
          <w:rFonts w:eastAsiaTheme="minorEastAsia"/>
          <w:color w:val="000000"/>
          <w:sz w:val="24"/>
        </w:rPr>
        <w:t>类业绩</w:t>
      </w:r>
      <w:proofErr w:type="gramEnd"/>
      <w:r>
        <w:rPr>
          <w:rFonts w:eastAsiaTheme="minorEastAsia"/>
          <w:color w:val="000000"/>
          <w:sz w:val="24"/>
        </w:rPr>
        <w:t>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w:t>
      </w:r>
      <w:proofErr w:type="gramStart"/>
      <w:r w:rsidRPr="007F52FA">
        <w:rPr>
          <w:b/>
          <w:color w:val="000000"/>
          <w:kern w:val="0"/>
          <w:sz w:val="24"/>
        </w:rPr>
        <w:t>期基金</w:t>
      </w:r>
      <w:proofErr w:type="gramEnd"/>
      <w:r w:rsidRPr="007F52FA">
        <w:rPr>
          <w:b/>
          <w:color w:val="000000"/>
          <w:kern w:val="0"/>
          <w:sz w:val="24"/>
        </w:rPr>
        <w:t>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lastRenderedPageBreak/>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C1F3C">
        <w:trPr>
          <w:jc w:val="center"/>
        </w:trPr>
        <w:tc>
          <w:tcPr>
            <w:tcW w:w="1266" w:type="dxa"/>
            <w:vAlign w:val="center"/>
          </w:tcPr>
          <w:p w:rsidR="00DC1F3C" w:rsidRDefault="00F53EBF">
            <w:pPr>
              <w:jc w:val="left"/>
            </w:pPr>
            <w:r>
              <w:rPr>
                <w:color w:val="000000"/>
                <w:sz w:val="24"/>
              </w:rPr>
              <w:t>过去三个月</w:t>
            </w:r>
          </w:p>
        </w:tc>
        <w:tc>
          <w:tcPr>
            <w:tcW w:w="1267" w:type="dxa"/>
            <w:vAlign w:val="center"/>
          </w:tcPr>
          <w:p w:rsidR="00DC1F3C" w:rsidRDefault="00F53EBF">
            <w:pPr>
              <w:jc w:val="center"/>
            </w:pPr>
            <w:r>
              <w:rPr>
                <w:color w:val="000000"/>
                <w:sz w:val="24"/>
              </w:rPr>
              <w:t>-0.59%</w:t>
            </w:r>
          </w:p>
        </w:tc>
        <w:tc>
          <w:tcPr>
            <w:tcW w:w="1267" w:type="dxa"/>
            <w:vAlign w:val="center"/>
          </w:tcPr>
          <w:p w:rsidR="00DC1F3C" w:rsidRDefault="00F53EBF">
            <w:pPr>
              <w:jc w:val="center"/>
            </w:pPr>
            <w:r>
              <w:rPr>
                <w:color w:val="000000"/>
                <w:sz w:val="24"/>
              </w:rPr>
              <w:t>0.05%</w:t>
            </w:r>
          </w:p>
        </w:tc>
        <w:tc>
          <w:tcPr>
            <w:tcW w:w="1267" w:type="dxa"/>
            <w:vAlign w:val="center"/>
          </w:tcPr>
          <w:p w:rsidR="00DC1F3C" w:rsidRDefault="00F53EBF">
            <w:pPr>
              <w:jc w:val="center"/>
            </w:pPr>
            <w:r>
              <w:rPr>
                <w:color w:val="000000"/>
                <w:sz w:val="24"/>
              </w:rPr>
              <w:t>-1.15%</w:t>
            </w:r>
          </w:p>
        </w:tc>
        <w:tc>
          <w:tcPr>
            <w:tcW w:w="1267" w:type="dxa"/>
            <w:vAlign w:val="center"/>
          </w:tcPr>
          <w:p w:rsidR="00DC1F3C" w:rsidRDefault="00F53EBF">
            <w:pPr>
              <w:jc w:val="center"/>
            </w:pPr>
            <w:r>
              <w:rPr>
                <w:color w:val="000000"/>
                <w:sz w:val="24"/>
              </w:rPr>
              <w:t>0.06%</w:t>
            </w:r>
          </w:p>
        </w:tc>
        <w:tc>
          <w:tcPr>
            <w:tcW w:w="1267" w:type="dxa"/>
            <w:vAlign w:val="center"/>
          </w:tcPr>
          <w:p w:rsidR="00DC1F3C" w:rsidRDefault="00F53EBF">
            <w:pPr>
              <w:jc w:val="center"/>
            </w:pPr>
            <w:r>
              <w:rPr>
                <w:color w:val="000000"/>
                <w:sz w:val="24"/>
              </w:rPr>
              <w:t>0.56%</w:t>
            </w:r>
          </w:p>
        </w:tc>
        <w:tc>
          <w:tcPr>
            <w:tcW w:w="1267" w:type="dxa"/>
            <w:vAlign w:val="center"/>
          </w:tcPr>
          <w:p w:rsidR="00DC1F3C" w:rsidRDefault="00F53EBF">
            <w:pPr>
              <w:jc w:val="center"/>
            </w:pPr>
            <w:r>
              <w:rPr>
                <w:color w:val="000000"/>
                <w:sz w:val="24"/>
              </w:rPr>
              <w:t>-0.01%</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C1F3C">
        <w:trPr>
          <w:jc w:val="center"/>
        </w:trPr>
        <w:tc>
          <w:tcPr>
            <w:tcW w:w="1266" w:type="dxa"/>
            <w:vAlign w:val="center"/>
          </w:tcPr>
          <w:p w:rsidR="00DC1F3C" w:rsidRDefault="00F53EBF">
            <w:pPr>
              <w:jc w:val="left"/>
            </w:pPr>
            <w:r>
              <w:rPr>
                <w:color w:val="000000"/>
                <w:sz w:val="24"/>
              </w:rPr>
              <w:t>过去三个月</w:t>
            </w:r>
          </w:p>
        </w:tc>
        <w:tc>
          <w:tcPr>
            <w:tcW w:w="1267" w:type="dxa"/>
            <w:vAlign w:val="center"/>
          </w:tcPr>
          <w:p w:rsidR="00DC1F3C" w:rsidRDefault="00F53EBF">
            <w:pPr>
              <w:jc w:val="center"/>
            </w:pPr>
            <w:r>
              <w:rPr>
                <w:color w:val="000000"/>
                <w:sz w:val="24"/>
              </w:rPr>
              <w:t>-0.80%</w:t>
            </w:r>
          </w:p>
        </w:tc>
        <w:tc>
          <w:tcPr>
            <w:tcW w:w="1267" w:type="dxa"/>
            <w:vAlign w:val="center"/>
          </w:tcPr>
          <w:p w:rsidR="00DC1F3C" w:rsidRDefault="00F53EBF">
            <w:pPr>
              <w:jc w:val="center"/>
            </w:pPr>
            <w:r>
              <w:rPr>
                <w:color w:val="000000"/>
                <w:sz w:val="24"/>
              </w:rPr>
              <w:t>0.05%</w:t>
            </w:r>
          </w:p>
        </w:tc>
        <w:tc>
          <w:tcPr>
            <w:tcW w:w="1267" w:type="dxa"/>
            <w:vAlign w:val="center"/>
          </w:tcPr>
          <w:p w:rsidR="00DC1F3C" w:rsidRDefault="00F53EBF">
            <w:pPr>
              <w:jc w:val="center"/>
            </w:pPr>
            <w:r>
              <w:rPr>
                <w:color w:val="000000"/>
                <w:sz w:val="24"/>
              </w:rPr>
              <w:t>-1.15%</w:t>
            </w:r>
          </w:p>
        </w:tc>
        <w:tc>
          <w:tcPr>
            <w:tcW w:w="1267" w:type="dxa"/>
            <w:vAlign w:val="center"/>
          </w:tcPr>
          <w:p w:rsidR="00DC1F3C" w:rsidRDefault="00F53EBF">
            <w:pPr>
              <w:jc w:val="center"/>
            </w:pPr>
            <w:r>
              <w:rPr>
                <w:color w:val="000000"/>
                <w:sz w:val="24"/>
              </w:rPr>
              <w:t>0.06%</w:t>
            </w:r>
          </w:p>
        </w:tc>
        <w:tc>
          <w:tcPr>
            <w:tcW w:w="1267" w:type="dxa"/>
            <w:vAlign w:val="center"/>
          </w:tcPr>
          <w:p w:rsidR="00DC1F3C" w:rsidRDefault="00F53EBF">
            <w:pPr>
              <w:jc w:val="center"/>
            </w:pPr>
            <w:r>
              <w:rPr>
                <w:color w:val="000000"/>
                <w:sz w:val="24"/>
              </w:rPr>
              <w:t>0.35%</w:t>
            </w:r>
          </w:p>
        </w:tc>
        <w:tc>
          <w:tcPr>
            <w:tcW w:w="1267" w:type="dxa"/>
            <w:vAlign w:val="center"/>
          </w:tcPr>
          <w:p w:rsidR="00DC1F3C" w:rsidRDefault="00F53EBF">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rsidR="00807B81" w:rsidRPr="007F52FA" w:rsidRDefault="00E013E3" w:rsidP="007C14DF">
      <w:pPr>
        <w:pStyle w:val="20"/>
        <w:spacing w:before="29" w:line="288" w:lineRule="auto"/>
        <w:ind w:firstLineChars="0" w:firstLine="0"/>
        <w:jc w:val="center"/>
        <w:rPr>
          <w:rFonts w:ascii="Times New Roman" w:eastAsiaTheme="minorEastAsia" w:hAnsi="Times New Roman"/>
          <w:color w:val="000000"/>
        </w:rPr>
      </w:pPr>
      <w:r>
        <w:rPr>
          <w:noProof/>
        </w:rPr>
        <w:drawing>
          <wp:inline distT="0" distB="0" distL="0" distR="0" wp14:anchorId="6A006338" wp14:editId="2BEB497D">
            <wp:extent cx="5274310" cy="3083982"/>
            <wp:effectExtent l="0" t="0" r="2540" b="2540"/>
            <wp:docPr id="7" name="图片 7"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74310" cy="3083982"/>
                    </a:xfrm>
                    <a:prstGeom prst="rect">
                      <a:avLst/>
                    </a:prstGeom>
                    <a:noFill/>
                    <a:ln>
                      <a:noFill/>
                    </a:ln>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交银纯债债券发起</w:t>
      </w:r>
      <w:r w:rsidR="00FE7FBD" w:rsidRPr="007F52FA">
        <w:rPr>
          <w:color w:val="000000"/>
          <w:sz w:val="24"/>
        </w:rPr>
        <w:t>C</w:t>
      </w:r>
    </w:p>
    <w:p w:rsidR="00D12D04" w:rsidRPr="007F52FA" w:rsidRDefault="00E013E3" w:rsidP="007C14DF">
      <w:pPr>
        <w:pStyle w:val="20"/>
        <w:spacing w:before="29" w:line="288" w:lineRule="auto"/>
        <w:ind w:firstLineChars="0" w:firstLine="0"/>
        <w:jc w:val="center"/>
        <w:rPr>
          <w:rFonts w:ascii="Times New Roman" w:eastAsiaTheme="minorEastAsia" w:hAnsi="Times New Roman"/>
          <w:color w:val="000000"/>
        </w:rPr>
      </w:pPr>
      <w:r>
        <w:rPr>
          <w:noProof/>
        </w:rPr>
        <w:drawing>
          <wp:inline distT="0" distB="0" distL="0" distR="0" wp14:anchorId="4764A011" wp14:editId="7A5D894F">
            <wp:extent cx="5274310" cy="3083982"/>
            <wp:effectExtent l="0" t="0" r="2540" b="2540"/>
            <wp:docPr id="8" name="图片 8"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2.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274310" cy="3083982"/>
                    </a:xfrm>
                    <a:prstGeom prst="rect">
                      <a:avLst/>
                    </a:prstGeom>
                    <a:noFill/>
                    <a:ln>
                      <a:noFill/>
                    </a:ln>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DC1F3C">
        <w:trPr>
          <w:jc w:val="center"/>
        </w:trPr>
        <w:tc>
          <w:tcPr>
            <w:tcW w:w="946" w:type="dxa"/>
            <w:vAlign w:val="center"/>
          </w:tcPr>
          <w:p w:rsidR="00DC1F3C" w:rsidRDefault="00F53EBF">
            <w:pPr>
              <w:jc w:val="center"/>
            </w:pPr>
            <w:r>
              <w:rPr>
                <w:color w:val="000000"/>
                <w:sz w:val="24"/>
              </w:rPr>
              <w:t>于海颖</w:t>
            </w:r>
          </w:p>
        </w:tc>
        <w:tc>
          <w:tcPr>
            <w:tcW w:w="924" w:type="dxa"/>
            <w:vAlign w:val="center"/>
          </w:tcPr>
          <w:p w:rsidR="00DC1F3C" w:rsidRDefault="00F53EBF">
            <w:pPr>
              <w:jc w:val="center"/>
            </w:pPr>
            <w:r>
              <w:rPr>
                <w:color w:val="000000"/>
                <w:sz w:val="24"/>
              </w:rPr>
              <w:t>交银增利债券、交银纯债债券发起、交银荣祥保本混合、</w:t>
            </w:r>
            <w:r>
              <w:rPr>
                <w:color w:val="000000"/>
                <w:sz w:val="24"/>
              </w:rPr>
              <w:lastRenderedPageBreak/>
              <w:t>交银定期支付月月丰债券、交银增强收益债券、交银强化回报债券、交银丰盈收益债券、交银丰硕收益债券、交银荣鑫保本混合、交银增利增强债券的基金经理，公司固定收益（公募）投资总监</w:t>
            </w:r>
          </w:p>
        </w:tc>
        <w:tc>
          <w:tcPr>
            <w:tcW w:w="1202" w:type="dxa"/>
            <w:vAlign w:val="center"/>
          </w:tcPr>
          <w:p w:rsidR="00DC1F3C" w:rsidRDefault="00F53EBF">
            <w:pPr>
              <w:jc w:val="center"/>
            </w:pPr>
            <w:r>
              <w:rPr>
                <w:color w:val="000000"/>
                <w:sz w:val="24"/>
              </w:rPr>
              <w:lastRenderedPageBreak/>
              <w:t>2017-06-10</w:t>
            </w:r>
          </w:p>
        </w:tc>
        <w:tc>
          <w:tcPr>
            <w:tcW w:w="1300" w:type="dxa"/>
            <w:vAlign w:val="center"/>
          </w:tcPr>
          <w:p w:rsidR="00DC1F3C" w:rsidRDefault="00F53EBF">
            <w:pPr>
              <w:jc w:val="center"/>
            </w:pPr>
            <w:r>
              <w:rPr>
                <w:color w:val="000000"/>
                <w:sz w:val="24"/>
              </w:rPr>
              <w:t>-</w:t>
            </w:r>
          </w:p>
        </w:tc>
        <w:tc>
          <w:tcPr>
            <w:tcW w:w="1245" w:type="dxa"/>
            <w:vAlign w:val="center"/>
          </w:tcPr>
          <w:p w:rsidR="00DC1F3C" w:rsidRDefault="00F53EBF">
            <w:pPr>
              <w:jc w:val="center"/>
            </w:pPr>
            <w:r>
              <w:rPr>
                <w:color w:val="000000"/>
                <w:sz w:val="24"/>
              </w:rPr>
              <w:t>11</w:t>
            </w:r>
            <w:r>
              <w:rPr>
                <w:color w:val="000000"/>
                <w:sz w:val="24"/>
              </w:rPr>
              <w:t>年</w:t>
            </w:r>
          </w:p>
        </w:tc>
        <w:tc>
          <w:tcPr>
            <w:tcW w:w="3251" w:type="dxa"/>
            <w:vAlign w:val="center"/>
          </w:tcPr>
          <w:p w:rsidR="00DC1F3C" w:rsidRDefault="00F53EBF">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w:t>
            </w:r>
            <w:r>
              <w:rPr>
                <w:color w:val="000000"/>
                <w:sz w:val="24"/>
              </w:rPr>
              <w:lastRenderedPageBreak/>
              <w:t>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lastRenderedPageBreak/>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DC1F3C" w:rsidRDefault="00F53EB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C1F3C" w:rsidRDefault="00F53EB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C1F3C" w:rsidRDefault="00F53EB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DC1F3C" w:rsidRDefault="00F53EBF">
      <w:pPr>
        <w:spacing w:before="29" w:line="288" w:lineRule="auto"/>
        <w:ind w:firstLineChars="200" w:firstLine="480"/>
        <w:rPr>
          <w:color w:val="000000"/>
          <w:sz w:val="24"/>
        </w:rPr>
      </w:pPr>
      <w:r>
        <w:rPr>
          <w:color w:val="000000"/>
          <w:sz w:val="24"/>
        </w:rPr>
        <w:t>四季度以来债券市场经历了大幅度的调整，债券收益率大幅上行后维持高位震荡。十月初在市场对于经济增长韧性形成强烈预期，资金面紧张，金融数据超预期，海外美债持续上行的背景下，国内债券市场收益率稳步走高。十月下旬开始，市场趋向谨慎，资管新规征求意见稿发布后，债券收益率冲高到年内高点。十一月底以来随着十年期国开债停发和基本面数据走弱，债券收益率维持高位震荡。</w:t>
      </w:r>
    </w:p>
    <w:p w:rsidR="00DC1F3C" w:rsidRDefault="00F53EBF">
      <w:pPr>
        <w:spacing w:before="29" w:line="288" w:lineRule="auto"/>
        <w:ind w:firstLineChars="200" w:firstLine="480"/>
        <w:rPr>
          <w:color w:val="000000"/>
          <w:sz w:val="24"/>
        </w:rPr>
      </w:pPr>
      <w:r>
        <w:rPr>
          <w:color w:val="000000"/>
          <w:sz w:val="24"/>
        </w:rPr>
        <w:t>报告期内，组合的债券配置维持中性久期，并择机进行了长久期债券的波段操作，增强组合收益。</w:t>
      </w:r>
    </w:p>
    <w:p w:rsidR="00DC1F3C" w:rsidRDefault="00F53EBF">
      <w:pPr>
        <w:spacing w:before="29" w:line="288" w:lineRule="auto"/>
        <w:ind w:firstLineChars="200" w:firstLine="480"/>
        <w:rPr>
          <w:color w:val="000000"/>
          <w:sz w:val="24"/>
        </w:rPr>
      </w:pPr>
      <w:r>
        <w:rPr>
          <w:color w:val="000000"/>
          <w:sz w:val="24"/>
        </w:rPr>
        <w:t>展望</w:t>
      </w:r>
      <w:r>
        <w:rPr>
          <w:color w:val="000000"/>
          <w:sz w:val="24"/>
        </w:rPr>
        <w:t>2018</w:t>
      </w:r>
      <w:r>
        <w:rPr>
          <w:color w:val="000000"/>
          <w:sz w:val="24"/>
        </w:rPr>
        <w:t>年，房地产、基建和出口均显出一定的疲态，预计将带动经济增速逐步</w:t>
      </w:r>
      <w:r>
        <w:rPr>
          <w:color w:val="000000"/>
          <w:sz w:val="24"/>
        </w:rPr>
        <w:lastRenderedPageBreak/>
        <w:t>下行，对债市形成一定支撑，而收益率上行到高位之后具有一定的配置价值。但一季度经济数据真空期和通胀一季度回升压力较大，监管政策落地的力度和节奏以及金融机构的应对行为不甚明朗，超储率低位及银行流动性监管指标强化将导致资金利率波动加大等负面因素仍然存在，债券市场短期内预计较难有资本利得机会。</w:t>
      </w:r>
    </w:p>
    <w:p w:rsidR="00952A72" w:rsidRPr="007F52FA" w:rsidRDefault="00323F25" w:rsidP="007C14DF">
      <w:pPr>
        <w:spacing w:before="29" w:line="288" w:lineRule="auto"/>
        <w:ind w:firstLineChars="200" w:firstLine="480"/>
        <w:rPr>
          <w:color w:val="000000"/>
          <w:sz w:val="24"/>
        </w:rPr>
      </w:pPr>
      <w:r w:rsidRPr="007F52FA">
        <w:rPr>
          <w:color w:val="000000"/>
          <w:sz w:val="24"/>
        </w:rPr>
        <w:t>信用债方面，</w:t>
      </w:r>
      <w:r w:rsidRPr="007F52FA">
        <w:rPr>
          <w:color w:val="000000"/>
          <w:sz w:val="24"/>
        </w:rPr>
        <w:t>2017</w:t>
      </w:r>
      <w:r w:rsidRPr="007F52FA">
        <w:rPr>
          <w:color w:val="000000"/>
          <w:sz w:val="24"/>
        </w:rPr>
        <w:t>年以来信用利差有所走阔，信用债投资模式的改变是否会导致信用利差中枢抬高值得关注。此外，低等级信用债利差未能充分反映未来的信用风险，我们将一如既往地规避中低评级信用债，精选信用个券，配置中等久期的信用底仓组合，并择机谨慎进行利率债的波段操作。</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1.003</w:t>
      </w:r>
      <w:r w:rsidRPr="007F52FA">
        <w:rPr>
          <w:color w:val="000000"/>
          <w:sz w:val="24"/>
        </w:rPr>
        <w:t>元，本报告期份额净值增长率为</w:t>
      </w:r>
      <w:r w:rsidRPr="007F52FA">
        <w:rPr>
          <w:color w:val="000000"/>
          <w:sz w:val="24"/>
        </w:rPr>
        <w:t>-0.59%</w:t>
      </w:r>
      <w:r w:rsidRPr="007F52FA">
        <w:rPr>
          <w:color w:val="000000"/>
          <w:sz w:val="24"/>
        </w:rPr>
        <w:t>，同期业绩比较基准增长率为</w:t>
      </w:r>
      <w:r w:rsidRPr="007F52FA">
        <w:rPr>
          <w:color w:val="000000"/>
          <w:sz w:val="24"/>
        </w:rPr>
        <w:t>-1.15%</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0.995</w:t>
      </w:r>
      <w:r w:rsidRPr="007F52FA">
        <w:rPr>
          <w:color w:val="000000"/>
          <w:sz w:val="24"/>
        </w:rPr>
        <w:t>元，本报告期份额净值增长率为</w:t>
      </w:r>
      <w:r w:rsidRPr="007F52FA">
        <w:rPr>
          <w:color w:val="000000"/>
          <w:sz w:val="24"/>
        </w:rPr>
        <w:t>-0.80%</w:t>
      </w:r>
      <w:r w:rsidRPr="007F52FA">
        <w:rPr>
          <w:color w:val="000000"/>
          <w:sz w:val="24"/>
        </w:rPr>
        <w:t>，同期业绩比较基准增长率为</w:t>
      </w:r>
      <w:r w:rsidRPr="007F52FA">
        <w:rPr>
          <w:color w:val="000000"/>
          <w:sz w:val="24"/>
        </w:rPr>
        <w:t>-1.15%</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BE251D">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558,236,069.00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93.08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547,236,069.00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91.25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11,000,000.00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1.83</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7,833,939.92</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1.31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lastRenderedPageBreak/>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33,658,093.23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5.61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599,728,102.15</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71,722,200.00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15.01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71,722,200.00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15.01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180,563,869.00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37.79</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30,129,000.00</w:t>
            </w:r>
          </w:p>
        </w:tc>
        <w:tc>
          <w:tcPr>
            <w:tcW w:w="1616" w:type="dxa"/>
            <w:vAlign w:val="center"/>
          </w:tcPr>
          <w:p w:rsidR="00296E4A" w:rsidRPr="007F52FA" w:rsidRDefault="00232C07" w:rsidP="007C14DF">
            <w:pPr>
              <w:spacing w:before="29" w:line="288" w:lineRule="auto"/>
              <w:ind w:left="17"/>
              <w:jc w:val="right"/>
              <w:rPr>
                <w:color w:val="000000"/>
                <w:sz w:val="24"/>
              </w:rPr>
            </w:pPr>
            <w:r>
              <w:rPr>
                <w:color w:val="000000"/>
                <w:sz w:val="24"/>
              </w:rPr>
              <w:t>6.31</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206,561,000.00</w:t>
            </w:r>
          </w:p>
        </w:tc>
        <w:tc>
          <w:tcPr>
            <w:tcW w:w="1616" w:type="dxa"/>
            <w:vAlign w:val="center"/>
          </w:tcPr>
          <w:p w:rsidR="00686943" w:rsidRPr="007F52FA" w:rsidRDefault="007F6B80" w:rsidP="007C14DF">
            <w:pPr>
              <w:spacing w:before="29" w:line="288" w:lineRule="auto"/>
              <w:ind w:left="17"/>
              <w:jc w:val="right"/>
              <w:rPr>
                <w:color w:val="000000"/>
                <w:sz w:val="24"/>
              </w:rPr>
            </w:pPr>
            <w:r>
              <w:rPr>
                <w:rFonts w:hint="eastAsia"/>
                <w:color w:val="000000"/>
                <w:sz w:val="24"/>
              </w:rPr>
              <w:t>4</w:t>
            </w:r>
            <w:r>
              <w:rPr>
                <w:color w:val="000000"/>
                <w:sz w:val="24"/>
              </w:rPr>
              <w:t>3.</w:t>
            </w:r>
            <w:bookmarkStart w:id="0" w:name="_GoBack"/>
            <w:bookmarkEnd w:id="0"/>
            <w:r>
              <w:rPr>
                <w:color w:val="000000"/>
                <w:sz w:val="24"/>
              </w:rPr>
              <w:t>23</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58,260,000.00</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12.19</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547,236,069.00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114.53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DC1F3C">
        <w:trPr>
          <w:jc w:val="center"/>
        </w:trPr>
        <w:tc>
          <w:tcPr>
            <w:tcW w:w="1075" w:type="dxa"/>
            <w:vAlign w:val="center"/>
          </w:tcPr>
          <w:p w:rsidR="00DC1F3C" w:rsidRDefault="00F53EBF">
            <w:pPr>
              <w:jc w:val="center"/>
            </w:pPr>
            <w:r>
              <w:rPr>
                <w:color w:val="000000"/>
                <w:sz w:val="24"/>
              </w:rPr>
              <w:t>1</w:t>
            </w:r>
          </w:p>
        </w:tc>
        <w:tc>
          <w:tcPr>
            <w:tcW w:w="1533" w:type="dxa"/>
            <w:vAlign w:val="center"/>
          </w:tcPr>
          <w:p w:rsidR="00DC1F3C" w:rsidRDefault="00F53EBF">
            <w:pPr>
              <w:jc w:val="center"/>
            </w:pPr>
            <w:r>
              <w:rPr>
                <w:color w:val="000000"/>
                <w:sz w:val="24"/>
              </w:rPr>
              <w:t>111712274</w:t>
            </w:r>
          </w:p>
        </w:tc>
        <w:tc>
          <w:tcPr>
            <w:tcW w:w="1533" w:type="dxa"/>
            <w:vAlign w:val="center"/>
          </w:tcPr>
          <w:p w:rsidR="00DC1F3C" w:rsidRDefault="00F53EBF">
            <w:pPr>
              <w:jc w:val="center"/>
            </w:pPr>
            <w:r>
              <w:rPr>
                <w:color w:val="000000"/>
                <w:sz w:val="24"/>
              </w:rPr>
              <w:t>17</w:t>
            </w:r>
            <w:r>
              <w:rPr>
                <w:color w:val="000000"/>
                <w:sz w:val="24"/>
              </w:rPr>
              <w:t>北京银行</w:t>
            </w:r>
            <w:r>
              <w:rPr>
                <w:color w:val="000000"/>
                <w:sz w:val="24"/>
              </w:rPr>
              <w:t>CD274</w:t>
            </w:r>
          </w:p>
        </w:tc>
        <w:tc>
          <w:tcPr>
            <w:tcW w:w="1394" w:type="dxa"/>
            <w:vAlign w:val="center"/>
          </w:tcPr>
          <w:p w:rsidR="00DC1F3C" w:rsidRDefault="00F53EBF">
            <w:pPr>
              <w:jc w:val="right"/>
            </w:pPr>
            <w:r>
              <w:rPr>
                <w:color w:val="000000"/>
                <w:sz w:val="24"/>
              </w:rPr>
              <w:t>500,000</w:t>
            </w:r>
          </w:p>
        </w:tc>
        <w:tc>
          <w:tcPr>
            <w:tcW w:w="1944" w:type="dxa"/>
            <w:vAlign w:val="center"/>
          </w:tcPr>
          <w:p w:rsidR="00DC1F3C" w:rsidRDefault="00F53EBF">
            <w:pPr>
              <w:jc w:val="right"/>
            </w:pPr>
            <w:r>
              <w:rPr>
                <w:color w:val="000000"/>
                <w:sz w:val="24"/>
              </w:rPr>
              <w:t>48,760,000.00</w:t>
            </w:r>
          </w:p>
        </w:tc>
        <w:tc>
          <w:tcPr>
            <w:tcW w:w="1389" w:type="dxa"/>
            <w:vAlign w:val="center"/>
          </w:tcPr>
          <w:p w:rsidR="00DC1F3C" w:rsidRDefault="00F53EBF">
            <w:pPr>
              <w:jc w:val="right"/>
            </w:pPr>
            <w:r>
              <w:rPr>
                <w:color w:val="000000"/>
                <w:sz w:val="24"/>
              </w:rPr>
              <w:t>10.21</w:t>
            </w:r>
          </w:p>
        </w:tc>
      </w:tr>
      <w:tr w:rsidR="00DC1F3C">
        <w:trPr>
          <w:jc w:val="center"/>
        </w:trPr>
        <w:tc>
          <w:tcPr>
            <w:tcW w:w="1075" w:type="dxa"/>
            <w:vAlign w:val="center"/>
          </w:tcPr>
          <w:p w:rsidR="00DC1F3C" w:rsidRDefault="00F53EBF">
            <w:pPr>
              <w:jc w:val="center"/>
            </w:pPr>
            <w:r>
              <w:rPr>
                <w:color w:val="000000"/>
                <w:sz w:val="24"/>
              </w:rPr>
              <w:t>2</w:t>
            </w:r>
          </w:p>
        </w:tc>
        <w:tc>
          <w:tcPr>
            <w:tcW w:w="1533" w:type="dxa"/>
            <w:vAlign w:val="center"/>
          </w:tcPr>
          <w:p w:rsidR="00DC1F3C" w:rsidRDefault="00F53EBF">
            <w:pPr>
              <w:jc w:val="center"/>
            </w:pPr>
            <w:r>
              <w:rPr>
                <w:color w:val="000000"/>
                <w:sz w:val="24"/>
              </w:rPr>
              <w:t>170215</w:t>
            </w:r>
          </w:p>
        </w:tc>
        <w:tc>
          <w:tcPr>
            <w:tcW w:w="1533" w:type="dxa"/>
            <w:vAlign w:val="center"/>
          </w:tcPr>
          <w:p w:rsidR="00DC1F3C" w:rsidRDefault="00F53EBF">
            <w:pPr>
              <w:jc w:val="center"/>
            </w:pPr>
            <w:r>
              <w:rPr>
                <w:color w:val="000000"/>
                <w:sz w:val="24"/>
              </w:rPr>
              <w:t>17</w:t>
            </w:r>
            <w:r>
              <w:rPr>
                <w:color w:val="000000"/>
                <w:sz w:val="24"/>
              </w:rPr>
              <w:t>国开</w:t>
            </w:r>
            <w:r>
              <w:rPr>
                <w:color w:val="000000"/>
                <w:sz w:val="24"/>
              </w:rPr>
              <w:t>15</w:t>
            </w:r>
          </w:p>
        </w:tc>
        <w:tc>
          <w:tcPr>
            <w:tcW w:w="1394" w:type="dxa"/>
            <w:vAlign w:val="center"/>
          </w:tcPr>
          <w:p w:rsidR="00DC1F3C" w:rsidRDefault="00F53EBF">
            <w:pPr>
              <w:jc w:val="right"/>
            </w:pPr>
            <w:r>
              <w:rPr>
                <w:color w:val="000000"/>
                <w:sz w:val="24"/>
              </w:rPr>
              <w:t>500,000</w:t>
            </w:r>
          </w:p>
        </w:tc>
        <w:tc>
          <w:tcPr>
            <w:tcW w:w="1944" w:type="dxa"/>
            <w:vAlign w:val="center"/>
          </w:tcPr>
          <w:p w:rsidR="00DC1F3C" w:rsidRDefault="00F53EBF">
            <w:pPr>
              <w:jc w:val="right"/>
            </w:pPr>
            <w:r>
              <w:rPr>
                <w:color w:val="000000"/>
                <w:sz w:val="24"/>
              </w:rPr>
              <w:t>47,775,000.00</w:t>
            </w:r>
          </w:p>
        </w:tc>
        <w:tc>
          <w:tcPr>
            <w:tcW w:w="1389" w:type="dxa"/>
            <w:vAlign w:val="center"/>
          </w:tcPr>
          <w:p w:rsidR="00DC1F3C" w:rsidRDefault="00F53EBF">
            <w:pPr>
              <w:jc w:val="right"/>
            </w:pPr>
            <w:r>
              <w:rPr>
                <w:color w:val="000000"/>
                <w:sz w:val="24"/>
              </w:rPr>
              <w:t>10.00</w:t>
            </w:r>
          </w:p>
        </w:tc>
      </w:tr>
      <w:tr w:rsidR="00DC1F3C">
        <w:trPr>
          <w:jc w:val="center"/>
        </w:trPr>
        <w:tc>
          <w:tcPr>
            <w:tcW w:w="1075" w:type="dxa"/>
            <w:vAlign w:val="center"/>
          </w:tcPr>
          <w:p w:rsidR="00DC1F3C" w:rsidRDefault="00F53EBF">
            <w:pPr>
              <w:jc w:val="center"/>
            </w:pPr>
            <w:r>
              <w:rPr>
                <w:color w:val="000000"/>
                <w:sz w:val="24"/>
              </w:rPr>
              <w:lastRenderedPageBreak/>
              <w:t>3</w:t>
            </w:r>
          </w:p>
        </w:tc>
        <w:tc>
          <w:tcPr>
            <w:tcW w:w="1533" w:type="dxa"/>
            <w:vAlign w:val="center"/>
          </w:tcPr>
          <w:p w:rsidR="00DC1F3C" w:rsidRDefault="00F53EBF">
            <w:pPr>
              <w:jc w:val="center"/>
            </w:pPr>
            <w:r>
              <w:rPr>
                <w:color w:val="000000"/>
                <w:sz w:val="24"/>
              </w:rPr>
              <w:t>124602</w:t>
            </w:r>
          </w:p>
        </w:tc>
        <w:tc>
          <w:tcPr>
            <w:tcW w:w="1533" w:type="dxa"/>
            <w:vAlign w:val="center"/>
          </w:tcPr>
          <w:p w:rsidR="00DC1F3C" w:rsidRDefault="00F53EBF">
            <w:pPr>
              <w:jc w:val="center"/>
            </w:pPr>
            <w:r>
              <w:rPr>
                <w:color w:val="000000"/>
                <w:sz w:val="24"/>
              </w:rPr>
              <w:t>14</w:t>
            </w:r>
            <w:r>
              <w:rPr>
                <w:color w:val="000000"/>
                <w:sz w:val="24"/>
              </w:rPr>
              <w:t>国网</w:t>
            </w:r>
            <w:r>
              <w:rPr>
                <w:color w:val="000000"/>
                <w:sz w:val="24"/>
              </w:rPr>
              <w:t>01</w:t>
            </w:r>
          </w:p>
        </w:tc>
        <w:tc>
          <w:tcPr>
            <w:tcW w:w="1394" w:type="dxa"/>
            <w:vAlign w:val="center"/>
          </w:tcPr>
          <w:p w:rsidR="00DC1F3C" w:rsidRDefault="00F53EBF">
            <w:pPr>
              <w:jc w:val="right"/>
            </w:pPr>
            <w:r>
              <w:rPr>
                <w:color w:val="000000"/>
                <w:sz w:val="24"/>
              </w:rPr>
              <w:t>400,000</w:t>
            </w:r>
          </w:p>
        </w:tc>
        <w:tc>
          <w:tcPr>
            <w:tcW w:w="1944" w:type="dxa"/>
            <w:vAlign w:val="center"/>
          </w:tcPr>
          <w:p w:rsidR="00DC1F3C" w:rsidRDefault="00F53EBF">
            <w:pPr>
              <w:jc w:val="right"/>
            </w:pPr>
            <w:r>
              <w:rPr>
                <w:color w:val="000000"/>
                <w:sz w:val="24"/>
              </w:rPr>
              <w:t>40,268,000.00</w:t>
            </w:r>
          </w:p>
        </w:tc>
        <w:tc>
          <w:tcPr>
            <w:tcW w:w="1389" w:type="dxa"/>
            <w:vAlign w:val="center"/>
          </w:tcPr>
          <w:p w:rsidR="00DC1F3C" w:rsidRDefault="00F53EBF">
            <w:pPr>
              <w:jc w:val="right"/>
            </w:pPr>
            <w:r>
              <w:rPr>
                <w:color w:val="000000"/>
                <w:sz w:val="24"/>
              </w:rPr>
              <w:t>8.43</w:t>
            </w:r>
          </w:p>
        </w:tc>
      </w:tr>
      <w:tr w:rsidR="00DC1F3C">
        <w:trPr>
          <w:jc w:val="center"/>
        </w:trPr>
        <w:tc>
          <w:tcPr>
            <w:tcW w:w="1075" w:type="dxa"/>
            <w:vAlign w:val="center"/>
          </w:tcPr>
          <w:p w:rsidR="00DC1F3C" w:rsidRDefault="00F53EBF">
            <w:pPr>
              <w:jc w:val="center"/>
            </w:pPr>
            <w:r>
              <w:rPr>
                <w:color w:val="000000"/>
                <w:sz w:val="24"/>
              </w:rPr>
              <w:t>4</w:t>
            </w:r>
          </w:p>
        </w:tc>
        <w:tc>
          <w:tcPr>
            <w:tcW w:w="1533" w:type="dxa"/>
            <w:vAlign w:val="center"/>
          </w:tcPr>
          <w:p w:rsidR="00DC1F3C" w:rsidRDefault="00F53EBF">
            <w:pPr>
              <w:jc w:val="center"/>
            </w:pPr>
            <w:r>
              <w:rPr>
                <w:color w:val="000000"/>
                <w:sz w:val="24"/>
              </w:rPr>
              <w:t>143064</w:t>
            </w:r>
          </w:p>
        </w:tc>
        <w:tc>
          <w:tcPr>
            <w:tcW w:w="1533" w:type="dxa"/>
            <w:vAlign w:val="center"/>
          </w:tcPr>
          <w:p w:rsidR="00DC1F3C" w:rsidRDefault="00F53EBF">
            <w:pPr>
              <w:jc w:val="center"/>
            </w:pPr>
            <w:r>
              <w:rPr>
                <w:color w:val="000000"/>
                <w:sz w:val="24"/>
              </w:rPr>
              <w:t>17</w:t>
            </w:r>
            <w:r>
              <w:rPr>
                <w:color w:val="000000"/>
                <w:sz w:val="24"/>
              </w:rPr>
              <w:t>邮政</w:t>
            </w:r>
            <w:r>
              <w:rPr>
                <w:color w:val="000000"/>
                <w:sz w:val="24"/>
              </w:rPr>
              <w:t>02</w:t>
            </w:r>
          </w:p>
        </w:tc>
        <w:tc>
          <w:tcPr>
            <w:tcW w:w="1394" w:type="dxa"/>
            <w:vAlign w:val="center"/>
          </w:tcPr>
          <w:p w:rsidR="00DC1F3C" w:rsidRDefault="00F53EBF">
            <w:pPr>
              <w:jc w:val="right"/>
            </w:pPr>
            <w:r>
              <w:rPr>
                <w:color w:val="000000"/>
                <w:sz w:val="24"/>
              </w:rPr>
              <w:t>400,000</w:t>
            </w:r>
          </w:p>
        </w:tc>
        <w:tc>
          <w:tcPr>
            <w:tcW w:w="1944" w:type="dxa"/>
            <w:vAlign w:val="center"/>
          </w:tcPr>
          <w:p w:rsidR="00DC1F3C" w:rsidRDefault="00F53EBF">
            <w:pPr>
              <w:jc w:val="right"/>
            </w:pPr>
            <w:r>
              <w:rPr>
                <w:color w:val="000000"/>
                <w:sz w:val="24"/>
              </w:rPr>
              <w:t>39,044,000.00</w:t>
            </w:r>
          </w:p>
        </w:tc>
        <w:tc>
          <w:tcPr>
            <w:tcW w:w="1389" w:type="dxa"/>
            <w:vAlign w:val="center"/>
          </w:tcPr>
          <w:p w:rsidR="00DC1F3C" w:rsidRDefault="00F53EBF">
            <w:pPr>
              <w:jc w:val="right"/>
            </w:pPr>
            <w:r>
              <w:rPr>
                <w:color w:val="000000"/>
                <w:sz w:val="24"/>
              </w:rPr>
              <w:t>8.17</w:t>
            </w:r>
          </w:p>
        </w:tc>
      </w:tr>
      <w:tr w:rsidR="00DC1F3C">
        <w:trPr>
          <w:jc w:val="center"/>
        </w:trPr>
        <w:tc>
          <w:tcPr>
            <w:tcW w:w="1075" w:type="dxa"/>
            <w:vAlign w:val="center"/>
          </w:tcPr>
          <w:p w:rsidR="00DC1F3C" w:rsidRDefault="00F53EBF">
            <w:pPr>
              <w:jc w:val="center"/>
            </w:pPr>
            <w:r>
              <w:rPr>
                <w:color w:val="000000"/>
                <w:sz w:val="24"/>
              </w:rPr>
              <w:t>5</w:t>
            </w:r>
          </w:p>
        </w:tc>
        <w:tc>
          <w:tcPr>
            <w:tcW w:w="1533" w:type="dxa"/>
            <w:vAlign w:val="center"/>
          </w:tcPr>
          <w:p w:rsidR="00DC1F3C" w:rsidRDefault="00F53EBF">
            <w:pPr>
              <w:jc w:val="center"/>
            </w:pPr>
            <w:r>
              <w:rPr>
                <w:color w:val="000000"/>
                <w:sz w:val="24"/>
              </w:rPr>
              <w:t>011765003</w:t>
            </w:r>
          </w:p>
        </w:tc>
        <w:tc>
          <w:tcPr>
            <w:tcW w:w="1533" w:type="dxa"/>
            <w:vAlign w:val="center"/>
          </w:tcPr>
          <w:p w:rsidR="00DC1F3C" w:rsidRDefault="00F53EBF">
            <w:pPr>
              <w:jc w:val="center"/>
            </w:pPr>
            <w:r>
              <w:rPr>
                <w:color w:val="000000"/>
                <w:sz w:val="24"/>
              </w:rPr>
              <w:t>17</w:t>
            </w:r>
            <w:r>
              <w:rPr>
                <w:color w:val="000000"/>
                <w:sz w:val="24"/>
              </w:rPr>
              <w:t>武汉地产</w:t>
            </w:r>
            <w:r>
              <w:rPr>
                <w:color w:val="000000"/>
                <w:sz w:val="24"/>
              </w:rPr>
              <w:t>SCP002</w:t>
            </w:r>
          </w:p>
        </w:tc>
        <w:tc>
          <w:tcPr>
            <w:tcW w:w="1394" w:type="dxa"/>
            <w:vAlign w:val="center"/>
          </w:tcPr>
          <w:p w:rsidR="00DC1F3C" w:rsidRDefault="00F53EBF">
            <w:pPr>
              <w:jc w:val="right"/>
            </w:pPr>
            <w:r>
              <w:rPr>
                <w:color w:val="000000"/>
                <w:sz w:val="24"/>
              </w:rPr>
              <w:t>300,000</w:t>
            </w:r>
          </w:p>
        </w:tc>
        <w:tc>
          <w:tcPr>
            <w:tcW w:w="1944" w:type="dxa"/>
            <w:vAlign w:val="center"/>
          </w:tcPr>
          <w:p w:rsidR="00DC1F3C" w:rsidRDefault="00F53EBF">
            <w:pPr>
              <w:jc w:val="right"/>
            </w:pPr>
            <w:r>
              <w:rPr>
                <w:color w:val="000000"/>
                <w:sz w:val="24"/>
              </w:rPr>
              <w:t>30,129,000.00</w:t>
            </w:r>
          </w:p>
        </w:tc>
        <w:tc>
          <w:tcPr>
            <w:tcW w:w="1389" w:type="dxa"/>
            <w:vAlign w:val="center"/>
          </w:tcPr>
          <w:p w:rsidR="00DC1F3C" w:rsidRDefault="00F53EBF">
            <w:pPr>
              <w:jc w:val="right"/>
            </w:pPr>
            <w:r>
              <w:rPr>
                <w:color w:val="000000"/>
                <w:sz w:val="24"/>
              </w:rPr>
              <w:t>6.31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462"/>
        <w:gridCol w:w="1481"/>
        <w:gridCol w:w="1463"/>
        <w:gridCol w:w="1480"/>
        <w:gridCol w:w="1502"/>
        <w:gridCol w:w="1480"/>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DC1F3C">
        <w:trPr>
          <w:jc w:val="center"/>
        </w:trPr>
        <w:tc>
          <w:tcPr>
            <w:tcW w:w="0" w:type="auto"/>
            <w:vAlign w:val="center"/>
          </w:tcPr>
          <w:p w:rsidR="00DC1F3C" w:rsidRDefault="00F53EBF">
            <w:pPr>
              <w:jc w:val="center"/>
            </w:pPr>
            <w:r>
              <w:rPr>
                <w:color w:val="000000"/>
                <w:sz w:val="24"/>
              </w:rPr>
              <w:t>1</w:t>
            </w:r>
          </w:p>
        </w:tc>
        <w:tc>
          <w:tcPr>
            <w:tcW w:w="0" w:type="auto"/>
            <w:vAlign w:val="center"/>
          </w:tcPr>
          <w:p w:rsidR="00DC1F3C" w:rsidRDefault="00F53EBF">
            <w:pPr>
              <w:jc w:val="center"/>
            </w:pPr>
            <w:r>
              <w:rPr>
                <w:color w:val="000000"/>
                <w:sz w:val="24"/>
              </w:rPr>
              <w:t>123935</w:t>
            </w:r>
          </w:p>
        </w:tc>
        <w:tc>
          <w:tcPr>
            <w:tcW w:w="0" w:type="auto"/>
            <w:vAlign w:val="center"/>
          </w:tcPr>
          <w:p w:rsidR="00DC1F3C" w:rsidRDefault="00F53EBF">
            <w:pPr>
              <w:jc w:val="center"/>
            </w:pPr>
            <w:r>
              <w:rPr>
                <w:color w:val="000000"/>
                <w:sz w:val="24"/>
              </w:rPr>
              <w:t>15</w:t>
            </w:r>
            <w:r>
              <w:rPr>
                <w:color w:val="000000"/>
                <w:sz w:val="24"/>
              </w:rPr>
              <w:t>濮热</w:t>
            </w:r>
            <w:r>
              <w:rPr>
                <w:color w:val="000000"/>
                <w:sz w:val="24"/>
              </w:rPr>
              <w:t>03</w:t>
            </w:r>
          </w:p>
        </w:tc>
        <w:tc>
          <w:tcPr>
            <w:tcW w:w="0" w:type="auto"/>
            <w:vAlign w:val="center"/>
          </w:tcPr>
          <w:p w:rsidR="00DC1F3C" w:rsidRDefault="00F53EBF">
            <w:pPr>
              <w:jc w:val="right"/>
            </w:pPr>
            <w:r>
              <w:rPr>
                <w:color w:val="000000"/>
                <w:sz w:val="24"/>
              </w:rPr>
              <w:t>50,000</w:t>
            </w:r>
          </w:p>
        </w:tc>
        <w:tc>
          <w:tcPr>
            <w:tcW w:w="0" w:type="auto"/>
            <w:vAlign w:val="center"/>
          </w:tcPr>
          <w:p w:rsidR="00DC1F3C" w:rsidRDefault="00F53EBF">
            <w:pPr>
              <w:jc w:val="right"/>
            </w:pPr>
            <w:r>
              <w:rPr>
                <w:color w:val="000000"/>
                <w:sz w:val="24"/>
              </w:rPr>
              <w:t>5,000,000.00</w:t>
            </w:r>
          </w:p>
        </w:tc>
        <w:tc>
          <w:tcPr>
            <w:tcW w:w="0" w:type="auto"/>
            <w:vAlign w:val="center"/>
          </w:tcPr>
          <w:p w:rsidR="00DC1F3C" w:rsidRDefault="00F53EBF">
            <w:pPr>
              <w:jc w:val="right"/>
            </w:pPr>
            <w:r>
              <w:rPr>
                <w:color w:val="000000"/>
                <w:sz w:val="24"/>
              </w:rPr>
              <w:t>1.05</w:t>
            </w:r>
          </w:p>
        </w:tc>
      </w:tr>
      <w:tr w:rsidR="00DC1F3C">
        <w:trPr>
          <w:jc w:val="center"/>
        </w:trPr>
        <w:tc>
          <w:tcPr>
            <w:tcW w:w="0" w:type="auto"/>
            <w:vAlign w:val="center"/>
          </w:tcPr>
          <w:p w:rsidR="00DC1F3C" w:rsidRDefault="00F53EBF">
            <w:pPr>
              <w:jc w:val="center"/>
            </w:pPr>
            <w:r>
              <w:rPr>
                <w:color w:val="000000"/>
                <w:sz w:val="24"/>
              </w:rPr>
              <w:t>2</w:t>
            </w:r>
          </w:p>
        </w:tc>
        <w:tc>
          <w:tcPr>
            <w:tcW w:w="0" w:type="auto"/>
            <w:vAlign w:val="center"/>
          </w:tcPr>
          <w:p w:rsidR="00DC1F3C" w:rsidRDefault="00F53EBF">
            <w:pPr>
              <w:jc w:val="center"/>
            </w:pPr>
            <w:r>
              <w:rPr>
                <w:color w:val="000000"/>
                <w:sz w:val="24"/>
              </w:rPr>
              <w:t>123934</w:t>
            </w:r>
          </w:p>
        </w:tc>
        <w:tc>
          <w:tcPr>
            <w:tcW w:w="0" w:type="auto"/>
            <w:vAlign w:val="center"/>
          </w:tcPr>
          <w:p w:rsidR="00DC1F3C" w:rsidRDefault="00F53EBF">
            <w:pPr>
              <w:jc w:val="center"/>
            </w:pPr>
            <w:r>
              <w:rPr>
                <w:color w:val="000000"/>
                <w:sz w:val="24"/>
              </w:rPr>
              <w:t>15</w:t>
            </w:r>
            <w:r>
              <w:rPr>
                <w:color w:val="000000"/>
                <w:sz w:val="24"/>
              </w:rPr>
              <w:t>濮热</w:t>
            </w:r>
            <w:r>
              <w:rPr>
                <w:color w:val="000000"/>
                <w:sz w:val="24"/>
              </w:rPr>
              <w:t>02</w:t>
            </w:r>
          </w:p>
        </w:tc>
        <w:tc>
          <w:tcPr>
            <w:tcW w:w="0" w:type="auto"/>
            <w:vAlign w:val="center"/>
          </w:tcPr>
          <w:p w:rsidR="00DC1F3C" w:rsidRDefault="00F53EBF">
            <w:pPr>
              <w:jc w:val="right"/>
            </w:pPr>
            <w:r>
              <w:rPr>
                <w:color w:val="000000"/>
                <w:sz w:val="24"/>
              </w:rPr>
              <w:t>40,000</w:t>
            </w:r>
          </w:p>
        </w:tc>
        <w:tc>
          <w:tcPr>
            <w:tcW w:w="0" w:type="auto"/>
            <w:vAlign w:val="center"/>
          </w:tcPr>
          <w:p w:rsidR="00DC1F3C" w:rsidRDefault="00F53EBF">
            <w:pPr>
              <w:jc w:val="right"/>
            </w:pPr>
            <w:r>
              <w:rPr>
                <w:color w:val="000000"/>
                <w:sz w:val="24"/>
              </w:rPr>
              <w:t>4,000,000.00</w:t>
            </w:r>
          </w:p>
        </w:tc>
        <w:tc>
          <w:tcPr>
            <w:tcW w:w="0" w:type="auto"/>
            <w:vAlign w:val="center"/>
          </w:tcPr>
          <w:p w:rsidR="00DC1F3C" w:rsidRDefault="00F53EBF">
            <w:pPr>
              <w:jc w:val="right"/>
            </w:pPr>
            <w:r>
              <w:rPr>
                <w:color w:val="000000"/>
                <w:sz w:val="24"/>
              </w:rPr>
              <w:t>0.84</w:t>
            </w:r>
          </w:p>
        </w:tc>
      </w:tr>
      <w:tr w:rsidR="00DC1F3C">
        <w:trPr>
          <w:jc w:val="center"/>
        </w:trPr>
        <w:tc>
          <w:tcPr>
            <w:tcW w:w="0" w:type="auto"/>
            <w:vAlign w:val="center"/>
          </w:tcPr>
          <w:p w:rsidR="00DC1F3C" w:rsidRDefault="00F53EBF">
            <w:pPr>
              <w:jc w:val="center"/>
            </w:pPr>
            <w:r>
              <w:rPr>
                <w:color w:val="000000"/>
                <w:sz w:val="24"/>
              </w:rPr>
              <w:t>3</w:t>
            </w:r>
          </w:p>
        </w:tc>
        <w:tc>
          <w:tcPr>
            <w:tcW w:w="0" w:type="auto"/>
            <w:vAlign w:val="center"/>
          </w:tcPr>
          <w:p w:rsidR="00DC1F3C" w:rsidRDefault="00F53EBF">
            <w:pPr>
              <w:jc w:val="center"/>
            </w:pPr>
            <w:r>
              <w:rPr>
                <w:color w:val="000000"/>
                <w:sz w:val="24"/>
              </w:rPr>
              <w:t>116239</w:t>
            </w:r>
          </w:p>
        </w:tc>
        <w:tc>
          <w:tcPr>
            <w:tcW w:w="0" w:type="auto"/>
            <w:vAlign w:val="center"/>
          </w:tcPr>
          <w:p w:rsidR="00DC1F3C" w:rsidRDefault="00F53EBF">
            <w:pPr>
              <w:jc w:val="center"/>
            </w:pPr>
            <w:r>
              <w:rPr>
                <w:color w:val="000000"/>
                <w:sz w:val="24"/>
              </w:rPr>
              <w:t>16</w:t>
            </w:r>
            <w:r>
              <w:rPr>
                <w:color w:val="000000"/>
                <w:sz w:val="24"/>
              </w:rPr>
              <w:t>惠通</w:t>
            </w:r>
            <w:r>
              <w:rPr>
                <w:color w:val="000000"/>
                <w:sz w:val="24"/>
              </w:rPr>
              <w:t>A3</w:t>
            </w:r>
          </w:p>
        </w:tc>
        <w:tc>
          <w:tcPr>
            <w:tcW w:w="0" w:type="auto"/>
            <w:vAlign w:val="center"/>
          </w:tcPr>
          <w:p w:rsidR="00DC1F3C" w:rsidRDefault="00F53EBF">
            <w:pPr>
              <w:jc w:val="right"/>
            </w:pPr>
            <w:r>
              <w:rPr>
                <w:color w:val="000000"/>
                <w:sz w:val="24"/>
              </w:rPr>
              <w:t>20,000</w:t>
            </w:r>
          </w:p>
        </w:tc>
        <w:tc>
          <w:tcPr>
            <w:tcW w:w="0" w:type="auto"/>
            <w:vAlign w:val="center"/>
          </w:tcPr>
          <w:p w:rsidR="00DC1F3C" w:rsidRDefault="00F53EBF">
            <w:pPr>
              <w:jc w:val="right"/>
            </w:pPr>
            <w:r>
              <w:rPr>
                <w:color w:val="000000"/>
                <w:sz w:val="24"/>
              </w:rPr>
              <w:t>2,000,000.00</w:t>
            </w:r>
          </w:p>
        </w:tc>
        <w:tc>
          <w:tcPr>
            <w:tcW w:w="0" w:type="auto"/>
            <w:vAlign w:val="center"/>
          </w:tcPr>
          <w:p w:rsidR="00DC1F3C" w:rsidRDefault="00F53EBF">
            <w:pPr>
              <w:jc w:val="right"/>
            </w:pPr>
            <w:r>
              <w:rPr>
                <w:color w:val="000000"/>
                <w:sz w:val="24"/>
              </w:rPr>
              <w:t>0.42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24,088.27</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22,000,000.00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11,622,676.56</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11,328.40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33,658,093.23</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463,462,055.86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17,398,217.76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1,678,378.60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223,066.46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4,884,629.57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1,352,773.79</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460,255,804.89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16,268,510.43</w:t>
            </w:r>
          </w:p>
        </w:tc>
      </w:tr>
    </w:tbl>
    <w:p w:rsidR="00DC1F3C" w:rsidRDefault="00F53EB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E251D">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B47574" w:rsidRPr="007F52FA" w:rsidRDefault="00B47574" w:rsidP="00BE251D">
      <w:pPr>
        <w:pStyle w:val="1"/>
        <w:spacing w:beforeLines="100" w:before="312" w:afterLines="100" w:after="312"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§8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p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基金管理人于本基金募集期内运用固有资金认购本基金份额</w:t>
      </w:r>
      <w:r w:rsidRPr="007F52FA">
        <w:rPr>
          <w:rFonts w:eastAsiaTheme="minorEastAsia"/>
          <w:color w:val="000000"/>
          <w:sz w:val="24"/>
        </w:rPr>
        <w:t>10,000,000.00</w:t>
      </w:r>
      <w:r w:rsidRPr="007F52FA">
        <w:rPr>
          <w:rFonts w:eastAsiaTheme="minorEastAsia"/>
          <w:color w:val="000000"/>
          <w:sz w:val="24"/>
        </w:rPr>
        <w:t>元人民币（不含募集期利息结转的份额），作为本基金的发起资金。自本基金基金合同生效之日起，发起资金所认购的基金份额持有期限不低于三年。本基金管理人持有的发起份额已于</w:t>
      </w:r>
      <w:r w:rsidRPr="007F52FA">
        <w:rPr>
          <w:rFonts w:eastAsiaTheme="minorEastAsia"/>
          <w:color w:val="000000"/>
          <w:sz w:val="24"/>
        </w:rPr>
        <w:t>2017</w:t>
      </w:r>
      <w:r w:rsidRPr="007F52FA">
        <w:rPr>
          <w:rFonts w:eastAsiaTheme="minorEastAsia"/>
          <w:color w:val="000000"/>
          <w:sz w:val="24"/>
        </w:rPr>
        <w:t>年一季度全部赎回，相应份额的持有期限符合基金合同的约定。</w:t>
      </w:r>
    </w:p>
    <w:p w:rsidR="00574FC7" w:rsidRPr="007F52FA" w:rsidRDefault="00574FC7" w:rsidP="007C14DF">
      <w:pPr>
        <w:autoSpaceDE w:val="0"/>
        <w:autoSpaceDN w:val="0"/>
        <w:adjustRightInd w:val="0"/>
        <w:spacing w:before="29" w:line="288" w:lineRule="auto"/>
        <w:jc w:val="left"/>
        <w:rPr>
          <w:rFonts w:eastAsiaTheme="minorEastAsia"/>
          <w:color w:val="000000"/>
          <w:sz w:val="24"/>
        </w:rPr>
      </w:pPr>
    </w:p>
    <w:p w:rsidR="00ED0E09" w:rsidRDefault="00ED0E09" w:rsidP="00BE251D">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9.1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DC1F3C">
        <w:tc>
          <w:tcPr>
            <w:tcW w:w="992" w:type="dxa"/>
            <w:vMerge w:val="restart"/>
          </w:tcPr>
          <w:p w:rsidR="00DC1F3C" w:rsidRDefault="00DC1F3C"/>
          <w:p w:rsidR="00DC1F3C" w:rsidRDefault="00F53EBF">
            <w:r>
              <w:rPr>
                <w:rFonts w:ascii="宋体" w:hAnsi="宋体" w:hint="eastAsia"/>
                <w:bCs/>
                <w:color w:val="000000"/>
                <w:kern w:val="0"/>
                <w:szCs w:val="21"/>
              </w:rPr>
              <w:t>机构</w:t>
            </w:r>
          </w:p>
        </w:tc>
        <w:tc>
          <w:tcPr>
            <w:tcW w:w="991" w:type="dxa"/>
            <w:vAlign w:val="center"/>
          </w:tcPr>
          <w:p w:rsidR="00DC1F3C" w:rsidRDefault="00F53EBF">
            <w:pPr>
              <w:jc w:val="center"/>
            </w:pPr>
            <w:r>
              <w:rPr>
                <w:rFonts w:ascii="宋体" w:hAnsi="宋体" w:hint="eastAsia"/>
                <w:color w:val="000000"/>
                <w:kern w:val="0"/>
                <w:szCs w:val="21"/>
              </w:rPr>
              <w:t>1</w:t>
            </w:r>
          </w:p>
        </w:tc>
        <w:tc>
          <w:tcPr>
            <w:tcW w:w="1843" w:type="dxa"/>
            <w:vAlign w:val="center"/>
          </w:tcPr>
          <w:p w:rsidR="00DC1F3C" w:rsidRDefault="00F53EBF">
            <w:pPr>
              <w:jc w:val="center"/>
            </w:pPr>
            <w:r>
              <w:rPr>
                <w:rFonts w:ascii="宋体" w:hAnsi="宋体" w:hint="eastAsia"/>
                <w:color w:val="000000"/>
                <w:kern w:val="0"/>
                <w:szCs w:val="21"/>
              </w:rPr>
              <w:t>2017/10/1-2017/12/31</w:t>
            </w:r>
          </w:p>
        </w:tc>
        <w:tc>
          <w:tcPr>
            <w:tcW w:w="851" w:type="dxa"/>
            <w:vAlign w:val="center"/>
          </w:tcPr>
          <w:p w:rsidR="00DC1F3C" w:rsidRDefault="00F53EBF">
            <w:pPr>
              <w:jc w:val="center"/>
            </w:pPr>
            <w:r>
              <w:rPr>
                <w:rFonts w:ascii="宋体" w:hAnsi="宋体" w:hint="eastAsia"/>
                <w:color w:val="000000"/>
                <w:kern w:val="0"/>
                <w:szCs w:val="21"/>
              </w:rPr>
              <w:t>442,516,861.48</w:t>
            </w:r>
          </w:p>
        </w:tc>
        <w:tc>
          <w:tcPr>
            <w:tcW w:w="850" w:type="dxa"/>
            <w:vAlign w:val="center"/>
          </w:tcPr>
          <w:p w:rsidR="00DC1F3C" w:rsidRDefault="00F53EBF">
            <w:pPr>
              <w:jc w:val="center"/>
            </w:pPr>
            <w:r>
              <w:rPr>
                <w:rFonts w:ascii="宋体" w:hAnsi="宋体" w:hint="eastAsia"/>
                <w:color w:val="000000"/>
                <w:kern w:val="0"/>
                <w:szCs w:val="21"/>
              </w:rPr>
              <w:t>-</w:t>
            </w:r>
          </w:p>
        </w:tc>
        <w:tc>
          <w:tcPr>
            <w:tcW w:w="1134" w:type="dxa"/>
            <w:vAlign w:val="center"/>
          </w:tcPr>
          <w:p w:rsidR="00DC1F3C" w:rsidRDefault="00F53EBF">
            <w:pPr>
              <w:jc w:val="center"/>
            </w:pPr>
            <w:r>
              <w:rPr>
                <w:rFonts w:ascii="宋体" w:hAnsi="宋体" w:hint="eastAsia"/>
                <w:color w:val="000000"/>
                <w:kern w:val="0"/>
                <w:szCs w:val="21"/>
              </w:rPr>
              <w:t>-</w:t>
            </w:r>
          </w:p>
        </w:tc>
        <w:tc>
          <w:tcPr>
            <w:tcW w:w="1419" w:type="dxa"/>
            <w:vAlign w:val="center"/>
          </w:tcPr>
          <w:p w:rsidR="00DC1F3C" w:rsidRDefault="00F53EBF">
            <w:pPr>
              <w:jc w:val="center"/>
            </w:pPr>
            <w:r>
              <w:rPr>
                <w:rFonts w:ascii="宋体" w:hAnsi="宋体" w:hint="eastAsia"/>
                <w:color w:val="000000"/>
                <w:kern w:val="0"/>
                <w:szCs w:val="21"/>
              </w:rPr>
              <w:t>442,516,861.48</w:t>
            </w:r>
          </w:p>
        </w:tc>
        <w:tc>
          <w:tcPr>
            <w:tcW w:w="1130" w:type="dxa"/>
            <w:vAlign w:val="center"/>
          </w:tcPr>
          <w:p w:rsidR="00DC1F3C" w:rsidRDefault="00F53EBF">
            <w:pPr>
              <w:jc w:val="center"/>
            </w:pPr>
            <w:r>
              <w:rPr>
                <w:rFonts w:ascii="宋体" w:hAnsi="宋体" w:hint="eastAsia"/>
                <w:color w:val="000000"/>
                <w:kern w:val="0"/>
                <w:szCs w:val="21"/>
              </w:rPr>
              <w:t>92.86%</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10</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lastRenderedPageBreak/>
        <w:t>3</w:t>
      </w:r>
      <w:r>
        <w:rPr>
          <w:rFonts w:eastAsiaTheme="minorEastAsia"/>
          <w:color w:val="000000"/>
          <w:sz w:val="24"/>
        </w:rPr>
        <w:t>、《交银施罗德纯债债券型发起式证券投资基金招募说明书》；</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、报告期内交银施罗德纯债债券型发起式证券投资基金在指定报刊上各项公告的原稿。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10.3</w:t>
      </w:r>
      <w:r w:rsidR="00FB3C94" w:rsidRPr="007F52FA">
        <w:rPr>
          <w:rFonts w:eastAsiaTheme="minorEastAsia"/>
          <w:b/>
          <w:bCs/>
          <w:color w:val="000000"/>
          <w:kern w:val="0"/>
          <w:sz w:val="24"/>
        </w:rPr>
        <w:t>查阅方式</w:t>
      </w:r>
    </w:p>
    <w:p w:rsidR="00DC1F3C" w:rsidRDefault="00F53EBF">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4"/>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10" w:rsidRDefault="00E71C10">
      <w:r>
        <w:separator/>
      </w:r>
    </w:p>
  </w:endnote>
  <w:endnote w:type="continuationSeparator" w:id="0">
    <w:p w:rsidR="00E71C10" w:rsidRDefault="00E7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E8528E">
      <w:rPr>
        <w:noProof/>
        <w:kern w:val="0"/>
        <w:szCs w:val="21"/>
      </w:rPr>
      <w:t>10</w:t>
    </w:r>
    <w:r w:rsidR="007866A0">
      <w:rPr>
        <w:kern w:val="0"/>
        <w:szCs w:val="21"/>
      </w:rPr>
      <w:fldChar w:fldCharType="end"/>
    </w:r>
    <w:proofErr w:type="gramStart"/>
    <w:r>
      <w:rPr>
        <w:rFonts w:hint="eastAsia"/>
        <w:kern w:val="0"/>
        <w:szCs w:val="21"/>
      </w:rPr>
      <w:t>页共</w:t>
    </w:r>
    <w:proofErr w:type="gramEnd"/>
    <w:r w:rsidR="007866A0">
      <w:rPr>
        <w:kern w:val="0"/>
        <w:szCs w:val="21"/>
      </w:rPr>
      <w:fldChar w:fldCharType="begin"/>
    </w:r>
    <w:r>
      <w:rPr>
        <w:kern w:val="0"/>
        <w:szCs w:val="21"/>
      </w:rPr>
      <w:instrText xml:space="preserve"> NUMPAGES </w:instrText>
    </w:r>
    <w:r w:rsidR="007866A0">
      <w:rPr>
        <w:kern w:val="0"/>
        <w:szCs w:val="21"/>
      </w:rPr>
      <w:fldChar w:fldCharType="separate"/>
    </w:r>
    <w:r w:rsidR="00E8528E">
      <w:rPr>
        <w:noProof/>
        <w:kern w:val="0"/>
        <w:szCs w:val="21"/>
      </w:rPr>
      <w:t>13</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10" w:rsidRDefault="00E71C10">
      <w:r>
        <w:separator/>
      </w:r>
    </w:p>
  </w:footnote>
  <w:footnote w:type="continuationSeparator" w:id="0">
    <w:p w:rsidR="00E71C10" w:rsidRDefault="00E71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E71C10"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1EF9"/>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2C07"/>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7F6B80"/>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1F3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13E3"/>
    <w:rsid w:val="00E02254"/>
    <w:rsid w:val="00E02DEB"/>
    <w:rsid w:val="00E042A1"/>
    <w:rsid w:val="00E0476C"/>
    <w:rsid w:val="00E0576B"/>
    <w:rsid w:val="00E0631D"/>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1C10"/>
    <w:rsid w:val="00E73221"/>
    <w:rsid w:val="00E75116"/>
    <w:rsid w:val="00E763EB"/>
    <w:rsid w:val="00E8342F"/>
    <w:rsid w:val="00E838EF"/>
    <w:rsid w:val="00E84632"/>
    <w:rsid w:val="00E847EE"/>
    <w:rsid w:val="00E84F32"/>
    <w:rsid w:val="00E8528E"/>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3EBF"/>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C0FECCEE-5847-4DF0-ADE8-002924F8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7.png@01D38EFB.46509C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38EFB.46509C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47EF-1F70-483D-83E6-FC4446AD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8</TotalTime>
  <Pages>13</Pages>
  <Words>1167</Words>
  <Characters>6658</Characters>
  <Application>Microsoft Office Word</Application>
  <DocSecurity>0</DocSecurity>
  <Lines>55</Lines>
  <Paragraphs>15</Paragraphs>
  <ScaleCrop>false</ScaleCrop>
  <Company>TRT. Ltd. Co.</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蔡利群</cp:lastModifiedBy>
  <cp:revision>6</cp:revision>
  <cp:lastPrinted>2007-07-19T00:46:00Z</cp:lastPrinted>
  <dcterms:created xsi:type="dcterms:W3CDTF">2018-01-17T03:27:00Z</dcterms:created>
  <dcterms:modified xsi:type="dcterms:W3CDTF">2018-01-24T05:33:00Z</dcterms:modified>
</cp:coreProperties>
</file>