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交银施罗德股息优化混合型证券投资基金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26068" w:rsidRDefault="005671B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298,674,513.66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D6777" w:rsidRPr="00414345" w:rsidTr="005D677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D6777" w:rsidRPr="00414345" w:rsidTr="005D67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54,829,206.08</w:t>
            </w:r>
          </w:p>
        </w:tc>
      </w:tr>
      <w:tr w:rsidR="005D6777" w:rsidRPr="00414345" w:rsidTr="005D67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55,404,355.56</w:t>
            </w:r>
          </w:p>
        </w:tc>
      </w:tr>
      <w:tr w:rsidR="005D6777" w:rsidRPr="00414345" w:rsidTr="005D67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0.1031</w:t>
            </w:r>
          </w:p>
        </w:tc>
      </w:tr>
      <w:tr w:rsidR="005D6777" w:rsidRPr="00414345" w:rsidTr="005D67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331,471,634.30</w:t>
            </w:r>
          </w:p>
        </w:tc>
      </w:tr>
      <w:tr w:rsidR="005D6777" w:rsidRPr="00414345" w:rsidTr="005D677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1.1098</w:t>
            </w:r>
          </w:p>
        </w:tc>
      </w:tr>
    </w:tbl>
    <w:p w:rsidR="00F15736" w:rsidRDefault="00F15736" w:rsidP="00F157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F15736" w:rsidRPr="00414345" w:rsidRDefault="00F15736" w:rsidP="00F15736">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F15736" w:rsidRPr="00F15736" w:rsidRDefault="00F15736"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26068">
        <w:trPr>
          <w:jc w:val="center"/>
        </w:trPr>
        <w:tc>
          <w:tcPr>
            <w:tcW w:w="1701" w:type="dxa"/>
            <w:vAlign w:val="center"/>
          </w:tcPr>
          <w:p w:rsidR="00D26068" w:rsidRDefault="005671B4">
            <w:pPr>
              <w:jc w:val="left"/>
            </w:pPr>
            <w:r>
              <w:rPr>
                <w:color w:val="000000"/>
                <w:sz w:val="24"/>
                <w:szCs w:val="24"/>
              </w:rPr>
              <w:t>过去三个月</w:t>
            </w:r>
          </w:p>
        </w:tc>
        <w:tc>
          <w:tcPr>
            <w:tcW w:w="1045" w:type="dxa"/>
            <w:vAlign w:val="center"/>
          </w:tcPr>
          <w:p w:rsidR="00D26068" w:rsidRDefault="005671B4">
            <w:pPr>
              <w:jc w:val="center"/>
            </w:pPr>
            <w:r>
              <w:rPr>
                <w:color w:val="000000"/>
                <w:sz w:val="24"/>
                <w:szCs w:val="24"/>
              </w:rPr>
              <w:t>8.68%</w:t>
            </w:r>
          </w:p>
        </w:tc>
        <w:tc>
          <w:tcPr>
            <w:tcW w:w="1344" w:type="dxa"/>
            <w:vAlign w:val="center"/>
          </w:tcPr>
          <w:p w:rsidR="00D26068" w:rsidRDefault="005671B4">
            <w:pPr>
              <w:jc w:val="center"/>
            </w:pPr>
            <w:r>
              <w:rPr>
                <w:color w:val="000000"/>
                <w:sz w:val="24"/>
                <w:szCs w:val="24"/>
              </w:rPr>
              <w:t>1.06%</w:t>
            </w:r>
          </w:p>
        </w:tc>
        <w:tc>
          <w:tcPr>
            <w:tcW w:w="1194" w:type="dxa"/>
            <w:vAlign w:val="center"/>
          </w:tcPr>
          <w:p w:rsidR="00D26068" w:rsidRDefault="005671B4">
            <w:pPr>
              <w:jc w:val="center"/>
            </w:pPr>
            <w:r>
              <w:rPr>
                <w:color w:val="000000"/>
                <w:sz w:val="24"/>
                <w:szCs w:val="24"/>
              </w:rPr>
              <w:t>2.86%</w:t>
            </w:r>
          </w:p>
        </w:tc>
        <w:tc>
          <w:tcPr>
            <w:tcW w:w="1492" w:type="dxa"/>
            <w:vAlign w:val="center"/>
          </w:tcPr>
          <w:p w:rsidR="00D26068" w:rsidRDefault="005671B4">
            <w:pPr>
              <w:jc w:val="center"/>
            </w:pPr>
            <w:r>
              <w:rPr>
                <w:color w:val="000000"/>
                <w:sz w:val="24"/>
                <w:szCs w:val="24"/>
              </w:rPr>
              <w:t>0.49%</w:t>
            </w:r>
          </w:p>
        </w:tc>
        <w:tc>
          <w:tcPr>
            <w:tcW w:w="1194" w:type="dxa"/>
            <w:vAlign w:val="center"/>
          </w:tcPr>
          <w:p w:rsidR="00D26068" w:rsidRDefault="005671B4">
            <w:pPr>
              <w:jc w:val="center"/>
            </w:pPr>
            <w:r>
              <w:rPr>
                <w:color w:val="000000"/>
                <w:sz w:val="24"/>
                <w:szCs w:val="24"/>
              </w:rPr>
              <w:t>5.82%</w:t>
            </w:r>
          </w:p>
        </w:tc>
        <w:tc>
          <w:tcPr>
            <w:tcW w:w="898" w:type="dxa"/>
            <w:vAlign w:val="center"/>
          </w:tcPr>
          <w:p w:rsidR="00D26068" w:rsidRDefault="005671B4">
            <w:pPr>
              <w:jc w:val="center"/>
            </w:pPr>
            <w:r>
              <w:rPr>
                <w:color w:val="000000"/>
                <w:sz w:val="24"/>
                <w:szCs w:val="24"/>
              </w:rPr>
              <w:t>0.57%</w:t>
            </w:r>
          </w:p>
        </w:tc>
      </w:tr>
    </w:tbl>
    <w:p w:rsidR="00D87EAB" w:rsidRDefault="00D87EAB"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26068">
        <w:trPr>
          <w:jc w:val="center"/>
        </w:trPr>
        <w:tc>
          <w:tcPr>
            <w:tcW w:w="846" w:type="dxa"/>
            <w:vAlign w:val="center"/>
          </w:tcPr>
          <w:p w:rsidR="00D26068" w:rsidRDefault="005671B4">
            <w:pPr>
              <w:jc w:val="center"/>
            </w:pPr>
            <w:r>
              <w:rPr>
                <w:color w:val="000000"/>
                <w:sz w:val="24"/>
                <w:szCs w:val="24"/>
              </w:rPr>
              <w:t>韩威俊</w:t>
            </w:r>
          </w:p>
        </w:tc>
        <w:tc>
          <w:tcPr>
            <w:tcW w:w="845" w:type="dxa"/>
            <w:vAlign w:val="center"/>
          </w:tcPr>
          <w:p w:rsidR="00D26068" w:rsidRDefault="005671B4">
            <w:pPr>
              <w:jc w:val="center"/>
            </w:pPr>
            <w:r>
              <w:rPr>
                <w:color w:val="000000"/>
                <w:sz w:val="24"/>
                <w:szCs w:val="24"/>
              </w:rPr>
              <w:t>交银趋势混合、交银策略回报灵活配置混合、交银</w:t>
            </w:r>
            <w:r>
              <w:rPr>
                <w:color w:val="000000"/>
                <w:sz w:val="24"/>
                <w:szCs w:val="24"/>
              </w:rPr>
              <w:lastRenderedPageBreak/>
              <w:t>股息优化混合的基金经理</w:t>
            </w:r>
          </w:p>
        </w:tc>
        <w:tc>
          <w:tcPr>
            <w:tcW w:w="1549" w:type="dxa"/>
            <w:vAlign w:val="center"/>
          </w:tcPr>
          <w:p w:rsidR="00D26068" w:rsidRDefault="005671B4">
            <w:pPr>
              <w:jc w:val="center"/>
            </w:pPr>
            <w:r>
              <w:rPr>
                <w:color w:val="000000"/>
                <w:sz w:val="24"/>
                <w:szCs w:val="24"/>
              </w:rPr>
              <w:lastRenderedPageBreak/>
              <w:t>2017-08-25</w:t>
            </w:r>
          </w:p>
        </w:tc>
        <w:tc>
          <w:tcPr>
            <w:tcW w:w="1548" w:type="dxa"/>
            <w:vAlign w:val="center"/>
          </w:tcPr>
          <w:p w:rsidR="00D26068" w:rsidRDefault="005671B4">
            <w:pPr>
              <w:jc w:val="center"/>
            </w:pPr>
            <w:r>
              <w:rPr>
                <w:color w:val="000000"/>
                <w:sz w:val="24"/>
                <w:szCs w:val="24"/>
              </w:rPr>
              <w:t>-</w:t>
            </w:r>
          </w:p>
        </w:tc>
        <w:tc>
          <w:tcPr>
            <w:tcW w:w="1407" w:type="dxa"/>
            <w:vAlign w:val="center"/>
          </w:tcPr>
          <w:p w:rsidR="00D26068" w:rsidRDefault="005671B4">
            <w:pPr>
              <w:jc w:val="center"/>
            </w:pPr>
            <w:r>
              <w:rPr>
                <w:color w:val="000000"/>
                <w:sz w:val="24"/>
                <w:szCs w:val="24"/>
              </w:rPr>
              <w:t>11</w:t>
            </w:r>
            <w:r>
              <w:rPr>
                <w:color w:val="000000"/>
                <w:sz w:val="24"/>
                <w:szCs w:val="24"/>
              </w:rPr>
              <w:t>年</w:t>
            </w:r>
          </w:p>
        </w:tc>
        <w:tc>
          <w:tcPr>
            <w:tcW w:w="2673" w:type="dxa"/>
            <w:vAlign w:val="center"/>
          </w:tcPr>
          <w:p w:rsidR="00D26068" w:rsidRDefault="005671B4">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A452C4" w:rsidRPr="000E4C40" w:rsidRDefault="00A452C4" w:rsidP="00A452C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A452C4"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26068" w:rsidRDefault="005671B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26068" w:rsidRDefault="005671B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26068" w:rsidRDefault="005671B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D26068" w:rsidRDefault="005671B4">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四季度，流动性压力逐步体现，整个市场仍然处于存量博弈阶段，白马股整体的绝对收益和相对收益都要明显优于整个市场。受到资管新政导致预期变化以及流动性压力的调整，流动性较差的股票相对跌幅较为明显，整体市场风险偏好也处于相对较低的位置。</w:t>
      </w:r>
    </w:p>
    <w:p w:rsidR="00D26068" w:rsidRDefault="005671B4">
      <w:pPr>
        <w:spacing w:before="29" w:line="288" w:lineRule="auto"/>
        <w:ind w:firstLineChars="200" w:firstLine="480"/>
        <w:rPr>
          <w:color w:val="000000"/>
          <w:sz w:val="24"/>
          <w:szCs w:val="24"/>
        </w:rPr>
      </w:pPr>
      <w:r>
        <w:rPr>
          <w:color w:val="000000"/>
          <w:sz w:val="24"/>
          <w:szCs w:val="24"/>
        </w:rPr>
        <w:t>本基金在四季度继续维持配置现金流趋势性向上的价值成长白马股，适当减持了部分流动性较差的重仓股，继续持有流动性较好的价值白马股，获得了一定的绝对收益。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年一季度，整体风险偏好很难出现系统性上升，流动性压力会有所改善，但二、三月</w:t>
      </w:r>
      <w:r w:rsidRPr="00414345">
        <w:rPr>
          <w:color w:val="000000"/>
          <w:sz w:val="24"/>
          <w:szCs w:val="24"/>
        </w:rPr>
        <w:t>CPI</w:t>
      </w:r>
      <w:r w:rsidRPr="00414345">
        <w:rPr>
          <w:color w:val="000000"/>
          <w:sz w:val="24"/>
          <w:szCs w:val="24"/>
        </w:rPr>
        <w:t>数据对市场走势的影响会相对比较关键。整个市场风格</w:t>
      </w:r>
      <w:r w:rsidR="00107179">
        <w:rPr>
          <w:rFonts w:hint="eastAsia"/>
          <w:color w:val="000000"/>
          <w:sz w:val="24"/>
          <w:szCs w:val="24"/>
        </w:rPr>
        <w:t>预计</w:t>
      </w:r>
      <w:r w:rsidRPr="00414345">
        <w:rPr>
          <w:color w:val="000000"/>
          <w:sz w:val="24"/>
          <w:szCs w:val="24"/>
        </w:rPr>
        <w:t>依然还将维持在价值成长风格上不会发生太大变化。后续我们将更加注重自下而上分析，尽力选择业绩能够持续超预期的品种做集中重点配置。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00217BA1">
        <w:rPr>
          <w:rFonts w:hint="eastAsia"/>
          <w:color w:val="000000"/>
          <w:sz w:val="24"/>
          <w:szCs w:val="24"/>
        </w:rPr>
        <w:t>为</w:t>
      </w:r>
      <w:r w:rsidRPr="00414345">
        <w:rPr>
          <w:color w:val="000000"/>
          <w:sz w:val="24"/>
          <w:szCs w:val="24"/>
        </w:rPr>
        <w:t>1.1098</w:t>
      </w:r>
      <w:r w:rsidRPr="00414345">
        <w:rPr>
          <w:color w:val="000000"/>
          <w:sz w:val="24"/>
          <w:szCs w:val="24"/>
        </w:rPr>
        <w:t>元，本报告期份额净值增长率为</w:t>
      </w:r>
      <w:r w:rsidRPr="00F15736">
        <w:rPr>
          <w:color w:val="000000"/>
          <w:sz w:val="24"/>
          <w:szCs w:val="24"/>
        </w:rPr>
        <w:t>8.68%</w:t>
      </w:r>
      <w:r w:rsidRPr="00F15736">
        <w:rPr>
          <w:color w:val="000000"/>
          <w:sz w:val="24"/>
          <w:szCs w:val="24"/>
        </w:rPr>
        <w:t>，</w:t>
      </w:r>
      <w:r w:rsidRPr="00B84DAF">
        <w:rPr>
          <w:color w:val="000000"/>
          <w:sz w:val="24"/>
          <w:szCs w:val="24"/>
        </w:rPr>
        <w:t>同期业绩比较基准增长率为</w:t>
      </w:r>
      <w:r w:rsidRPr="00B84DAF">
        <w:rPr>
          <w:color w:val="000000"/>
          <w:sz w:val="24"/>
          <w:szCs w:val="24"/>
        </w:rPr>
        <w:t>2.</w:t>
      </w:r>
      <w:r w:rsidR="00F15736" w:rsidRPr="00B84DAF">
        <w:rPr>
          <w:color w:val="000000"/>
          <w:sz w:val="24"/>
          <w:szCs w:val="24"/>
        </w:rPr>
        <w:t>86</w:t>
      </w:r>
      <w:r w:rsidRPr="00B84DAF">
        <w:rPr>
          <w:color w:val="000000"/>
          <w:sz w:val="24"/>
          <w:szCs w:val="24"/>
        </w:rPr>
        <w:t>%</w:t>
      </w:r>
      <w:r w:rsidRPr="00B84DAF">
        <w:rPr>
          <w:color w:val="000000"/>
          <w:sz w:val="24"/>
          <w:szCs w:val="24"/>
        </w:rPr>
        <w:t>。</w:t>
      </w:r>
    </w:p>
    <w:p w:rsidR="00B84DAF" w:rsidRDefault="00B84DAF" w:rsidP="00F15736">
      <w:pPr>
        <w:autoSpaceDE w:val="0"/>
        <w:autoSpaceDN w:val="0"/>
        <w:adjustRightInd w:val="0"/>
        <w:spacing w:before="29" w:line="288" w:lineRule="auto"/>
        <w:jc w:val="left"/>
        <w:rPr>
          <w:color w:val="000000"/>
          <w:sz w:val="24"/>
          <w:szCs w:val="24"/>
        </w:rPr>
      </w:pPr>
    </w:p>
    <w:p w:rsidR="00F15736" w:rsidRPr="002070B4" w:rsidRDefault="00F15736" w:rsidP="00F15736">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F15736" w:rsidRDefault="00F15736" w:rsidP="00F15736">
      <w:pPr>
        <w:spacing w:before="29" w:line="288" w:lineRule="auto"/>
        <w:ind w:firstLineChars="200" w:firstLine="480"/>
        <w:rPr>
          <w:color w:val="000000"/>
          <w:sz w:val="24"/>
        </w:rPr>
      </w:pPr>
      <w:r w:rsidRPr="002070B4">
        <w:rPr>
          <w:color w:val="000000"/>
          <w:sz w:val="24"/>
        </w:rPr>
        <w:t>本基金本报告期内无需预警说明。</w:t>
      </w:r>
    </w:p>
    <w:p w:rsidR="00F15736" w:rsidRPr="00F15736" w:rsidRDefault="00F15736"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292,301,025.71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86.23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292,301,025.71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86.23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41,597,767.75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5,092,964.45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338,991,757.91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203,307,398.86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4,811,180.40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4,890,912.55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53,599,058.58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24,668,742.40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989,646.96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292,301,025.71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88.18</w:t>
            </w:r>
          </w:p>
        </w:tc>
      </w:tr>
    </w:tbl>
    <w:p w:rsidR="000B7BCC" w:rsidRDefault="000B7BCC" w:rsidP="00F15736">
      <w:pPr>
        <w:jc w:val="left"/>
        <w:rPr>
          <w:b/>
          <w:bCs/>
          <w:color w:val="000000"/>
          <w:kern w:val="0"/>
          <w:sz w:val="24"/>
          <w:szCs w:val="24"/>
        </w:rPr>
      </w:pPr>
    </w:p>
    <w:p w:rsidR="00F15736" w:rsidRPr="008A409E" w:rsidRDefault="00F15736" w:rsidP="00F15736">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15736" w:rsidRDefault="00F15736" w:rsidP="00F15736">
      <w:pPr>
        <w:spacing w:before="29" w:line="360" w:lineRule="auto"/>
        <w:ind w:left="17"/>
        <w:rPr>
          <w:color w:val="000000"/>
          <w:sz w:val="24"/>
        </w:rPr>
      </w:pPr>
      <w:r w:rsidRPr="00FF0BBF">
        <w:rPr>
          <w:color w:val="000000"/>
          <w:sz w:val="24"/>
        </w:rPr>
        <w:t>本基金本报告期末未持有通过港股通投资的股票。</w:t>
      </w:r>
    </w:p>
    <w:p w:rsidR="00F15736" w:rsidRPr="00F15736" w:rsidRDefault="00F15736"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26068">
        <w:trPr>
          <w:jc w:val="center"/>
        </w:trPr>
        <w:tc>
          <w:tcPr>
            <w:tcW w:w="855" w:type="dxa"/>
            <w:vAlign w:val="center"/>
          </w:tcPr>
          <w:p w:rsidR="00D26068" w:rsidRDefault="005671B4">
            <w:pPr>
              <w:jc w:val="center"/>
            </w:pPr>
            <w:r>
              <w:rPr>
                <w:color w:val="000000"/>
                <w:sz w:val="24"/>
                <w:szCs w:val="24"/>
              </w:rPr>
              <w:t>1</w:t>
            </w:r>
          </w:p>
        </w:tc>
        <w:tc>
          <w:tcPr>
            <w:tcW w:w="1334" w:type="dxa"/>
            <w:vAlign w:val="center"/>
          </w:tcPr>
          <w:p w:rsidR="00D26068" w:rsidRDefault="005671B4">
            <w:pPr>
              <w:jc w:val="center"/>
            </w:pPr>
            <w:r>
              <w:rPr>
                <w:color w:val="000000"/>
                <w:sz w:val="24"/>
                <w:szCs w:val="24"/>
              </w:rPr>
              <w:t>600519</w:t>
            </w:r>
          </w:p>
        </w:tc>
        <w:tc>
          <w:tcPr>
            <w:tcW w:w="1777" w:type="dxa"/>
            <w:vAlign w:val="center"/>
          </w:tcPr>
          <w:p w:rsidR="00D26068" w:rsidRDefault="005671B4">
            <w:pPr>
              <w:jc w:val="center"/>
            </w:pPr>
            <w:r>
              <w:rPr>
                <w:color w:val="000000"/>
                <w:sz w:val="24"/>
                <w:szCs w:val="24"/>
              </w:rPr>
              <w:t>贵州茅台</w:t>
            </w:r>
          </w:p>
        </w:tc>
        <w:tc>
          <w:tcPr>
            <w:tcW w:w="1334" w:type="dxa"/>
            <w:vAlign w:val="center"/>
          </w:tcPr>
          <w:p w:rsidR="00D26068" w:rsidRDefault="005671B4">
            <w:pPr>
              <w:jc w:val="right"/>
            </w:pPr>
            <w:r>
              <w:rPr>
                <w:color w:val="000000"/>
                <w:sz w:val="24"/>
                <w:szCs w:val="24"/>
              </w:rPr>
              <w:t>41,321</w:t>
            </w:r>
          </w:p>
        </w:tc>
        <w:tc>
          <w:tcPr>
            <w:tcW w:w="1924" w:type="dxa"/>
            <w:vAlign w:val="center"/>
          </w:tcPr>
          <w:p w:rsidR="00D26068" w:rsidRDefault="005671B4">
            <w:pPr>
              <w:jc w:val="right"/>
            </w:pPr>
            <w:r>
              <w:rPr>
                <w:color w:val="000000"/>
                <w:sz w:val="24"/>
                <w:szCs w:val="24"/>
              </w:rPr>
              <w:t>28,820,984.29</w:t>
            </w:r>
          </w:p>
        </w:tc>
        <w:tc>
          <w:tcPr>
            <w:tcW w:w="1644" w:type="dxa"/>
            <w:vAlign w:val="center"/>
          </w:tcPr>
          <w:p w:rsidR="00D26068" w:rsidRDefault="005671B4">
            <w:pPr>
              <w:jc w:val="right"/>
            </w:pPr>
            <w:r>
              <w:rPr>
                <w:color w:val="000000"/>
                <w:sz w:val="24"/>
                <w:szCs w:val="24"/>
              </w:rPr>
              <w:t>8.69</w:t>
            </w:r>
          </w:p>
        </w:tc>
      </w:tr>
      <w:tr w:rsidR="00D26068">
        <w:trPr>
          <w:jc w:val="center"/>
        </w:trPr>
        <w:tc>
          <w:tcPr>
            <w:tcW w:w="855" w:type="dxa"/>
            <w:vAlign w:val="center"/>
          </w:tcPr>
          <w:p w:rsidR="00D26068" w:rsidRDefault="005671B4">
            <w:pPr>
              <w:jc w:val="center"/>
            </w:pPr>
            <w:r>
              <w:rPr>
                <w:color w:val="000000"/>
                <w:sz w:val="24"/>
                <w:szCs w:val="24"/>
              </w:rPr>
              <w:t>2</w:t>
            </w:r>
          </w:p>
        </w:tc>
        <w:tc>
          <w:tcPr>
            <w:tcW w:w="1334" w:type="dxa"/>
            <w:vAlign w:val="center"/>
          </w:tcPr>
          <w:p w:rsidR="00D26068" w:rsidRDefault="005671B4">
            <w:pPr>
              <w:jc w:val="center"/>
            </w:pPr>
            <w:r>
              <w:rPr>
                <w:color w:val="000000"/>
                <w:sz w:val="24"/>
                <w:szCs w:val="24"/>
              </w:rPr>
              <w:t>600887</w:t>
            </w:r>
          </w:p>
        </w:tc>
        <w:tc>
          <w:tcPr>
            <w:tcW w:w="1777" w:type="dxa"/>
            <w:vAlign w:val="center"/>
          </w:tcPr>
          <w:p w:rsidR="00D26068" w:rsidRDefault="005671B4">
            <w:pPr>
              <w:jc w:val="center"/>
            </w:pPr>
            <w:r>
              <w:rPr>
                <w:color w:val="000000"/>
                <w:sz w:val="24"/>
                <w:szCs w:val="24"/>
              </w:rPr>
              <w:t>伊利股份</w:t>
            </w:r>
          </w:p>
        </w:tc>
        <w:tc>
          <w:tcPr>
            <w:tcW w:w="1334" w:type="dxa"/>
            <w:vAlign w:val="center"/>
          </w:tcPr>
          <w:p w:rsidR="00D26068" w:rsidRDefault="005671B4">
            <w:pPr>
              <w:jc w:val="right"/>
            </w:pPr>
            <w:r>
              <w:rPr>
                <w:color w:val="000000"/>
                <w:sz w:val="24"/>
                <w:szCs w:val="24"/>
              </w:rPr>
              <w:t>830,709</w:t>
            </w:r>
          </w:p>
        </w:tc>
        <w:tc>
          <w:tcPr>
            <w:tcW w:w="1924" w:type="dxa"/>
            <w:vAlign w:val="center"/>
          </w:tcPr>
          <w:p w:rsidR="00D26068" w:rsidRDefault="005671B4">
            <w:pPr>
              <w:jc w:val="right"/>
            </w:pPr>
            <w:r>
              <w:rPr>
                <w:color w:val="000000"/>
                <w:sz w:val="24"/>
                <w:szCs w:val="24"/>
              </w:rPr>
              <w:t>26,740,522.71</w:t>
            </w:r>
          </w:p>
        </w:tc>
        <w:tc>
          <w:tcPr>
            <w:tcW w:w="1644" w:type="dxa"/>
            <w:vAlign w:val="center"/>
          </w:tcPr>
          <w:p w:rsidR="00D26068" w:rsidRDefault="005671B4">
            <w:pPr>
              <w:jc w:val="right"/>
            </w:pPr>
            <w:r>
              <w:rPr>
                <w:color w:val="000000"/>
                <w:sz w:val="24"/>
                <w:szCs w:val="24"/>
              </w:rPr>
              <w:t>8.07</w:t>
            </w:r>
          </w:p>
        </w:tc>
      </w:tr>
      <w:tr w:rsidR="00D26068">
        <w:trPr>
          <w:jc w:val="center"/>
        </w:trPr>
        <w:tc>
          <w:tcPr>
            <w:tcW w:w="855" w:type="dxa"/>
            <w:vAlign w:val="center"/>
          </w:tcPr>
          <w:p w:rsidR="00D26068" w:rsidRDefault="005671B4">
            <w:pPr>
              <w:jc w:val="center"/>
            </w:pPr>
            <w:r>
              <w:rPr>
                <w:color w:val="000000"/>
                <w:sz w:val="24"/>
                <w:szCs w:val="24"/>
              </w:rPr>
              <w:t>3</w:t>
            </w:r>
          </w:p>
        </w:tc>
        <w:tc>
          <w:tcPr>
            <w:tcW w:w="1334" w:type="dxa"/>
            <w:vAlign w:val="center"/>
          </w:tcPr>
          <w:p w:rsidR="00D26068" w:rsidRDefault="005671B4">
            <w:pPr>
              <w:jc w:val="center"/>
            </w:pPr>
            <w:r>
              <w:rPr>
                <w:color w:val="000000"/>
                <w:sz w:val="24"/>
                <w:szCs w:val="24"/>
              </w:rPr>
              <w:t>000858</w:t>
            </w:r>
          </w:p>
        </w:tc>
        <w:tc>
          <w:tcPr>
            <w:tcW w:w="1777" w:type="dxa"/>
            <w:vAlign w:val="center"/>
          </w:tcPr>
          <w:p w:rsidR="00D26068" w:rsidRDefault="005671B4">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D26068" w:rsidRDefault="005671B4">
            <w:pPr>
              <w:jc w:val="right"/>
            </w:pPr>
            <w:r>
              <w:rPr>
                <w:color w:val="000000"/>
                <w:sz w:val="24"/>
                <w:szCs w:val="24"/>
              </w:rPr>
              <w:t>330,508</w:t>
            </w:r>
          </w:p>
        </w:tc>
        <w:tc>
          <w:tcPr>
            <w:tcW w:w="1924" w:type="dxa"/>
            <w:vAlign w:val="center"/>
          </w:tcPr>
          <w:p w:rsidR="00D26068" w:rsidRDefault="005671B4">
            <w:pPr>
              <w:jc w:val="right"/>
            </w:pPr>
            <w:r>
              <w:rPr>
                <w:color w:val="000000"/>
                <w:sz w:val="24"/>
                <w:szCs w:val="24"/>
              </w:rPr>
              <w:t>26,400,979.04</w:t>
            </w:r>
          </w:p>
        </w:tc>
        <w:tc>
          <w:tcPr>
            <w:tcW w:w="1644" w:type="dxa"/>
            <w:vAlign w:val="center"/>
          </w:tcPr>
          <w:p w:rsidR="00D26068" w:rsidRDefault="005671B4">
            <w:pPr>
              <w:jc w:val="right"/>
            </w:pPr>
            <w:r>
              <w:rPr>
                <w:color w:val="000000"/>
                <w:sz w:val="24"/>
                <w:szCs w:val="24"/>
              </w:rPr>
              <w:t>7.96</w:t>
            </w:r>
          </w:p>
        </w:tc>
      </w:tr>
      <w:tr w:rsidR="00D26068">
        <w:trPr>
          <w:jc w:val="center"/>
        </w:trPr>
        <w:tc>
          <w:tcPr>
            <w:tcW w:w="855" w:type="dxa"/>
            <w:vAlign w:val="center"/>
          </w:tcPr>
          <w:p w:rsidR="00D26068" w:rsidRDefault="005671B4">
            <w:pPr>
              <w:jc w:val="center"/>
            </w:pPr>
            <w:r>
              <w:rPr>
                <w:color w:val="000000"/>
                <w:sz w:val="24"/>
                <w:szCs w:val="24"/>
              </w:rPr>
              <w:t>4</w:t>
            </w:r>
          </w:p>
        </w:tc>
        <w:tc>
          <w:tcPr>
            <w:tcW w:w="1334" w:type="dxa"/>
            <w:vAlign w:val="center"/>
          </w:tcPr>
          <w:p w:rsidR="00D26068" w:rsidRDefault="005671B4">
            <w:pPr>
              <w:jc w:val="center"/>
            </w:pPr>
            <w:r>
              <w:rPr>
                <w:color w:val="000000"/>
                <w:sz w:val="24"/>
                <w:szCs w:val="24"/>
              </w:rPr>
              <w:t>002304</w:t>
            </w:r>
          </w:p>
        </w:tc>
        <w:tc>
          <w:tcPr>
            <w:tcW w:w="1777" w:type="dxa"/>
            <w:vAlign w:val="center"/>
          </w:tcPr>
          <w:p w:rsidR="00D26068" w:rsidRDefault="005671B4">
            <w:pPr>
              <w:jc w:val="center"/>
            </w:pPr>
            <w:r>
              <w:rPr>
                <w:color w:val="000000"/>
                <w:sz w:val="24"/>
                <w:szCs w:val="24"/>
              </w:rPr>
              <w:t>洋河股份</w:t>
            </w:r>
          </w:p>
        </w:tc>
        <w:tc>
          <w:tcPr>
            <w:tcW w:w="1334" w:type="dxa"/>
            <w:vAlign w:val="center"/>
          </w:tcPr>
          <w:p w:rsidR="00D26068" w:rsidRDefault="005671B4">
            <w:pPr>
              <w:jc w:val="right"/>
            </w:pPr>
            <w:r>
              <w:rPr>
                <w:color w:val="000000"/>
                <w:sz w:val="24"/>
                <w:szCs w:val="24"/>
              </w:rPr>
              <w:t>222,913</w:t>
            </w:r>
          </w:p>
        </w:tc>
        <w:tc>
          <w:tcPr>
            <w:tcW w:w="1924" w:type="dxa"/>
            <w:vAlign w:val="center"/>
          </w:tcPr>
          <w:p w:rsidR="00D26068" w:rsidRDefault="005671B4">
            <w:pPr>
              <w:jc w:val="right"/>
            </w:pPr>
            <w:r>
              <w:rPr>
                <w:color w:val="000000"/>
                <w:sz w:val="24"/>
                <w:szCs w:val="24"/>
              </w:rPr>
              <w:t>25,634,995.00</w:t>
            </w:r>
          </w:p>
        </w:tc>
        <w:tc>
          <w:tcPr>
            <w:tcW w:w="1644" w:type="dxa"/>
            <w:vAlign w:val="center"/>
          </w:tcPr>
          <w:p w:rsidR="00D26068" w:rsidRDefault="005671B4">
            <w:pPr>
              <w:jc w:val="right"/>
            </w:pPr>
            <w:r>
              <w:rPr>
                <w:color w:val="000000"/>
                <w:sz w:val="24"/>
                <w:szCs w:val="24"/>
              </w:rPr>
              <w:t>7.73</w:t>
            </w:r>
          </w:p>
        </w:tc>
      </w:tr>
      <w:tr w:rsidR="00D26068">
        <w:trPr>
          <w:jc w:val="center"/>
        </w:trPr>
        <w:tc>
          <w:tcPr>
            <w:tcW w:w="855" w:type="dxa"/>
            <w:vAlign w:val="center"/>
          </w:tcPr>
          <w:p w:rsidR="00D26068" w:rsidRDefault="005671B4">
            <w:pPr>
              <w:jc w:val="center"/>
            </w:pPr>
            <w:r>
              <w:rPr>
                <w:color w:val="000000"/>
                <w:sz w:val="24"/>
                <w:szCs w:val="24"/>
              </w:rPr>
              <w:t>5</w:t>
            </w:r>
          </w:p>
        </w:tc>
        <w:tc>
          <w:tcPr>
            <w:tcW w:w="1334" w:type="dxa"/>
            <w:vAlign w:val="center"/>
          </w:tcPr>
          <w:p w:rsidR="00D26068" w:rsidRDefault="005671B4">
            <w:pPr>
              <w:jc w:val="center"/>
            </w:pPr>
            <w:r>
              <w:rPr>
                <w:color w:val="000000"/>
                <w:sz w:val="24"/>
                <w:szCs w:val="24"/>
              </w:rPr>
              <w:t>002027</w:t>
            </w:r>
          </w:p>
        </w:tc>
        <w:tc>
          <w:tcPr>
            <w:tcW w:w="1777" w:type="dxa"/>
            <w:vAlign w:val="center"/>
          </w:tcPr>
          <w:p w:rsidR="00D26068" w:rsidRDefault="005671B4">
            <w:pPr>
              <w:jc w:val="center"/>
            </w:pPr>
            <w:r>
              <w:rPr>
                <w:color w:val="000000"/>
                <w:sz w:val="24"/>
                <w:szCs w:val="24"/>
              </w:rPr>
              <w:t>分众传媒</w:t>
            </w:r>
          </w:p>
        </w:tc>
        <w:tc>
          <w:tcPr>
            <w:tcW w:w="1334" w:type="dxa"/>
            <w:vAlign w:val="center"/>
          </w:tcPr>
          <w:p w:rsidR="00D26068" w:rsidRDefault="005671B4">
            <w:pPr>
              <w:jc w:val="right"/>
            </w:pPr>
            <w:r>
              <w:rPr>
                <w:color w:val="000000"/>
                <w:sz w:val="24"/>
                <w:szCs w:val="24"/>
              </w:rPr>
              <w:t>1,785,280</w:t>
            </w:r>
          </w:p>
        </w:tc>
        <w:tc>
          <w:tcPr>
            <w:tcW w:w="1924" w:type="dxa"/>
            <w:vAlign w:val="center"/>
          </w:tcPr>
          <w:p w:rsidR="00D26068" w:rsidRDefault="005671B4">
            <w:pPr>
              <w:jc w:val="right"/>
            </w:pPr>
            <w:r>
              <w:rPr>
                <w:color w:val="000000"/>
                <w:sz w:val="24"/>
                <w:szCs w:val="24"/>
              </w:rPr>
              <w:t>24,668,742.40</w:t>
            </w:r>
          </w:p>
        </w:tc>
        <w:tc>
          <w:tcPr>
            <w:tcW w:w="1644" w:type="dxa"/>
            <w:vAlign w:val="center"/>
          </w:tcPr>
          <w:p w:rsidR="00D26068" w:rsidRDefault="005671B4">
            <w:pPr>
              <w:jc w:val="right"/>
            </w:pPr>
            <w:r>
              <w:rPr>
                <w:color w:val="000000"/>
                <w:sz w:val="24"/>
                <w:szCs w:val="24"/>
              </w:rPr>
              <w:t>7.44</w:t>
            </w:r>
          </w:p>
        </w:tc>
      </w:tr>
      <w:tr w:rsidR="00D26068">
        <w:trPr>
          <w:jc w:val="center"/>
        </w:trPr>
        <w:tc>
          <w:tcPr>
            <w:tcW w:w="855" w:type="dxa"/>
            <w:vAlign w:val="center"/>
          </w:tcPr>
          <w:p w:rsidR="00D26068" w:rsidRDefault="005671B4">
            <w:pPr>
              <w:jc w:val="center"/>
            </w:pPr>
            <w:r>
              <w:rPr>
                <w:color w:val="000000"/>
                <w:sz w:val="24"/>
                <w:szCs w:val="24"/>
              </w:rPr>
              <w:t>6</w:t>
            </w:r>
          </w:p>
        </w:tc>
        <w:tc>
          <w:tcPr>
            <w:tcW w:w="1334" w:type="dxa"/>
            <w:vAlign w:val="center"/>
          </w:tcPr>
          <w:p w:rsidR="00D26068" w:rsidRDefault="005671B4">
            <w:pPr>
              <w:jc w:val="center"/>
            </w:pPr>
            <w:r>
              <w:rPr>
                <w:color w:val="000000"/>
                <w:sz w:val="24"/>
                <w:szCs w:val="24"/>
              </w:rPr>
              <w:t>600559</w:t>
            </w:r>
          </w:p>
        </w:tc>
        <w:tc>
          <w:tcPr>
            <w:tcW w:w="1777" w:type="dxa"/>
            <w:vAlign w:val="center"/>
          </w:tcPr>
          <w:p w:rsidR="00D26068" w:rsidRDefault="005671B4">
            <w:pPr>
              <w:jc w:val="center"/>
            </w:pPr>
            <w:r>
              <w:rPr>
                <w:color w:val="000000"/>
                <w:sz w:val="24"/>
                <w:szCs w:val="24"/>
              </w:rPr>
              <w:t>老白干酒</w:t>
            </w:r>
          </w:p>
        </w:tc>
        <w:tc>
          <w:tcPr>
            <w:tcW w:w="1334" w:type="dxa"/>
            <w:vAlign w:val="center"/>
          </w:tcPr>
          <w:p w:rsidR="00D26068" w:rsidRDefault="005671B4">
            <w:pPr>
              <w:jc w:val="right"/>
            </w:pPr>
            <w:r>
              <w:rPr>
                <w:color w:val="000000"/>
                <w:sz w:val="24"/>
                <w:szCs w:val="24"/>
              </w:rPr>
              <w:t>709,400</w:t>
            </w:r>
          </w:p>
        </w:tc>
        <w:tc>
          <w:tcPr>
            <w:tcW w:w="1924" w:type="dxa"/>
            <w:vAlign w:val="center"/>
          </w:tcPr>
          <w:p w:rsidR="00D26068" w:rsidRDefault="005671B4">
            <w:pPr>
              <w:jc w:val="right"/>
            </w:pPr>
            <w:r>
              <w:rPr>
                <w:color w:val="000000"/>
                <w:sz w:val="24"/>
                <w:szCs w:val="24"/>
              </w:rPr>
              <w:t>21,970,118.00</w:t>
            </w:r>
          </w:p>
        </w:tc>
        <w:tc>
          <w:tcPr>
            <w:tcW w:w="1644" w:type="dxa"/>
            <w:vAlign w:val="center"/>
          </w:tcPr>
          <w:p w:rsidR="00D26068" w:rsidRDefault="005671B4">
            <w:pPr>
              <w:jc w:val="right"/>
            </w:pPr>
            <w:r>
              <w:rPr>
                <w:color w:val="000000"/>
                <w:sz w:val="24"/>
                <w:szCs w:val="24"/>
              </w:rPr>
              <w:t>6.63</w:t>
            </w:r>
          </w:p>
        </w:tc>
      </w:tr>
      <w:tr w:rsidR="00D26068">
        <w:trPr>
          <w:jc w:val="center"/>
        </w:trPr>
        <w:tc>
          <w:tcPr>
            <w:tcW w:w="855" w:type="dxa"/>
            <w:vAlign w:val="center"/>
          </w:tcPr>
          <w:p w:rsidR="00D26068" w:rsidRDefault="005671B4">
            <w:pPr>
              <w:jc w:val="center"/>
            </w:pPr>
            <w:r>
              <w:rPr>
                <w:color w:val="000000"/>
                <w:sz w:val="24"/>
                <w:szCs w:val="24"/>
              </w:rPr>
              <w:t>7</w:t>
            </w:r>
          </w:p>
        </w:tc>
        <w:tc>
          <w:tcPr>
            <w:tcW w:w="1334" w:type="dxa"/>
            <w:vAlign w:val="center"/>
          </w:tcPr>
          <w:p w:rsidR="00D26068" w:rsidRDefault="005671B4">
            <w:pPr>
              <w:jc w:val="center"/>
            </w:pPr>
            <w:r>
              <w:rPr>
                <w:color w:val="000000"/>
                <w:sz w:val="24"/>
                <w:szCs w:val="24"/>
              </w:rPr>
              <w:t>603877</w:t>
            </w:r>
          </w:p>
        </w:tc>
        <w:tc>
          <w:tcPr>
            <w:tcW w:w="1777" w:type="dxa"/>
            <w:vAlign w:val="center"/>
          </w:tcPr>
          <w:p w:rsidR="00D26068" w:rsidRDefault="005671B4">
            <w:pPr>
              <w:jc w:val="center"/>
            </w:pPr>
            <w:r>
              <w:rPr>
                <w:color w:val="000000"/>
                <w:sz w:val="24"/>
                <w:szCs w:val="24"/>
              </w:rPr>
              <w:t>太平鸟</w:t>
            </w:r>
          </w:p>
        </w:tc>
        <w:tc>
          <w:tcPr>
            <w:tcW w:w="1334" w:type="dxa"/>
            <w:vAlign w:val="center"/>
          </w:tcPr>
          <w:p w:rsidR="00D26068" w:rsidRDefault="005671B4">
            <w:pPr>
              <w:jc w:val="right"/>
            </w:pPr>
            <w:r>
              <w:rPr>
                <w:color w:val="000000"/>
                <w:sz w:val="24"/>
                <w:szCs w:val="24"/>
              </w:rPr>
              <w:t>754,616</w:t>
            </w:r>
          </w:p>
        </w:tc>
        <w:tc>
          <w:tcPr>
            <w:tcW w:w="1924" w:type="dxa"/>
            <w:vAlign w:val="center"/>
          </w:tcPr>
          <w:p w:rsidR="00D26068" w:rsidRDefault="005671B4">
            <w:pPr>
              <w:jc w:val="right"/>
            </w:pPr>
            <w:r>
              <w:rPr>
                <w:color w:val="000000"/>
                <w:sz w:val="24"/>
                <w:szCs w:val="24"/>
              </w:rPr>
              <w:t>20,457,639.76</w:t>
            </w:r>
          </w:p>
        </w:tc>
        <w:tc>
          <w:tcPr>
            <w:tcW w:w="1644" w:type="dxa"/>
            <w:vAlign w:val="center"/>
          </w:tcPr>
          <w:p w:rsidR="00D26068" w:rsidRDefault="005671B4">
            <w:pPr>
              <w:jc w:val="right"/>
            </w:pPr>
            <w:r>
              <w:rPr>
                <w:color w:val="000000"/>
                <w:sz w:val="24"/>
                <w:szCs w:val="24"/>
              </w:rPr>
              <w:t>6.17</w:t>
            </w:r>
          </w:p>
        </w:tc>
      </w:tr>
      <w:tr w:rsidR="00D26068">
        <w:trPr>
          <w:jc w:val="center"/>
        </w:trPr>
        <w:tc>
          <w:tcPr>
            <w:tcW w:w="855" w:type="dxa"/>
            <w:vAlign w:val="center"/>
          </w:tcPr>
          <w:p w:rsidR="00D26068" w:rsidRDefault="005671B4">
            <w:pPr>
              <w:jc w:val="center"/>
            </w:pPr>
            <w:r>
              <w:rPr>
                <w:color w:val="000000"/>
                <w:sz w:val="24"/>
                <w:szCs w:val="24"/>
              </w:rPr>
              <w:t>8</w:t>
            </w:r>
          </w:p>
        </w:tc>
        <w:tc>
          <w:tcPr>
            <w:tcW w:w="1334" w:type="dxa"/>
            <w:vAlign w:val="center"/>
          </w:tcPr>
          <w:p w:rsidR="00D26068" w:rsidRDefault="005671B4">
            <w:pPr>
              <w:jc w:val="center"/>
            </w:pPr>
            <w:r>
              <w:rPr>
                <w:color w:val="000000"/>
                <w:sz w:val="24"/>
                <w:szCs w:val="24"/>
              </w:rPr>
              <w:t>601398</w:t>
            </w:r>
          </w:p>
        </w:tc>
        <w:tc>
          <w:tcPr>
            <w:tcW w:w="1777" w:type="dxa"/>
            <w:vAlign w:val="center"/>
          </w:tcPr>
          <w:p w:rsidR="00D26068" w:rsidRDefault="005671B4">
            <w:pPr>
              <w:jc w:val="center"/>
            </w:pPr>
            <w:r>
              <w:rPr>
                <w:color w:val="000000"/>
                <w:sz w:val="24"/>
                <w:szCs w:val="24"/>
              </w:rPr>
              <w:t>工商银行</w:t>
            </w:r>
          </w:p>
        </w:tc>
        <w:tc>
          <w:tcPr>
            <w:tcW w:w="1334" w:type="dxa"/>
            <w:vAlign w:val="center"/>
          </w:tcPr>
          <w:p w:rsidR="00D26068" w:rsidRDefault="005671B4">
            <w:pPr>
              <w:jc w:val="right"/>
            </w:pPr>
            <w:r>
              <w:rPr>
                <w:color w:val="000000"/>
                <w:sz w:val="24"/>
                <w:szCs w:val="24"/>
              </w:rPr>
              <w:t>3,283,127</w:t>
            </w:r>
          </w:p>
        </w:tc>
        <w:tc>
          <w:tcPr>
            <w:tcW w:w="1924" w:type="dxa"/>
            <w:vAlign w:val="center"/>
          </w:tcPr>
          <w:p w:rsidR="00D26068" w:rsidRDefault="005671B4">
            <w:pPr>
              <w:jc w:val="right"/>
            </w:pPr>
            <w:r>
              <w:rPr>
                <w:color w:val="000000"/>
                <w:sz w:val="24"/>
                <w:szCs w:val="24"/>
              </w:rPr>
              <w:t>20,355,387.40</w:t>
            </w:r>
          </w:p>
        </w:tc>
        <w:tc>
          <w:tcPr>
            <w:tcW w:w="1644" w:type="dxa"/>
            <w:vAlign w:val="center"/>
          </w:tcPr>
          <w:p w:rsidR="00D26068" w:rsidRDefault="005671B4">
            <w:pPr>
              <w:jc w:val="right"/>
            </w:pPr>
            <w:r>
              <w:rPr>
                <w:color w:val="000000"/>
                <w:sz w:val="24"/>
                <w:szCs w:val="24"/>
              </w:rPr>
              <w:t>6.14</w:t>
            </w:r>
          </w:p>
        </w:tc>
      </w:tr>
      <w:tr w:rsidR="00D26068">
        <w:trPr>
          <w:jc w:val="center"/>
        </w:trPr>
        <w:tc>
          <w:tcPr>
            <w:tcW w:w="855" w:type="dxa"/>
            <w:vAlign w:val="center"/>
          </w:tcPr>
          <w:p w:rsidR="00D26068" w:rsidRDefault="005671B4">
            <w:pPr>
              <w:jc w:val="center"/>
            </w:pPr>
            <w:r>
              <w:rPr>
                <w:color w:val="000000"/>
                <w:sz w:val="24"/>
                <w:szCs w:val="24"/>
              </w:rPr>
              <w:t>9</w:t>
            </w:r>
          </w:p>
        </w:tc>
        <w:tc>
          <w:tcPr>
            <w:tcW w:w="1334" w:type="dxa"/>
            <w:vAlign w:val="center"/>
          </w:tcPr>
          <w:p w:rsidR="00D26068" w:rsidRDefault="005671B4">
            <w:pPr>
              <w:jc w:val="center"/>
            </w:pPr>
            <w:r>
              <w:rPr>
                <w:color w:val="000000"/>
                <w:sz w:val="24"/>
                <w:szCs w:val="24"/>
              </w:rPr>
              <w:t>600036</w:t>
            </w:r>
          </w:p>
        </w:tc>
        <w:tc>
          <w:tcPr>
            <w:tcW w:w="1777" w:type="dxa"/>
            <w:vAlign w:val="center"/>
          </w:tcPr>
          <w:p w:rsidR="00D26068" w:rsidRDefault="005671B4">
            <w:pPr>
              <w:jc w:val="center"/>
            </w:pPr>
            <w:r>
              <w:rPr>
                <w:color w:val="000000"/>
                <w:sz w:val="24"/>
                <w:szCs w:val="24"/>
              </w:rPr>
              <w:t>招商银行</w:t>
            </w:r>
          </w:p>
        </w:tc>
        <w:tc>
          <w:tcPr>
            <w:tcW w:w="1334" w:type="dxa"/>
            <w:vAlign w:val="center"/>
          </w:tcPr>
          <w:p w:rsidR="00D26068" w:rsidRDefault="005671B4">
            <w:pPr>
              <w:jc w:val="right"/>
            </w:pPr>
            <w:r>
              <w:rPr>
                <w:color w:val="000000"/>
                <w:sz w:val="24"/>
                <w:szCs w:val="24"/>
              </w:rPr>
              <w:t>684,956</w:t>
            </w:r>
          </w:p>
        </w:tc>
        <w:tc>
          <w:tcPr>
            <w:tcW w:w="1924" w:type="dxa"/>
            <w:vAlign w:val="center"/>
          </w:tcPr>
          <w:p w:rsidR="00D26068" w:rsidRDefault="005671B4">
            <w:pPr>
              <w:jc w:val="right"/>
            </w:pPr>
            <w:r>
              <w:rPr>
                <w:color w:val="000000"/>
                <w:sz w:val="24"/>
                <w:szCs w:val="24"/>
              </w:rPr>
              <w:t>19,877,423.12</w:t>
            </w:r>
          </w:p>
        </w:tc>
        <w:tc>
          <w:tcPr>
            <w:tcW w:w="1644" w:type="dxa"/>
            <w:vAlign w:val="center"/>
          </w:tcPr>
          <w:p w:rsidR="00D26068" w:rsidRDefault="005671B4">
            <w:pPr>
              <w:jc w:val="right"/>
            </w:pPr>
            <w:r>
              <w:rPr>
                <w:color w:val="000000"/>
                <w:sz w:val="24"/>
                <w:szCs w:val="24"/>
              </w:rPr>
              <w:t>6.00</w:t>
            </w:r>
          </w:p>
        </w:tc>
      </w:tr>
      <w:tr w:rsidR="00D26068">
        <w:trPr>
          <w:jc w:val="center"/>
        </w:trPr>
        <w:tc>
          <w:tcPr>
            <w:tcW w:w="855" w:type="dxa"/>
            <w:vAlign w:val="center"/>
          </w:tcPr>
          <w:p w:rsidR="00D26068" w:rsidRDefault="005671B4">
            <w:pPr>
              <w:jc w:val="center"/>
            </w:pPr>
            <w:r>
              <w:rPr>
                <w:color w:val="000000"/>
                <w:sz w:val="24"/>
                <w:szCs w:val="24"/>
              </w:rPr>
              <w:t>10</w:t>
            </w:r>
          </w:p>
        </w:tc>
        <w:tc>
          <w:tcPr>
            <w:tcW w:w="1334" w:type="dxa"/>
            <w:vAlign w:val="center"/>
          </w:tcPr>
          <w:p w:rsidR="00D26068" w:rsidRDefault="005671B4">
            <w:pPr>
              <w:jc w:val="center"/>
            </w:pPr>
            <w:r>
              <w:rPr>
                <w:color w:val="000000"/>
                <w:sz w:val="24"/>
                <w:szCs w:val="24"/>
              </w:rPr>
              <w:t>000895</w:t>
            </w:r>
          </w:p>
        </w:tc>
        <w:tc>
          <w:tcPr>
            <w:tcW w:w="1777" w:type="dxa"/>
            <w:vAlign w:val="center"/>
          </w:tcPr>
          <w:p w:rsidR="00D26068" w:rsidRDefault="005671B4">
            <w:pPr>
              <w:jc w:val="center"/>
            </w:pPr>
            <w:r>
              <w:rPr>
                <w:color w:val="000000"/>
                <w:sz w:val="24"/>
                <w:szCs w:val="24"/>
              </w:rPr>
              <w:t>双汇发展</w:t>
            </w:r>
          </w:p>
        </w:tc>
        <w:tc>
          <w:tcPr>
            <w:tcW w:w="1334" w:type="dxa"/>
            <w:vAlign w:val="center"/>
          </w:tcPr>
          <w:p w:rsidR="00D26068" w:rsidRDefault="005671B4">
            <w:pPr>
              <w:jc w:val="right"/>
            </w:pPr>
            <w:r>
              <w:rPr>
                <w:color w:val="000000"/>
                <w:sz w:val="24"/>
                <w:szCs w:val="24"/>
              </w:rPr>
              <w:t>620,685</w:t>
            </w:r>
          </w:p>
        </w:tc>
        <w:tc>
          <w:tcPr>
            <w:tcW w:w="1924" w:type="dxa"/>
            <w:vAlign w:val="center"/>
          </w:tcPr>
          <w:p w:rsidR="00D26068" w:rsidRDefault="005671B4">
            <w:pPr>
              <w:jc w:val="right"/>
            </w:pPr>
            <w:r>
              <w:rPr>
                <w:color w:val="000000"/>
                <w:sz w:val="24"/>
                <w:szCs w:val="24"/>
              </w:rPr>
              <w:t>16,448,152.50</w:t>
            </w:r>
          </w:p>
        </w:tc>
        <w:tc>
          <w:tcPr>
            <w:tcW w:w="1644" w:type="dxa"/>
            <w:vAlign w:val="center"/>
          </w:tcPr>
          <w:p w:rsidR="00D26068" w:rsidRDefault="005671B4">
            <w:pPr>
              <w:jc w:val="right"/>
            </w:pPr>
            <w:r>
              <w:rPr>
                <w:color w:val="000000"/>
                <w:sz w:val="24"/>
                <w:szCs w:val="24"/>
              </w:rPr>
              <w:t>4.96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AD175E" w:rsidRDefault="001A0F42" w:rsidP="00C15CAC">
      <w:pPr>
        <w:autoSpaceDE w:val="0"/>
        <w:autoSpaceDN w:val="0"/>
        <w:adjustRightInd w:val="0"/>
        <w:spacing w:before="29" w:line="288" w:lineRule="auto"/>
        <w:jc w:val="left"/>
        <w:rPr>
          <w:color w:val="000000"/>
          <w:sz w:val="24"/>
          <w:szCs w:val="24"/>
        </w:rPr>
      </w:pPr>
      <w:r>
        <w:rPr>
          <w:rFonts w:hint="eastAsia"/>
          <w:color w:val="000000"/>
          <w:sz w:val="24"/>
          <w:szCs w:val="24"/>
        </w:rPr>
        <w:t>本基金</w:t>
      </w:r>
      <w:bookmarkStart w:id="0" w:name="_GoBack"/>
      <w:bookmarkEnd w:id="0"/>
      <w:r w:rsidR="00AD175E" w:rsidRPr="00AD175E">
        <w:rPr>
          <w:rFonts w:hint="eastAsia"/>
          <w:color w:val="000000"/>
          <w:sz w:val="24"/>
          <w:szCs w:val="24"/>
        </w:rPr>
        <w:t>本报告期</w:t>
      </w:r>
      <w:r w:rsidR="00AD175E" w:rsidRPr="00AD175E">
        <w:rPr>
          <w:color w:val="000000"/>
          <w:sz w:val="24"/>
          <w:szCs w:val="24"/>
        </w:rPr>
        <w:t>末未持有贵金属。</w:t>
      </w:r>
    </w:p>
    <w:p w:rsidR="00AD175E" w:rsidRPr="00AD175E" w:rsidRDefault="00AD175E" w:rsidP="00C15CAC">
      <w:pPr>
        <w:autoSpaceDE w:val="0"/>
        <w:autoSpaceDN w:val="0"/>
        <w:adjustRightInd w:val="0"/>
        <w:spacing w:before="29" w:line="288" w:lineRule="auto"/>
        <w:jc w:val="left"/>
        <w:rPr>
          <w:color w:val="00000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221,502.02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4,709,082.92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13,171.34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149,208.17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5,092,964.45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863F24"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7C43" w:rsidRPr="00414345" w:rsidTr="007C7C43">
        <w:trPr>
          <w:jc w:val="center"/>
        </w:trPr>
        <w:tc>
          <w:tcPr>
            <w:tcW w:w="1129" w:type="dxa"/>
            <w:vAlign w:val="center"/>
          </w:tcPr>
          <w:p w:rsidR="007C7C43" w:rsidRPr="00414345" w:rsidRDefault="007C7C43" w:rsidP="00252D4D">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7C7C43" w:rsidRPr="00414345" w:rsidRDefault="007C7C43" w:rsidP="00252D4D">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7C7C43" w:rsidRPr="00414345" w:rsidRDefault="007C7C43" w:rsidP="00252D4D">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7C7C43" w:rsidRPr="00414345" w:rsidRDefault="007C7C43" w:rsidP="00252D4D">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7C7C43" w:rsidRPr="00414345" w:rsidRDefault="007C7C43" w:rsidP="00252D4D">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rsidR="007C7C43" w:rsidRPr="00414345" w:rsidRDefault="007C7C43" w:rsidP="00252D4D">
            <w:pPr>
              <w:spacing w:before="29" w:line="288" w:lineRule="auto"/>
              <w:ind w:left="17"/>
              <w:jc w:val="center"/>
              <w:rPr>
                <w:color w:val="000000"/>
                <w:sz w:val="24"/>
                <w:szCs w:val="24"/>
              </w:rPr>
            </w:pPr>
            <w:r w:rsidRPr="00414345">
              <w:rPr>
                <w:color w:val="000000"/>
                <w:sz w:val="24"/>
                <w:szCs w:val="24"/>
              </w:rPr>
              <w:t>流通受限情况说明</w:t>
            </w:r>
          </w:p>
        </w:tc>
      </w:tr>
      <w:tr w:rsidR="007C7C43" w:rsidTr="00252D4D">
        <w:trPr>
          <w:jc w:val="center"/>
        </w:trPr>
        <w:tc>
          <w:tcPr>
            <w:tcW w:w="1129" w:type="dxa"/>
            <w:vAlign w:val="center"/>
          </w:tcPr>
          <w:p w:rsidR="007C7C43" w:rsidRDefault="007C7C43" w:rsidP="00252D4D">
            <w:pPr>
              <w:jc w:val="center"/>
            </w:pPr>
            <w:r>
              <w:rPr>
                <w:color w:val="000000"/>
                <w:sz w:val="24"/>
                <w:szCs w:val="24"/>
              </w:rPr>
              <w:t>1</w:t>
            </w:r>
          </w:p>
        </w:tc>
        <w:tc>
          <w:tcPr>
            <w:tcW w:w="1356" w:type="dxa"/>
            <w:vAlign w:val="center"/>
          </w:tcPr>
          <w:p w:rsidR="007C7C43" w:rsidRDefault="007C7C43" w:rsidP="00252D4D">
            <w:pPr>
              <w:jc w:val="center"/>
            </w:pPr>
            <w:r>
              <w:rPr>
                <w:color w:val="000000"/>
                <w:sz w:val="24"/>
                <w:szCs w:val="24"/>
              </w:rPr>
              <w:t>002027</w:t>
            </w:r>
          </w:p>
        </w:tc>
        <w:tc>
          <w:tcPr>
            <w:tcW w:w="1355" w:type="dxa"/>
            <w:vAlign w:val="center"/>
          </w:tcPr>
          <w:p w:rsidR="007C7C43" w:rsidRDefault="007C7C43" w:rsidP="00252D4D">
            <w:pPr>
              <w:jc w:val="center"/>
            </w:pPr>
            <w:r>
              <w:rPr>
                <w:rFonts w:hint="eastAsia"/>
                <w:color w:val="000000"/>
                <w:sz w:val="24"/>
                <w:szCs w:val="24"/>
              </w:rPr>
              <w:t>分众传媒</w:t>
            </w:r>
          </w:p>
        </w:tc>
        <w:tc>
          <w:tcPr>
            <w:tcW w:w="1880" w:type="dxa"/>
            <w:vAlign w:val="center"/>
          </w:tcPr>
          <w:p w:rsidR="007C7C43" w:rsidRDefault="00792ADD" w:rsidP="00252D4D">
            <w:pPr>
              <w:jc w:val="right"/>
            </w:pPr>
            <w:r>
              <w:rPr>
                <w:color w:val="000000"/>
                <w:sz w:val="24"/>
                <w:szCs w:val="24"/>
              </w:rPr>
              <w:t>8,684,000</w:t>
            </w:r>
          </w:p>
        </w:tc>
        <w:tc>
          <w:tcPr>
            <w:tcW w:w="1724" w:type="dxa"/>
            <w:vAlign w:val="center"/>
          </w:tcPr>
          <w:p w:rsidR="007C7C43" w:rsidRDefault="00792ADD" w:rsidP="00252D4D">
            <w:pPr>
              <w:jc w:val="right"/>
            </w:pPr>
            <w:r>
              <w:rPr>
                <w:color w:val="000000"/>
                <w:sz w:val="24"/>
                <w:szCs w:val="24"/>
              </w:rPr>
              <w:t>2.62</w:t>
            </w:r>
          </w:p>
        </w:tc>
        <w:tc>
          <w:tcPr>
            <w:tcW w:w="1424" w:type="dxa"/>
            <w:vAlign w:val="center"/>
          </w:tcPr>
          <w:p w:rsidR="007C7C43" w:rsidRDefault="007C7C43" w:rsidP="00252D4D">
            <w:pPr>
              <w:jc w:val="right"/>
            </w:pPr>
            <w:r>
              <w:rPr>
                <w:color w:val="000000"/>
                <w:sz w:val="24"/>
                <w:szCs w:val="24"/>
              </w:rPr>
              <w:t>限</w:t>
            </w:r>
            <w:r>
              <w:rPr>
                <w:rFonts w:hint="eastAsia"/>
                <w:color w:val="000000"/>
                <w:sz w:val="24"/>
                <w:szCs w:val="24"/>
              </w:rPr>
              <w:t>售</w:t>
            </w:r>
            <w:r>
              <w:rPr>
                <w:color w:val="000000"/>
                <w:sz w:val="24"/>
                <w:szCs w:val="24"/>
              </w:rPr>
              <w:t>股</w:t>
            </w:r>
          </w:p>
        </w:tc>
      </w:tr>
    </w:tbl>
    <w:p w:rsidR="002918E3" w:rsidRDefault="002918E3" w:rsidP="00C15CAC">
      <w:pPr>
        <w:autoSpaceDE w:val="0"/>
        <w:autoSpaceDN w:val="0"/>
        <w:adjustRightInd w:val="0"/>
        <w:spacing w:before="29" w:line="288" w:lineRule="auto"/>
        <w:rPr>
          <w:color w:val="000000"/>
          <w:sz w:val="24"/>
          <w:szCs w:val="24"/>
        </w:rPr>
      </w:pPr>
    </w:p>
    <w:p w:rsidR="00F15736" w:rsidRPr="00414345" w:rsidRDefault="00F15736" w:rsidP="00F15736">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5.11.6</w:t>
      </w:r>
      <w:r w:rsidRPr="00414345">
        <w:rPr>
          <w:bCs/>
          <w:color w:val="000000"/>
          <w:kern w:val="0"/>
          <w:sz w:val="24"/>
          <w:szCs w:val="24"/>
        </w:rPr>
        <w:t>投资组合报告附注的其他文字描述部分</w:t>
      </w:r>
    </w:p>
    <w:p w:rsidR="00F15736" w:rsidRPr="00414345" w:rsidRDefault="00F15736" w:rsidP="00F15736">
      <w:pPr>
        <w:spacing w:before="29" w:line="288" w:lineRule="auto"/>
        <w:rPr>
          <w:color w:val="000000"/>
          <w:sz w:val="24"/>
          <w:szCs w:val="24"/>
        </w:rPr>
      </w:pPr>
      <w:r w:rsidRPr="00414345">
        <w:rPr>
          <w:color w:val="000000"/>
          <w:sz w:val="24"/>
          <w:szCs w:val="24"/>
        </w:rPr>
        <w:t>由于四舍五入的原因，分项之和与合计项之间可能存在尾差。</w:t>
      </w:r>
    </w:p>
    <w:p w:rsidR="00F15736" w:rsidRPr="00F15736" w:rsidRDefault="00F15736" w:rsidP="00C15CAC">
      <w:pPr>
        <w:autoSpaceDE w:val="0"/>
        <w:autoSpaceDN w:val="0"/>
        <w:adjustRightInd w:val="0"/>
        <w:spacing w:before="29" w:line="288" w:lineRule="auto"/>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lastRenderedPageBreak/>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990B7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857,373,736.36</w:t>
            </w:r>
          </w:p>
        </w:tc>
      </w:tr>
      <w:tr w:rsidR="004061AC" w:rsidRPr="00414345" w:rsidTr="00990B7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35,771,150.95</w:t>
            </w:r>
          </w:p>
        </w:tc>
      </w:tr>
      <w:tr w:rsidR="004061AC" w:rsidRPr="00414345" w:rsidTr="00990B7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594,470,373.65</w:t>
            </w:r>
          </w:p>
        </w:tc>
      </w:tr>
      <w:tr w:rsidR="004061AC" w:rsidRPr="00414345" w:rsidTr="00990B7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990B7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298,674,513.66</w:t>
            </w:r>
          </w:p>
        </w:tc>
      </w:tr>
    </w:tbl>
    <w:p w:rsidR="00990B74" w:rsidRDefault="00990B74" w:rsidP="00990B7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990B74" w:rsidRPr="00414345" w:rsidRDefault="00990B74" w:rsidP="00990B74">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Pr="00990B74" w:rsidRDefault="00320E90" w:rsidP="00C15CAC">
      <w:pPr>
        <w:autoSpaceDE w:val="0"/>
        <w:autoSpaceDN w:val="0"/>
        <w:adjustRightInd w:val="0"/>
        <w:spacing w:before="29" w:line="288" w:lineRule="auto"/>
        <w:jc w:val="left"/>
        <w:rPr>
          <w:color w:val="000000"/>
          <w:sz w:val="24"/>
          <w:szCs w:val="24"/>
        </w:rPr>
      </w:pPr>
    </w:p>
    <w:p w:rsidR="005D6777" w:rsidRDefault="005D6777" w:rsidP="00C15CAC">
      <w:pPr>
        <w:autoSpaceDE w:val="0"/>
        <w:autoSpaceDN w:val="0"/>
        <w:adjustRightInd w:val="0"/>
        <w:spacing w:before="29" w:line="288" w:lineRule="auto"/>
        <w:jc w:val="left"/>
        <w:rPr>
          <w:color w:val="000000"/>
          <w:sz w:val="24"/>
          <w:szCs w:val="24"/>
        </w:rPr>
      </w:pPr>
    </w:p>
    <w:p w:rsidR="005671B4" w:rsidRPr="00ED2620" w:rsidRDefault="005671B4" w:rsidP="005671B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5671B4" w:rsidRPr="00ED2620" w:rsidRDefault="005671B4" w:rsidP="005671B4">
      <w:pPr>
        <w:spacing w:line="288" w:lineRule="auto"/>
        <w:jc w:val="left"/>
        <w:rPr>
          <w:sz w:val="24"/>
          <w:szCs w:val="24"/>
        </w:rPr>
      </w:pPr>
      <w:r w:rsidRPr="00ED2620">
        <w:rPr>
          <w:b/>
          <w:sz w:val="24"/>
        </w:rPr>
        <w:t xml:space="preserve">7.1 </w:t>
      </w:r>
      <w:r w:rsidRPr="00ED2620">
        <w:rPr>
          <w:b/>
          <w:sz w:val="24"/>
        </w:rPr>
        <w:t>基金管理人持有本基金份额变动情况</w:t>
      </w:r>
    </w:p>
    <w:p w:rsidR="005671B4" w:rsidRDefault="005671B4" w:rsidP="005671B4">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5671B4" w:rsidRDefault="005671B4" w:rsidP="005671B4">
      <w:pPr>
        <w:autoSpaceDE w:val="0"/>
        <w:autoSpaceDN w:val="0"/>
        <w:adjustRightInd w:val="0"/>
        <w:spacing w:before="29" w:line="288" w:lineRule="auto"/>
        <w:jc w:val="left"/>
        <w:rPr>
          <w:rFonts w:eastAsiaTheme="minorEastAsia"/>
          <w:color w:val="000000"/>
          <w:sz w:val="24"/>
        </w:rPr>
      </w:pPr>
    </w:p>
    <w:p w:rsidR="005671B4" w:rsidRPr="00BB5E0E" w:rsidRDefault="005671B4" w:rsidP="005671B4">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5671B4" w:rsidRPr="00414345" w:rsidRDefault="005671B4" w:rsidP="005671B4">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5671B4" w:rsidRPr="005671B4" w:rsidRDefault="005671B4" w:rsidP="00C15CAC">
      <w:pPr>
        <w:autoSpaceDE w:val="0"/>
        <w:autoSpaceDN w:val="0"/>
        <w:adjustRightInd w:val="0"/>
        <w:spacing w:before="29" w:line="288" w:lineRule="auto"/>
        <w:jc w:val="left"/>
        <w:rPr>
          <w:color w:val="000000"/>
          <w:sz w:val="24"/>
          <w:szCs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0B7BCC">
        <w:rPr>
          <w:color w:val="000000"/>
          <w:kern w:val="0"/>
          <w:sz w:val="24"/>
          <w:szCs w:val="24"/>
        </w:rPr>
        <w:t>8</w:t>
      </w:r>
      <w:r w:rsidRPr="00414345">
        <w:rPr>
          <w:color w:val="000000"/>
          <w:kern w:val="0"/>
          <w:sz w:val="24"/>
          <w:szCs w:val="24"/>
        </w:rPr>
        <w:t>备查文件目录</w:t>
      </w:r>
    </w:p>
    <w:p w:rsidR="004061AC" w:rsidRPr="00414345" w:rsidRDefault="000B7BC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26068" w:rsidRDefault="005671B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、中国证监会准予交银施罗德股息优化混合型证券投资基金募集注册的文件；</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、《交银施罗德股息优化混合型证券投资基金基金合同》；</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、《交银施罗德股息优化混合型证券投资基金招募说明书》；</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、《交银施罗德股息优化混合型证券投资基金托管协议》；</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、关于申请募集注册交银施罗德股息优化混合型证券投资基金的法律意见书；</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26068" w:rsidRDefault="005671B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、报告期内交银施罗德股息优化混合型证券投资基金在指定报刊上各项公告的原稿。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0B7BC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0B7BCC"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26068" w:rsidRDefault="005671B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6C" w:rsidRDefault="00C2046C" w:rsidP="00876D65">
      <w:r>
        <w:separator/>
      </w:r>
    </w:p>
  </w:endnote>
  <w:endnote w:type="continuationSeparator" w:id="0">
    <w:p w:rsidR="00C2046C" w:rsidRDefault="00C2046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1A0F42">
      <w:rPr>
        <w:noProof/>
        <w:kern w:val="0"/>
        <w:szCs w:val="21"/>
      </w:rPr>
      <w:t>11</w:t>
    </w:r>
    <w:r w:rsidR="0052479B">
      <w:rPr>
        <w:kern w:val="0"/>
        <w:szCs w:val="21"/>
      </w:rPr>
      <w:fldChar w:fldCharType="end"/>
    </w:r>
    <w:proofErr w:type="gramStart"/>
    <w:r>
      <w:rPr>
        <w:rFonts w:hint="eastAsia"/>
        <w:kern w:val="0"/>
        <w:szCs w:val="21"/>
      </w:rPr>
      <w:t>页共</w:t>
    </w:r>
    <w:proofErr w:type="gramEnd"/>
    <w:r w:rsidR="0052479B">
      <w:rPr>
        <w:kern w:val="0"/>
        <w:szCs w:val="21"/>
      </w:rPr>
      <w:fldChar w:fldCharType="begin"/>
    </w:r>
    <w:r>
      <w:rPr>
        <w:kern w:val="0"/>
        <w:szCs w:val="21"/>
      </w:rPr>
      <w:instrText xml:space="preserve"> NUMPAGES </w:instrText>
    </w:r>
    <w:r w:rsidR="0052479B">
      <w:rPr>
        <w:kern w:val="0"/>
        <w:szCs w:val="21"/>
      </w:rPr>
      <w:fldChar w:fldCharType="separate"/>
    </w:r>
    <w:r w:rsidR="001A0F42">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6C" w:rsidRDefault="00C2046C" w:rsidP="00876D65">
      <w:r>
        <w:separator/>
      </w:r>
    </w:p>
  </w:footnote>
  <w:footnote w:type="continuationSeparator" w:id="0">
    <w:p w:rsidR="00C2046C" w:rsidRDefault="00C2046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B7BCC"/>
    <w:rsid w:val="000C190B"/>
    <w:rsid w:val="000C1E17"/>
    <w:rsid w:val="000C5216"/>
    <w:rsid w:val="000D0E6C"/>
    <w:rsid w:val="000D11DE"/>
    <w:rsid w:val="000D3ED4"/>
    <w:rsid w:val="000E5DA5"/>
    <w:rsid w:val="000E7E5E"/>
    <w:rsid w:val="000F6CC8"/>
    <w:rsid w:val="00107179"/>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0F42"/>
    <w:rsid w:val="001A507F"/>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17BA1"/>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17CA2"/>
    <w:rsid w:val="0042009D"/>
    <w:rsid w:val="004216D2"/>
    <w:rsid w:val="00421CD2"/>
    <w:rsid w:val="00426096"/>
    <w:rsid w:val="00427F58"/>
    <w:rsid w:val="00433805"/>
    <w:rsid w:val="00434251"/>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671B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D6777"/>
    <w:rsid w:val="005E1251"/>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2ADD"/>
    <w:rsid w:val="00794090"/>
    <w:rsid w:val="00796CA8"/>
    <w:rsid w:val="007972F5"/>
    <w:rsid w:val="00797305"/>
    <w:rsid w:val="007A0693"/>
    <w:rsid w:val="007A093F"/>
    <w:rsid w:val="007B035B"/>
    <w:rsid w:val="007B4C04"/>
    <w:rsid w:val="007B5AFB"/>
    <w:rsid w:val="007C395A"/>
    <w:rsid w:val="007C5862"/>
    <w:rsid w:val="007C7C43"/>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63F24"/>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0B74"/>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61F5"/>
    <w:rsid w:val="00A21300"/>
    <w:rsid w:val="00A22AD0"/>
    <w:rsid w:val="00A22DA8"/>
    <w:rsid w:val="00A3030E"/>
    <w:rsid w:val="00A31574"/>
    <w:rsid w:val="00A31671"/>
    <w:rsid w:val="00A324F4"/>
    <w:rsid w:val="00A36930"/>
    <w:rsid w:val="00A452C4"/>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175E"/>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4DAF"/>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046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31EA"/>
    <w:rsid w:val="00D25FF0"/>
    <w:rsid w:val="00D26068"/>
    <w:rsid w:val="00D272A5"/>
    <w:rsid w:val="00D346D9"/>
    <w:rsid w:val="00D43AFB"/>
    <w:rsid w:val="00D44EE8"/>
    <w:rsid w:val="00D57B7C"/>
    <w:rsid w:val="00D65B44"/>
    <w:rsid w:val="00D75E69"/>
    <w:rsid w:val="00D8099B"/>
    <w:rsid w:val="00D866A8"/>
    <w:rsid w:val="00D87EAB"/>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5736"/>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1D73B-AC9F-45AE-A8FE-06FE72B3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83A0-7908-4238-BE07-829EA368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11</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586</cp:revision>
  <dcterms:created xsi:type="dcterms:W3CDTF">2012-10-16T06:07:00Z</dcterms:created>
  <dcterms:modified xsi:type="dcterms:W3CDTF">2018-01-18T03:05:00Z</dcterms:modified>
</cp:coreProperties>
</file>