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66,952,741.93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66,273,590.86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679,151.07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610,732.16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6,006.46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762,518.77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8,952.92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AA0DE5">
            <w:pPr>
              <w:adjustRightInd w:val="0"/>
              <w:spacing w:before="29" w:line="288" w:lineRule="auto"/>
              <w:ind w:left="17"/>
              <w:jc w:val="right"/>
              <w:rPr>
                <w:color w:val="000000"/>
                <w:sz w:val="24"/>
              </w:rPr>
            </w:pPr>
            <w:r w:rsidRPr="007F52FA">
              <w:rPr>
                <w:color w:val="000000"/>
                <w:sz w:val="24"/>
              </w:rPr>
              <w:t>0.009</w:t>
            </w:r>
            <w:r w:rsidR="00AA0DE5">
              <w:rPr>
                <w:color w:val="000000"/>
                <w:sz w:val="24"/>
              </w:rPr>
              <w:t>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bookmarkStart w:id="0" w:name="_GoBack"/>
            <w:bookmarkEnd w:id="0"/>
            <w:r w:rsidRPr="007F52FA">
              <w:rPr>
                <w:color w:val="000000"/>
                <w:sz w:val="24"/>
              </w:rPr>
              <w:t>0.0103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68,185,323.51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697,543.58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1.027</w:t>
            </w:r>
          </w:p>
        </w:tc>
      </w:tr>
    </w:tbl>
    <w:p w:rsidR="00F02633" w:rsidRDefault="003150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02633">
        <w:trPr>
          <w:jc w:val="center"/>
        </w:trPr>
        <w:tc>
          <w:tcPr>
            <w:tcW w:w="1266" w:type="dxa"/>
            <w:vAlign w:val="center"/>
          </w:tcPr>
          <w:p w:rsidR="00F02633" w:rsidRDefault="003150F5">
            <w:pPr>
              <w:jc w:val="left"/>
            </w:pPr>
            <w:r>
              <w:rPr>
                <w:color w:val="000000"/>
                <w:sz w:val="24"/>
              </w:rPr>
              <w:t>过去三个月</w:t>
            </w:r>
          </w:p>
        </w:tc>
        <w:tc>
          <w:tcPr>
            <w:tcW w:w="1267" w:type="dxa"/>
            <w:vAlign w:val="center"/>
          </w:tcPr>
          <w:p w:rsidR="00F02633" w:rsidRDefault="003150F5">
            <w:pPr>
              <w:jc w:val="center"/>
            </w:pPr>
            <w:r>
              <w:rPr>
                <w:color w:val="000000"/>
                <w:sz w:val="24"/>
              </w:rPr>
              <w:t>0.98%</w:t>
            </w:r>
          </w:p>
        </w:tc>
        <w:tc>
          <w:tcPr>
            <w:tcW w:w="1267" w:type="dxa"/>
            <w:vAlign w:val="center"/>
          </w:tcPr>
          <w:p w:rsidR="00F02633" w:rsidRDefault="003150F5">
            <w:pPr>
              <w:jc w:val="center"/>
            </w:pPr>
            <w:r>
              <w:rPr>
                <w:color w:val="000000"/>
                <w:sz w:val="24"/>
              </w:rPr>
              <w:t>0.11%</w:t>
            </w:r>
          </w:p>
        </w:tc>
        <w:tc>
          <w:tcPr>
            <w:tcW w:w="1267" w:type="dxa"/>
            <w:vAlign w:val="center"/>
          </w:tcPr>
          <w:p w:rsidR="00F02633" w:rsidRDefault="003150F5">
            <w:pPr>
              <w:jc w:val="center"/>
            </w:pPr>
            <w:r>
              <w:rPr>
                <w:color w:val="000000"/>
                <w:sz w:val="24"/>
              </w:rPr>
              <w:t>-1.15%</w:t>
            </w:r>
          </w:p>
        </w:tc>
        <w:tc>
          <w:tcPr>
            <w:tcW w:w="1267" w:type="dxa"/>
            <w:vAlign w:val="center"/>
          </w:tcPr>
          <w:p w:rsidR="00F02633" w:rsidRDefault="003150F5">
            <w:pPr>
              <w:jc w:val="center"/>
            </w:pPr>
            <w:r>
              <w:rPr>
                <w:color w:val="000000"/>
                <w:sz w:val="24"/>
              </w:rPr>
              <w:t>0.06%</w:t>
            </w:r>
          </w:p>
        </w:tc>
        <w:tc>
          <w:tcPr>
            <w:tcW w:w="1267" w:type="dxa"/>
            <w:vAlign w:val="center"/>
          </w:tcPr>
          <w:p w:rsidR="00F02633" w:rsidRDefault="003150F5">
            <w:pPr>
              <w:jc w:val="center"/>
            </w:pPr>
            <w:r>
              <w:rPr>
                <w:color w:val="000000"/>
                <w:sz w:val="24"/>
              </w:rPr>
              <w:t>2.13%</w:t>
            </w:r>
          </w:p>
        </w:tc>
        <w:tc>
          <w:tcPr>
            <w:tcW w:w="1267" w:type="dxa"/>
            <w:vAlign w:val="center"/>
          </w:tcPr>
          <w:p w:rsidR="00F02633" w:rsidRDefault="003150F5">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02633">
        <w:trPr>
          <w:jc w:val="center"/>
        </w:trPr>
        <w:tc>
          <w:tcPr>
            <w:tcW w:w="1266" w:type="dxa"/>
            <w:vAlign w:val="center"/>
          </w:tcPr>
          <w:p w:rsidR="00F02633" w:rsidRDefault="003150F5">
            <w:pPr>
              <w:jc w:val="left"/>
            </w:pPr>
            <w:r>
              <w:rPr>
                <w:color w:val="000000"/>
                <w:sz w:val="24"/>
              </w:rPr>
              <w:t>过去三个月</w:t>
            </w:r>
          </w:p>
        </w:tc>
        <w:tc>
          <w:tcPr>
            <w:tcW w:w="1267" w:type="dxa"/>
            <w:vAlign w:val="center"/>
          </w:tcPr>
          <w:p w:rsidR="00F02633" w:rsidRDefault="003150F5">
            <w:pPr>
              <w:jc w:val="center"/>
            </w:pPr>
            <w:r>
              <w:rPr>
                <w:color w:val="000000"/>
                <w:sz w:val="24"/>
              </w:rPr>
              <w:t>0.79%</w:t>
            </w:r>
          </w:p>
        </w:tc>
        <w:tc>
          <w:tcPr>
            <w:tcW w:w="1267" w:type="dxa"/>
            <w:vAlign w:val="center"/>
          </w:tcPr>
          <w:p w:rsidR="00F02633" w:rsidRDefault="003150F5">
            <w:pPr>
              <w:jc w:val="center"/>
            </w:pPr>
            <w:r>
              <w:rPr>
                <w:color w:val="000000"/>
                <w:sz w:val="24"/>
              </w:rPr>
              <w:t>0.11%</w:t>
            </w:r>
          </w:p>
        </w:tc>
        <w:tc>
          <w:tcPr>
            <w:tcW w:w="1267" w:type="dxa"/>
            <w:vAlign w:val="center"/>
          </w:tcPr>
          <w:p w:rsidR="00F02633" w:rsidRDefault="003150F5">
            <w:pPr>
              <w:jc w:val="center"/>
            </w:pPr>
            <w:r>
              <w:rPr>
                <w:color w:val="000000"/>
                <w:sz w:val="24"/>
              </w:rPr>
              <w:t>-1.15%</w:t>
            </w:r>
          </w:p>
        </w:tc>
        <w:tc>
          <w:tcPr>
            <w:tcW w:w="1267" w:type="dxa"/>
            <w:vAlign w:val="center"/>
          </w:tcPr>
          <w:p w:rsidR="00F02633" w:rsidRDefault="003150F5">
            <w:pPr>
              <w:jc w:val="center"/>
            </w:pPr>
            <w:r>
              <w:rPr>
                <w:color w:val="000000"/>
                <w:sz w:val="24"/>
              </w:rPr>
              <w:t>0.06%</w:t>
            </w:r>
          </w:p>
        </w:tc>
        <w:tc>
          <w:tcPr>
            <w:tcW w:w="1267" w:type="dxa"/>
            <w:vAlign w:val="center"/>
          </w:tcPr>
          <w:p w:rsidR="00F02633" w:rsidRDefault="003150F5">
            <w:pPr>
              <w:jc w:val="center"/>
            </w:pPr>
            <w:r>
              <w:rPr>
                <w:color w:val="000000"/>
                <w:sz w:val="24"/>
              </w:rPr>
              <w:t>1.94%</w:t>
            </w:r>
          </w:p>
        </w:tc>
        <w:tc>
          <w:tcPr>
            <w:tcW w:w="1267" w:type="dxa"/>
            <w:vAlign w:val="center"/>
          </w:tcPr>
          <w:p w:rsidR="00F02633" w:rsidRDefault="003150F5">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02633">
        <w:trPr>
          <w:jc w:val="center"/>
        </w:trPr>
        <w:tc>
          <w:tcPr>
            <w:tcW w:w="946" w:type="dxa"/>
            <w:vAlign w:val="center"/>
          </w:tcPr>
          <w:p w:rsidR="00F02633" w:rsidRDefault="003150F5">
            <w:pPr>
              <w:jc w:val="center"/>
            </w:pPr>
            <w:r>
              <w:rPr>
                <w:color w:val="000000"/>
                <w:sz w:val="24"/>
              </w:rPr>
              <w:t>于海颖</w:t>
            </w:r>
          </w:p>
        </w:tc>
        <w:tc>
          <w:tcPr>
            <w:tcW w:w="924" w:type="dxa"/>
            <w:vAlign w:val="center"/>
          </w:tcPr>
          <w:p w:rsidR="00F02633" w:rsidRDefault="003150F5">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F02633" w:rsidRDefault="003150F5">
            <w:pPr>
              <w:jc w:val="center"/>
            </w:pPr>
            <w:r>
              <w:rPr>
                <w:color w:val="000000"/>
                <w:sz w:val="24"/>
              </w:rPr>
              <w:t>2017-06-10</w:t>
            </w:r>
          </w:p>
        </w:tc>
        <w:tc>
          <w:tcPr>
            <w:tcW w:w="1300" w:type="dxa"/>
            <w:vAlign w:val="center"/>
          </w:tcPr>
          <w:p w:rsidR="00F02633" w:rsidRDefault="003150F5">
            <w:pPr>
              <w:jc w:val="center"/>
            </w:pPr>
            <w:r>
              <w:rPr>
                <w:color w:val="000000"/>
                <w:sz w:val="24"/>
              </w:rPr>
              <w:t>-</w:t>
            </w:r>
          </w:p>
        </w:tc>
        <w:tc>
          <w:tcPr>
            <w:tcW w:w="1245" w:type="dxa"/>
            <w:vAlign w:val="center"/>
          </w:tcPr>
          <w:p w:rsidR="00F02633" w:rsidRDefault="003150F5">
            <w:pPr>
              <w:jc w:val="center"/>
            </w:pPr>
            <w:r>
              <w:rPr>
                <w:color w:val="000000"/>
                <w:sz w:val="24"/>
              </w:rPr>
              <w:t>11</w:t>
            </w:r>
            <w:r>
              <w:rPr>
                <w:color w:val="000000"/>
                <w:sz w:val="24"/>
              </w:rPr>
              <w:t>年</w:t>
            </w:r>
          </w:p>
        </w:tc>
        <w:tc>
          <w:tcPr>
            <w:tcW w:w="3251" w:type="dxa"/>
            <w:vAlign w:val="center"/>
          </w:tcPr>
          <w:p w:rsidR="00F02633" w:rsidRDefault="003150F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02633" w:rsidRDefault="003150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02633" w:rsidRDefault="003150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02633" w:rsidRDefault="003150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02633" w:rsidRDefault="003150F5">
      <w:pPr>
        <w:spacing w:before="29" w:line="288" w:lineRule="auto"/>
        <w:ind w:firstLineChars="200" w:firstLine="480"/>
        <w:rPr>
          <w:color w:val="000000"/>
          <w:sz w:val="24"/>
        </w:rPr>
      </w:pPr>
      <w:r>
        <w:rPr>
          <w:color w:val="000000"/>
          <w:sz w:val="24"/>
        </w:rPr>
        <w:t>本报告期内，经济数据表现依然强劲，对二级市场收益率产生压力。此外，央行保持中性货币政策，监管层推进金融监管意图坚决也影响了债市情绪，债市自十一月中旬击破年内高点后，出现了一轮明显下跌，随着央行对资金面相对呵护，叠加国开行等利率债发债主体在高利率环境下对发行计划进行了适度调整，市场情绪有所缓和，年末收益率高位企稳。</w:t>
      </w:r>
    </w:p>
    <w:p w:rsidR="00F02633" w:rsidRDefault="003150F5">
      <w:pPr>
        <w:spacing w:before="29" w:line="288" w:lineRule="auto"/>
        <w:ind w:firstLineChars="200" w:firstLine="480"/>
        <w:rPr>
          <w:color w:val="000000"/>
          <w:sz w:val="24"/>
        </w:rPr>
      </w:pPr>
      <w:r>
        <w:rPr>
          <w:color w:val="000000"/>
          <w:sz w:val="24"/>
        </w:rPr>
        <w:t>权益市场方面，四季度市场经历十月至十一月中旬的上涨后回落，在前期表现强势的板块方面，白酒、家电及保险保持相对强势，消费电子及新能源汽车则经历了阶段性调整。</w:t>
      </w:r>
    </w:p>
    <w:p w:rsidR="00F02633" w:rsidRDefault="003150F5">
      <w:pPr>
        <w:spacing w:before="29" w:line="288" w:lineRule="auto"/>
        <w:ind w:firstLineChars="200" w:firstLine="480"/>
        <w:rPr>
          <w:color w:val="000000"/>
          <w:sz w:val="24"/>
        </w:rPr>
      </w:pPr>
      <w:r>
        <w:rPr>
          <w:color w:val="000000"/>
          <w:sz w:val="24"/>
        </w:rPr>
        <w:t>报告期内，前期组合大部分债券仓位主要以偏短久期利率债为主，以维持组合的流动性，避免债市调整对组合收益的影响，并于十一月底债市调整到相对低位时增配部分存单，以提升组合静态收益。权益和转债方面，我们重点关注代表着未来新兴产业升级与发展方向的成长股，并根据权益市场估值变动情况，动态调整组合仓位。</w:t>
      </w:r>
    </w:p>
    <w:p w:rsidR="00952A72" w:rsidRPr="007F52FA" w:rsidRDefault="00323F25" w:rsidP="007C14DF">
      <w:pPr>
        <w:spacing w:before="29" w:line="288" w:lineRule="auto"/>
        <w:ind w:firstLineChars="200" w:firstLine="480"/>
        <w:rPr>
          <w:color w:val="000000"/>
          <w:sz w:val="24"/>
        </w:rPr>
      </w:pPr>
      <w:r w:rsidRPr="007F52FA">
        <w:rPr>
          <w:color w:val="000000"/>
          <w:sz w:val="24"/>
        </w:rPr>
        <w:t>展望一季度，经济基本面面临一段数据真空期，市场对经济基本面强韧的预期也将维持。尽管通胀预期在一季度缓步上行，但对货币政策的约束尚不存在，短期我们对债市持谨慎态度。一季度过后若</w:t>
      </w:r>
      <w:r w:rsidRPr="007F52FA">
        <w:rPr>
          <w:color w:val="000000"/>
          <w:sz w:val="24"/>
        </w:rPr>
        <w:t>CPI</w:t>
      </w:r>
      <w:r w:rsidRPr="007F52FA">
        <w:rPr>
          <w:color w:val="000000"/>
          <w:sz w:val="24"/>
        </w:rPr>
        <w:t>冲高回落，监管政策落地情绪缓解，债市机会或阶段性出现。权益方面，一季度我们将从细分行业景气度及业绩指标精选个股，择机配置。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日，交银增利增强债券</w:t>
      </w:r>
      <w:r w:rsidRPr="007F52FA">
        <w:rPr>
          <w:color w:val="000000"/>
          <w:sz w:val="24"/>
        </w:rPr>
        <w:t>A</w:t>
      </w:r>
      <w:r w:rsidRPr="007F52FA">
        <w:rPr>
          <w:color w:val="000000"/>
          <w:sz w:val="24"/>
        </w:rPr>
        <w:t>份额净值为</w:t>
      </w:r>
      <w:r w:rsidRPr="007F52FA">
        <w:rPr>
          <w:color w:val="000000"/>
          <w:sz w:val="24"/>
        </w:rPr>
        <w:t>1.029</w:t>
      </w:r>
      <w:r w:rsidRPr="007F52FA">
        <w:rPr>
          <w:color w:val="000000"/>
          <w:sz w:val="24"/>
        </w:rPr>
        <w:t>元，本报告期份额净值增长率为</w:t>
      </w:r>
      <w:r w:rsidRPr="007F52FA">
        <w:rPr>
          <w:color w:val="000000"/>
          <w:sz w:val="24"/>
        </w:rPr>
        <w:t>0.98%</w:t>
      </w:r>
      <w:r w:rsidRPr="007F52FA">
        <w:rPr>
          <w:color w:val="000000"/>
          <w:sz w:val="24"/>
        </w:rPr>
        <w:t>，同期业绩比较基准增长率为</w:t>
      </w:r>
      <w:r w:rsidRPr="007F52FA">
        <w:rPr>
          <w:color w:val="000000"/>
          <w:sz w:val="24"/>
        </w:rPr>
        <w:t>-1.15%</w:t>
      </w:r>
      <w:r w:rsidRPr="007F52FA">
        <w:rPr>
          <w:color w:val="000000"/>
          <w:sz w:val="24"/>
        </w:rPr>
        <w:t>；交银增利增强债券</w:t>
      </w:r>
      <w:r w:rsidRPr="007F52FA">
        <w:rPr>
          <w:color w:val="000000"/>
          <w:sz w:val="24"/>
        </w:rPr>
        <w:t>C</w:t>
      </w:r>
      <w:r w:rsidRPr="007F52FA">
        <w:rPr>
          <w:color w:val="000000"/>
          <w:sz w:val="24"/>
        </w:rPr>
        <w:t>份额净值为</w:t>
      </w:r>
      <w:r w:rsidRPr="007F52FA">
        <w:rPr>
          <w:color w:val="000000"/>
          <w:sz w:val="24"/>
        </w:rPr>
        <w:t>1.027</w:t>
      </w:r>
      <w:r w:rsidRPr="007F52FA">
        <w:rPr>
          <w:color w:val="000000"/>
          <w:sz w:val="24"/>
        </w:rPr>
        <w:t>元，本报告期份额净值增长率为</w:t>
      </w:r>
      <w:r w:rsidRPr="007F52FA">
        <w:rPr>
          <w:color w:val="000000"/>
          <w:sz w:val="24"/>
        </w:rPr>
        <w:t>0.79%</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3,063,503.07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3,063,503.07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65,625,237.90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65,625,237.90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2,565,227.19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3.52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1,545,688.20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72,799,656.36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2,440,676.67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382,028.40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240,798.00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3,063,503.07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02633">
        <w:trPr>
          <w:jc w:val="center"/>
        </w:trPr>
        <w:tc>
          <w:tcPr>
            <w:tcW w:w="850" w:type="dxa"/>
            <w:vAlign w:val="center"/>
          </w:tcPr>
          <w:p w:rsidR="00F02633" w:rsidRDefault="003150F5">
            <w:pPr>
              <w:jc w:val="center"/>
            </w:pPr>
            <w:r>
              <w:rPr>
                <w:color w:val="000000"/>
                <w:sz w:val="24"/>
              </w:rPr>
              <w:t>1</w:t>
            </w:r>
          </w:p>
        </w:tc>
        <w:tc>
          <w:tcPr>
            <w:tcW w:w="1327" w:type="dxa"/>
            <w:vAlign w:val="center"/>
          </w:tcPr>
          <w:p w:rsidR="00F02633" w:rsidRDefault="003150F5">
            <w:pPr>
              <w:jc w:val="center"/>
            </w:pPr>
            <w:r>
              <w:rPr>
                <w:color w:val="000000"/>
                <w:sz w:val="24"/>
              </w:rPr>
              <w:t>603986</w:t>
            </w:r>
          </w:p>
        </w:tc>
        <w:tc>
          <w:tcPr>
            <w:tcW w:w="1769" w:type="dxa"/>
            <w:vAlign w:val="center"/>
          </w:tcPr>
          <w:p w:rsidR="00F02633" w:rsidRDefault="003150F5">
            <w:pPr>
              <w:jc w:val="center"/>
            </w:pPr>
            <w:r>
              <w:rPr>
                <w:color w:val="000000"/>
                <w:sz w:val="24"/>
              </w:rPr>
              <w:t>兆易创新</w:t>
            </w:r>
          </w:p>
        </w:tc>
        <w:tc>
          <w:tcPr>
            <w:tcW w:w="1327" w:type="dxa"/>
            <w:vAlign w:val="center"/>
          </w:tcPr>
          <w:p w:rsidR="00F02633" w:rsidRDefault="003150F5">
            <w:pPr>
              <w:jc w:val="right"/>
            </w:pPr>
            <w:r>
              <w:rPr>
                <w:color w:val="000000"/>
                <w:sz w:val="24"/>
              </w:rPr>
              <w:t>5,800</w:t>
            </w:r>
          </w:p>
        </w:tc>
        <w:tc>
          <w:tcPr>
            <w:tcW w:w="1915" w:type="dxa"/>
            <w:vAlign w:val="center"/>
          </w:tcPr>
          <w:p w:rsidR="00F02633" w:rsidRDefault="003150F5">
            <w:pPr>
              <w:jc w:val="right"/>
            </w:pPr>
            <w:r>
              <w:rPr>
                <w:color w:val="000000"/>
                <w:sz w:val="24"/>
              </w:rPr>
              <w:t>891,576.00</w:t>
            </w:r>
          </w:p>
        </w:tc>
        <w:tc>
          <w:tcPr>
            <w:tcW w:w="1680" w:type="dxa"/>
            <w:vAlign w:val="center"/>
          </w:tcPr>
          <w:p w:rsidR="00F02633" w:rsidRDefault="003150F5">
            <w:pPr>
              <w:jc w:val="right"/>
            </w:pPr>
            <w:r>
              <w:rPr>
                <w:color w:val="000000"/>
                <w:sz w:val="24"/>
              </w:rPr>
              <w:t>1.29</w:t>
            </w:r>
          </w:p>
        </w:tc>
      </w:tr>
      <w:tr w:rsidR="00F02633">
        <w:trPr>
          <w:jc w:val="center"/>
        </w:trPr>
        <w:tc>
          <w:tcPr>
            <w:tcW w:w="850" w:type="dxa"/>
            <w:vAlign w:val="center"/>
          </w:tcPr>
          <w:p w:rsidR="00F02633" w:rsidRDefault="003150F5">
            <w:pPr>
              <w:jc w:val="center"/>
            </w:pPr>
            <w:r>
              <w:rPr>
                <w:color w:val="000000"/>
                <w:sz w:val="24"/>
              </w:rPr>
              <w:t>2</w:t>
            </w:r>
          </w:p>
        </w:tc>
        <w:tc>
          <w:tcPr>
            <w:tcW w:w="1327" w:type="dxa"/>
            <w:vAlign w:val="center"/>
          </w:tcPr>
          <w:p w:rsidR="00F02633" w:rsidRDefault="003150F5">
            <w:pPr>
              <w:jc w:val="center"/>
            </w:pPr>
            <w:r>
              <w:rPr>
                <w:color w:val="000000"/>
                <w:sz w:val="24"/>
              </w:rPr>
              <w:t>600066</w:t>
            </w:r>
          </w:p>
        </w:tc>
        <w:tc>
          <w:tcPr>
            <w:tcW w:w="1769" w:type="dxa"/>
            <w:vAlign w:val="center"/>
          </w:tcPr>
          <w:p w:rsidR="00F02633" w:rsidRDefault="003150F5">
            <w:pPr>
              <w:jc w:val="center"/>
            </w:pPr>
            <w:r>
              <w:rPr>
                <w:color w:val="000000"/>
                <w:sz w:val="24"/>
              </w:rPr>
              <w:t>宇通客车</w:t>
            </w:r>
          </w:p>
        </w:tc>
        <w:tc>
          <w:tcPr>
            <w:tcW w:w="1327" w:type="dxa"/>
            <w:vAlign w:val="center"/>
          </w:tcPr>
          <w:p w:rsidR="00F02633" w:rsidRDefault="003150F5">
            <w:pPr>
              <w:jc w:val="right"/>
            </w:pPr>
            <w:r>
              <w:rPr>
                <w:color w:val="000000"/>
                <w:sz w:val="24"/>
              </w:rPr>
              <w:t>20,300</w:t>
            </w:r>
          </w:p>
        </w:tc>
        <w:tc>
          <w:tcPr>
            <w:tcW w:w="1915" w:type="dxa"/>
            <w:vAlign w:val="center"/>
          </w:tcPr>
          <w:p w:rsidR="00F02633" w:rsidRDefault="003150F5">
            <w:pPr>
              <w:jc w:val="right"/>
            </w:pPr>
            <w:r>
              <w:rPr>
                <w:color w:val="000000"/>
                <w:sz w:val="24"/>
              </w:rPr>
              <w:t>488,621.00</w:t>
            </w:r>
          </w:p>
        </w:tc>
        <w:tc>
          <w:tcPr>
            <w:tcW w:w="1680" w:type="dxa"/>
            <w:vAlign w:val="center"/>
          </w:tcPr>
          <w:p w:rsidR="00F02633" w:rsidRDefault="003150F5">
            <w:pPr>
              <w:jc w:val="right"/>
            </w:pPr>
            <w:r>
              <w:rPr>
                <w:color w:val="000000"/>
                <w:sz w:val="24"/>
              </w:rPr>
              <w:t>0.71</w:t>
            </w:r>
          </w:p>
        </w:tc>
      </w:tr>
      <w:tr w:rsidR="00F02633">
        <w:trPr>
          <w:jc w:val="center"/>
        </w:trPr>
        <w:tc>
          <w:tcPr>
            <w:tcW w:w="850" w:type="dxa"/>
            <w:vAlign w:val="center"/>
          </w:tcPr>
          <w:p w:rsidR="00F02633" w:rsidRDefault="003150F5">
            <w:pPr>
              <w:jc w:val="center"/>
            </w:pPr>
            <w:r>
              <w:rPr>
                <w:color w:val="000000"/>
                <w:sz w:val="24"/>
              </w:rPr>
              <w:t>3</w:t>
            </w:r>
          </w:p>
        </w:tc>
        <w:tc>
          <w:tcPr>
            <w:tcW w:w="1327" w:type="dxa"/>
            <w:vAlign w:val="center"/>
          </w:tcPr>
          <w:p w:rsidR="00F02633" w:rsidRDefault="003150F5">
            <w:pPr>
              <w:jc w:val="center"/>
            </w:pPr>
            <w:r>
              <w:rPr>
                <w:color w:val="000000"/>
                <w:sz w:val="24"/>
              </w:rPr>
              <w:t>600487</w:t>
            </w:r>
          </w:p>
        </w:tc>
        <w:tc>
          <w:tcPr>
            <w:tcW w:w="1769" w:type="dxa"/>
            <w:vAlign w:val="center"/>
          </w:tcPr>
          <w:p w:rsidR="00F02633" w:rsidRDefault="003150F5">
            <w:pPr>
              <w:jc w:val="center"/>
            </w:pPr>
            <w:r>
              <w:rPr>
                <w:color w:val="000000"/>
                <w:sz w:val="24"/>
              </w:rPr>
              <w:t>亨通光电</w:t>
            </w:r>
          </w:p>
        </w:tc>
        <w:tc>
          <w:tcPr>
            <w:tcW w:w="1327" w:type="dxa"/>
            <w:vAlign w:val="center"/>
          </w:tcPr>
          <w:p w:rsidR="00F02633" w:rsidRDefault="003150F5">
            <w:pPr>
              <w:jc w:val="right"/>
            </w:pPr>
            <w:r>
              <w:rPr>
                <w:color w:val="000000"/>
                <w:sz w:val="24"/>
              </w:rPr>
              <w:t>10,080</w:t>
            </w:r>
          </w:p>
        </w:tc>
        <w:tc>
          <w:tcPr>
            <w:tcW w:w="1915" w:type="dxa"/>
            <w:vAlign w:val="center"/>
          </w:tcPr>
          <w:p w:rsidR="00F02633" w:rsidRDefault="003150F5">
            <w:pPr>
              <w:jc w:val="right"/>
            </w:pPr>
            <w:r>
              <w:rPr>
                <w:color w:val="000000"/>
                <w:sz w:val="24"/>
              </w:rPr>
              <w:t>407,433.60</w:t>
            </w:r>
          </w:p>
        </w:tc>
        <w:tc>
          <w:tcPr>
            <w:tcW w:w="1680" w:type="dxa"/>
            <w:vAlign w:val="center"/>
          </w:tcPr>
          <w:p w:rsidR="00F02633" w:rsidRDefault="003150F5">
            <w:pPr>
              <w:jc w:val="right"/>
            </w:pPr>
            <w:r>
              <w:rPr>
                <w:color w:val="000000"/>
                <w:sz w:val="24"/>
              </w:rPr>
              <w:t>0.59</w:t>
            </w:r>
          </w:p>
        </w:tc>
      </w:tr>
      <w:tr w:rsidR="00F02633">
        <w:trPr>
          <w:jc w:val="center"/>
        </w:trPr>
        <w:tc>
          <w:tcPr>
            <w:tcW w:w="850" w:type="dxa"/>
            <w:vAlign w:val="center"/>
          </w:tcPr>
          <w:p w:rsidR="00F02633" w:rsidRDefault="003150F5">
            <w:pPr>
              <w:jc w:val="center"/>
            </w:pPr>
            <w:r>
              <w:rPr>
                <w:color w:val="000000"/>
                <w:sz w:val="24"/>
              </w:rPr>
              <w:t>4</w:t>
            </w:r>
          </w:p>
        </w:tc>
        <w:tc>
          <w:tcPr>
            <w:tcW w:w="1327" w:type="dxa"/>
            <w:vAlign w:val="center"/>
          </w:tcPr>
          <w:p w:rsidR="00F02633" w:rsidRDefault="003150F5">
            <w:pPr>
              <w:jc w:val="center"/>
            </w:pPr>
            <w:r>
              <w:rPr>
                <w:color w:val="000000"/>
                <w:sz w:val="24"/>
              </w:rPr>
              <w:t>601336</w:t>
            </w:r>
          </w:p>
        </w:tc>
        <w:tc>
          <w:tcPr>
            <w:tcW w:w="1769" w:type="dxa"/>
            <w:vAlign w:val="center"/>
          </w:tcPr>
          <w:p w:rsidR="00F02633" w:rsidRDefault="003150F5">
            <w:pPr>
              <w:jc w:val="center"/>
            </w:pPr>
            <w:r>
              <w:rPr>
                <w:color w:val="000000"/>
                <w:sz w:val="24"/>
              </w:rPr>
              <w:t>新华保险</w:t>
            </w:r>
          </w:p>
        </w:tc>
        <w:tc>
          <w:tcPr>
            <w:tcW w:w="1327" w:type="dxa"/>
            <w:vAlign w:val="center"/>
          </w:tcPr>
          <w:p w:rsidR="00F02633" w:rsidRDefault="003150F5">
            <w:pPr>
              <w:jc w:val="right"/>
            </w:pPr>
            <w:r>
              <w:rPr>
                <w:color w:val="000000"/>
                <w:sz w:val="24"/>
              </w:rPr>
              <w:t>5,442</w:t>
            </w:r>
          </w:p>
        </w:tc>
        <w:tc>
          <w:tcPr>
            <w:tcW w:w="1915" w:type="dxa"/>
            <w:vAlign w:val="center"/>
          </w:tcPr>
          <w:p w:rsidR="00F02633" w:rsidRDefault="003150F5">
            <w:pPr>
              <w:jc w:val="right"/>
            </w:pPr>
            <w:r>
              <w:rPr>
                <w:color w:val="000000"/>
                <w:sz w:val="24"/>
              </w:rPr>
              <w:t>382,028.40</w:t>
            </w:r>
          </w:p>
        </w:tc>
        <w:tc>
          <w:tcPr>
            <w:tcW w:w="1680" w:type="dxa"/>
            <w:vAlign w:val="center"/>
          </w:tcPr>
          <w:p w:rsidR="00F02633" w:rsidRDefault="003150F5">
            <w:pPr>
              <w:jc w:val="right"/>
            </w:pPr>
            <w:r>
              <w:rPr>
                <w:color w:val="000000"/>
                <w:sz w:val="24"/>
              </w:rPr>
              <w:t>0.55</w:t>
            </w:r>
          </w:p>
        </w:tc>
      </w:tr>
      <w:tr w:rsidR="00F02633">
        <w:trPr>
          <w:jc w:val="center"/>
        </w:trPr>
        <w:tc>
          <w:tcPr>
            <w:tcW w:w="850" w:type="dxa"/>
            <w:vAlign w:val="center"/>
          </w:tcPr>
          <w:p w:rsidR="00F02633" w:rsidRDefault="003150F5">
            <w:pPr>
              <w:jc w:val="center"/>
            </w:pPr>
            <w:r>
              <w:rPr>
                <w:color w:val="000000"/>
                <w:sz w:val="24"/>
              </w:rPr>
              <w:t>5</w:t>
            </w:r>
          </w:p>
        </w:tc>
        <w:tc>
          <w:tcPr>
            <w:tcW w:w="1327" w:type="dxa"/>
            <w:vAlign w:val="center"/>
          </w:tcPr>
          <w:p w:rsidR="00F02633" w:rsidRDefault="003150F5">
            <w:pPr>
              <w:jc w:val="center"/>
            </w:pPr>
            <w:r>
              <w:rPr>
                <w:color w:val="000000"/>
                <w:sz w:val="24"/>
              </w:rPr>
              <w:t>600622</w:t>
            </w:r>
          </w:p>
        </w:tc>
        <w:tc>
          <w:tcPr>
            <w:tcW w:w="1769" w:type="dxa"/>
            <w:vAlign w:val="center"/>
          </w:tcPr>
          <w:p w:rsidR="00F02633" w:rsidRDefault="003150F5">
            <w:pPr>
              <w:jc w:val="center"/>
            </w:pPr>
            <w:r>
              <w:rPr>
                <w:color w:val="000000"/>
                <w:sz w:val="24"/>
              </w:rPr>
              <w:t>光大嘉宝</w:t>
            </w:r>
          </w:p>
        </w:tc>
        <w:tc>
          <w:tcPr>
            <w:tcW w:w="1327" w:type="dxa"/>
            <w:vAlign w:val="center"/>
          </w:tcPr>
          <w:p w:rsidR="00F02633" w:rsidRDefault="003150F5">
            <w:pPr>
              <w:jc w:val="right"/>
            </w:pPr>
            <w:r>
              <w:rPr>
                <w:color w:val="000000"/>
                <w:sz w:val="24"/>
              </w:rPr>
              <w:t>13,400</w:t>
            </w:r>
          </w:p>
        </w:tc>
        <w:tc>
          <w:tcPr>
            <w:tcW w:w="1915" w:type="dxa"/>
            <w:vAlign w:val="center"/>
          </w:tcPr>
          <w:p w:rsidR="00F02633" w:rsidRDefault="003150F5">
            <w:pPr>
              <w:jc w:val="right"/>
            </w:pPr>
            <w:r>
              <w:rPr>
                <w:color w:val="000000"/>
                <w:sz w:val="24"/>
              </w:rPr>
              <w:t>240,798.00</w:t>
            </w:r>
          </w:p>
        </w:tc>
        <w:tc>
          <w:tcPr>
            <w:tcW w:w="1680" w:type="dxa"/>
            <w:vAlign w:val="center"/>
          </w:tcPr>
          <w:p w:rsidR="00F02633" w:rsidRDefault="003150F5">
            <w:pPr>
              <w:jc w:val="right"/>
            </w:pPr>
            <w:r>
              <w:rPr>
                <w:color w:val="000000"/>
                <w:sz w:val="24"/>
              </w:rPr>
              <w:t>0.35</w:t>
            </w:r>
          </w:p>
        </w:tc>
      </w:tr>
      <w:tr w:rsidR="00F02633">
        <w:trPr>
          <w:jc w:val="center"/>
        </w:trPr>
        <w:tc>
          <w:tcPr>
            <w:tcW w:w="850" w:type="dxa"/>
            <w:vAlign w:val="center"/>
          </w:tcPr>
          <w:p w:rsidR="00F02633" w:rsidRDefault="003150F5">
            <w:pPr>
              <w:jc w:val="center"/>
            </w:pPr>
            <w:r>
              <w:rPr>
                <w:color w:val="000000"/>
                <w:sz w:val="24"/>
              </w:rPr>
              <w:t>6</w:t>
            </w:r>
          </w:p>
        </w:tc>
        <w:tc>
          <w:tcPr>
            <w:tcW w:w="1327" w:type="dxa"/>
            <w:vAlign w:val="center"/>
          </w:tcPr>
          <w:p w:rsidR="00F02633" w:rsidRDefault="003150F5">
            <w:pPr>
              <w:jc w:val="center"/>
            </w:pPr>
            <w:r>
              <w:rPr>
                <w:color w:val="000000"/>
                <w:sz w:val="24"/>
              </w:rPr>
              <w:t>002709</w:t>
            </w:r>
          </w:p>
        </w:tc>
        <w:tc>
          <w:tcPr>
            <w:tcW w:w="1769" w:type="dxa"/>
            <w:vAlign w:val="center"/>
          </w:tcPr>
          <w:p w:rsidR="00F02633" w:rsidRDefault="003150F5">
            <w:pPr>
              <w:jc w:val="center"/>
            </w:pPr>
            <w:r>
              <w:rPr>
                <w:color w:val="000000"/>
                <w:sz w:val="24"/>
              </w:rPr>
              <w:t>天赐材料</w:t>
            </w:r>
          </w:p>
        </w:tc>
        <w:tc>
          <w:tcPr>
            <w:tcW w:w="1327" w:type="dxa"/>
            <w:vAlign w:val="center"/>
          </w:tcPr>
          <w:p w:rsidR="00F02633" w:rsidRDefault="003150F5">
            <w:pPr>
              <w:jc w:val="right"/>
            </w:pPr>
            <w:r>
              <w:rPr>
                <w:color w:val="000000"/>
                <w:sz w:val="24"/>
              </w:rPr>
              <w:t>4,965</w:t>
            </w:r>
          </w:p>
        </w:tc>
        <w:tc>
          <w:tcPr>
            <w:tcW w:w="1915" w:type="dxa"/>
            <w:vAlign w:val="center"/>
          </w:tcPr>
          <w:p w:rsidR="00F02633" w:rsidRDefault="003150F5">
            <w:pPr>
              <w:jc w:val="right"/>
            </w:pPr>
            <w:r>
              <w:rPr>
                <w:color w:val="000000"/>
                <w:sz w:val="24"/>
              </w:rPr>
              <w:t>228,340.35</w:t>
            </w:r>
          </w:p>
        </w:tc>
        <w:tc>
          <w:tcPr>
            <w:tcW w:w="1680" w:type="dxa"/>
            <w:vAlign w:val="center"/>
          </w:tcPr>
          <w:p w:rsidR="00F02633" w:rsidRDefault="003150F5">
            <w:pPr>
              <w:jc w:val="right"/>
            </w:pPr>
            <w:r>
              <w:rPr>
                <w:color w:val="000000"/>
                <w:sz w:val="24"/>
              </w:rPr>
              <w:t>0.33</w:t>
            </w:r>
          </w:p>
        </w:tc>
      </w:tr>
      <w:tr w:rsidR="00F02633">
        <w:trPr>
          <w:jc w:val="center"/>
        </w:trPr>
        <w:tc>
          <w:tcPr>
            <w:tcW w:w="850" w:type="dxa"/>
            <w:vAlign w:val="center"/>
          </w:tcPr>
          <w:p w:rsidR="00F02633" w:rsidRDefault="003150F5">
            <w:pPr>
              <w:jc w:val="center"/>
            </w:pPr>
            <w:r>
              <w:rPr>
                <w:color w:val="000000"/>
                <w:sz w:val="24"/>
              </w:rPr>
              <w:t>7</w:t>
            </w:r>
          </w:p>
        </w:tc>
        <w:tc>
          <w:tcPr>
            <w:tcW w:w="1327" w:type="dxa"/>
            <w:vAlign w:val="center"/>
          </w:tcPr>
          <w:p w:rsidR="00F02633" w:rsidRDefault="003150F5">
            <w:pPr>
              <w:jc w:val="center"/>
            </w:pPr>
            <w:r>
              <w:rPr>
                <w:color w:val="000000"/>
                <w:sz w:val="24"/>
              </w:rPr>
              <w:t>300130</w:t>
            </w:r>
          </w:p>
        </w:tc>
        <w:tc>
          <w:tcPr>
            <w:tcW w:w="1769" w:type="dxa"/>
            <w:vAlign w:val="center"/>
          </w:tcPr>
          <w:p w:rsidR="00F02633" w:rsidRDefault="003150F5">
            <w:pPr>
              <w:jc w:val="center"/>
            </w:pPr>
            <w:r>
              <w:rPr>
                <w:color w:val="000000"/>
                <w:sz w:val="24"/>
              </w:rPr>
              <w:t>新国都</w:t>
            </w:r>
          </w:p>
        </w:tc>
        <w:tc>
          <w:tcPr>
            <w:tcW w:w="1327" w:type="dxa"/>
            <w:vAlign w:val="center"/>
          </w:tcPr>
          <w:p w:rsidR="00F02633" w:rsidRDefault="003150F5">
            <w:pPr>
              <w:jc w:val="right"/>
            </w:pPr>
            <w:r>
              <w:rPr>
                <w:color w:val="000000"/>
                <w:sz w:val="24"/>
              </w:rPr>
              <w:t>8,802</w:t>
            </w:r>
          </w:p>
        </w:tc>
        <w:tc>
          <w:tcPr>
            <w:tcW w:w="1915" w:type="dxa"/>
            <w:vAlign w:val="center"/>
          </w:tcPr>
          <w:p w:rsidR="00F02633" w:rsidRDefault="003150F5">
            <w:pPr>
              <w:jc w:val="right"/>
            </w:pPr>
            <w:r>
              <w:rPr>
                <w:color w:val="000000"/>
                <w:sz w:val="24"/>
              </w:rPr>
              <w:t>210,015.72</w:t>
            </w:r>
          </w:p>
        </w:tc>
        <w:tc>
          <w:tcPr>
            <w:tcW w:w="1680" w:type="dxa"/>
            <w:vAlign w:val="center"/>
          </w:tcPr>
          <w:p w:rsidR="00F02633" w:rsidRDefault="003150F5">
            <w:pPr>
              <w:jc w:val="right"/>
            </w:pPr>
            <w:r>
              <w:rPr>
                <w:color w:val="000000"/>
                <w:sz w:val="24"/>
              </w:rPr>
              <w:t>0.30</w:t>
            </w:r>
          </w:p>
        </w:tc>
      </w:tr>
      <w:tr w:rsidR="00F02633">
        <w:trPr>
          <w:jc w:val="center"/>
        </w:trPr>
        <w:tc>
          <w:tcPr>
            <w:tcW w:w="850" w:type="dxa"/>
            <w:vAlign w:val="center"/>
          </w:tcPr>
          <w:p w:rsidR="00F02633" w:rsidRDefault="003150F5">
            <w:pPr>
              <w:jc w:val="center"/>
            </w:pPr>
            <w:r>
              <w:rPr>
                <w:color w:val="000000"/>
                <w:sz w:val="24"/>
              </w:rPr>
              <w:t>8</w:t>
            </w:r>
          </w:p>
        </w:tc>
        <w:tc>
          <w:tcPr>
            <w:tcW w:w="1327" w:type="dxa"/>
            <w:vAlign w:val="center"/>
          </w:tcPr>
          <w:p w:rsidR="00F02633" w:rsidRDefault="003150F5">
            <w:pPr>
              <w:jc w:val="center"/>
            </w:pPr>
            <w:r>
              <w:rPr>
                <w:color w:val="000000"/>
                <w:sz w:val="24"/>
              </w:rPr>
              <w:t>002384</w:t>
            </w:r>
          </w:p>
        </w:tc>
        <w:tc>
          <w:tcPr>
            <w:tcW w:w="1769" w:type="dxa"/>
            <w:vAlign w:val="center"/>
          </w:tcPr>
          <w:p w:rsidR="00F02633" w:rsidRDefault="003150F5">
            <w:pPr>
              <w:jc w:val="center"/>
            </w:pPr>
            <w:r>
              <w:rPr>
                <w:color w:val="000000"/>
                <w:sz w:val="24"/>
              </w:rPr>
              <w:t>东山精密</w:t>
            </w:r>
          </w:p>
        </w:tc>
        <w:tc>
          <w:tcPr>
            <w:tcW w:w="1327" w:type="dxa"/>
            <w:vAlign w:val="center"/>
          </w:tcPr>
          <w:p w:rsidR="00F02633" w:rsidRDefault="003150F5">
            <w:pPr>
              <w:jc w:val="right"/>
            </w:pPr>
            <w:r>
              <w:rPr>
                <w:color w:val="000000"/>
                <w:sz w:val="24"/>
              </w:rPr>
              <w:t>4,200</w:t>
            </w:r>
          </w:p>
        </w:tc>
        <w:tc>
          <w:tcPr>
            <w:tcW w:w="1915" w:type="dxa"/>
            <w:vAlign w:val="center"/>
          </w:tcPr>
          <w:p w:rsidR="00F02633" w:rsidRDefault="003150F5">
            <w:pPr>
              <w:jc w:val="right"/>
            </w:pPr>
            <w:r>
              <w:rPr>
                <w:color w:val="000000"/>
                <w:sz w:val="24"/>
              </w:rPr>
              <w:t>119,532.00</w:t>
            </w:r>
          </w:p>
        </w:tc>
        <w:tc>
          <w:tcPr>
            <w:tcW w:w="1680" w:type="dxa"/>
            <w:vAlign w:val="center"/>
          </w:tcPr>
          <w:p w:rsidR="00F02633" w:rsidRDefault="003150F5">
            <w:pPr>
              <w:jc w:val="right"/>
            </w:pPr>
            <w:r>
              <w:rPr>
                <w:color w:val="000000"/>
                <w:sz w:val="24"/>
              </w:rPr>
              <w:t>0.17</w:t>
            </w:r>
          </w:p>
        </w:tc>
      </w:tr>
      <w:tr w:rsidR="00F02633">
        <w:trPr>
          <w:jc w:val="center"/>
        </w:trPr>
        <w:tc>
          <w:tcPr>
            <w:tcW w:w="850" w:type="dxa"/>
            <w:vAlign w:val="center"/>
          </w:tcPr>
          <w:p w:rsidR="00F02633" w:rsidRDefault="003150F5">
            <w:pPr>
              <w:jc w:val="center"/>
            </w:pPr>
            <w:r>
              <w:rPr>
                <w:color w:val="000000"/>
                <w:sz w:val="24"/>
              </w:rPr>
              <w:t>9</w:t>
            </w:r>
          </w:p>
        </w:tc>
        <w:tc>
          <w:tcPr>
            <w:tcW w:w="1327" w:type="dxa"/>
            <w:vAlign w:val="center"/>
          </w:tcPr>
          <w:p w:rsidR="00F02633" w:rsidRDefault="003150F5">
            <w:pPr>
              <w:jc w:val="center"/>
            </w:pPr>
            <w:r>
              <w:rPr>
                <w:color w:val="000000"/>
                <w:sz w:val="24"/>
              </w:rPr>
              <w:t>000666</w:t>
            </w:r>
          </w:p>
        </w:tc>
        <w:tc>
          <w:tcPr>
            <w:tcW w:w="1769" w:type="dxa"/>
            <w:vAlign w:val="center"/>
          </w:tcPr>
          <w:p w:rsidR="00F02633" w:rsidRDefault="003150F5">
            <w:pPr>
              <w:jc w:val="center"/>
            </w:pPr>
            <w:r>
              <w:rPr>
                <w:color w:val="000000"/>
                <w:sz w:val="24"/>
              </w:rPr>
              <w:t>经纬纺机</w:t>
            </w:r>
          </w:p>
        </w:tc>
        <w:tc>
          <w:tcPr>
            <w:tcW w:w="1327" w:type="dxa"/>
            <w:vAlign w:val="center"/>
          </w:tcPr>
          <w:p w:rsidR="00F02633" w:rsidRDefault="003150F5">
            <w:pPr>
              <w:jc w:val="right"/>
            </w:pPr>
            <w:r>
              <w:rPr>
                <w:color w:val="000000"/>
                <w:sz w:val="24"/>
              </w:rPr>
              <w:t>4,900</w:t>
            </w:r>
          </w:p>
        </w:tc>
        <w:tc>
          <w:tcPr>
            <w:tcW w:w="1915" w:type="dxa"/>
            <w:vAlign w:val="center"/>
          </w:tcPr>
          <w:p w:rsidR="00F02633" w:rsidRDefault="003150F5">
            <w:pPr>
              <w:jc w:val="right"/>
            </w:pPr>
            <w:r>
              <w:rPr>
                <w:color w:val="000000"/>
                <w:sz w:val="24"/>
              </w:rPr>
              <w:t>95,158.00</w:t>
            </w:r>
          </w:p>
        </w:tc>
        <w:tc>
          <w:tcPr>
            <w:tcW w:w="1680" w:type="dxa"/>
            <w:vAlign w:val="center"/>
          </w:tcPr>
          <w:p w:rsidR="00F02633" w:rsidRDefault="003150F5">
            <w:pPr>
              <w:jc w:val="right"/>
            </w:pPr>
            <w:r>
              <w:rPr>
                <w:color w:val="000000"/>
                <w:sz w:val="24"/>
              </w:rPr>
              <w:t>0.14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3150F5" w:rsidP="007C14DF">
            <w:pPr>
              <w:spacing w:before="29" w:line="288" w:lineRule="auto"/>
              <w:ind w:left="17"/>
              <w:jc w:val="right"/>
              <w:rPr>
                <w:color w:val="000000"/>
                <w:sz w:val="24"/>
              </w:rPr>
            </w:pPr>
            <w:r w:rsidRPr="003150F5">
              <w:rPr>
                <w:color w:val="000000"/>
                <w:sz w:val="24"/>
              </w:rPr>
              <w:t>44</w:t>
            </w:r>
            <w:r>
              <w:rPr>
                <w:color w:val="000000"/>
                <w:sz w:val="24"/>
              </w:rPr>
              <w:t>,</w:t>
            </w:r>
            <w:r w:rsidRPr="003150F5">
              <w:rPr>
                <w:color w:val="000000"/>
                <w:sz w:val="24"/>
              </w:rPr>
              <w:t>307</w:t>
            </w:r>
            <w:r>
              <w:rPr>
                <w:color w:val="000000"/>
                <w:sz w:val="24"/>
              </w:rPr>
              <w:t>,</w:t>
            </w:r>
            <w:r w:rsidRPr="003150F5">
              <w:rPr>
                <w:color w:val="000000"/>
                <w:sz w:val="24"/>
              </w:rPr>
              <w:t>947.6</w:t>
            </w:r>
            <w:r>
              <w:rPr>
                <w:color w:val="000000"/>
                <w:sz w:val="24"/>
              </w:rPr>
              <w:t>0</w:t>
            </w:r>
          </w:p>
        </w:tc>
        <w:tc>
          <w:tcPr>
            <w:tcW w:w="1616" w:type="dxa"/>
            <w:vAlign w:val="center"/>
          </w:tcPr>
          <w:p w:rsidR="00296E4A" w:rsidRPr="007F52FA" w:rsidRDefault="003150F5" w:rsidP="007C14DF">
            <w:pPr>
              <w:spacing w:before="29" w:line="288" w:lineRule="auto"/>
              <w:ind w:left="17"/>
              <w:jc w:val="right"/>
              <w:rPr>
                <w:color w:val="000000"/>
                <w:sz w:val="24"/>
              </w:rPr>
            </w:pPr>
            <w:r w:rsidRPr="003150F5">
              <w:rPr>
                <w:color w:val="000000"/>
                <w:sz w:val="24"/>
              </w:rPr>
              <w:t>64</w:t>
            </w:r>
            <w:r w:rsidR="00296E4A" w:rsidRPr="003150F5">
              <w:rPr>
                <w:color w:val="000000"/>
                <w:sz w:val="24"/>
              </w:rPr>
              <w:t>.32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39,484,947.60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3150F5" w:rsidP="003150F5">
            <w:pPr>
              <w:spacing w:before="29" w:line="288" w:lineRule="auto"/>
              <w:ind w:left="17"/>
              <w:jc w:val="right"/>
              <w:rPr>
                <w:color w:val="000000"/>
                <w:sz w:val="24"/>
              </w:rPr>
            </w:pPr>
            <w:r>
              <w:rPr>
                <w:color w:val="000000"/>
                <w:sz w:val="24"/>
              </w:rPr>
              <w:t>5</w:t>
            </w:r>
            <w:r w:rsidR="00296E4A" w:rsidRPr="007F52FA">
              <w:rPr>
                <w:color w:val="000000"/>
                <w:sz w:val="24"/>
              </w:rPr>
              <w:t>,</w:t>
            </w:r>
            <w:r>
              <w:rPr>
                <w:color w:val="000000"/>
                <w:sz w:val="24"/>
              </w:rPr>
              <w:t>019</w:t>
            </w:r>
            <w:r w:rsidR="00296E4A" w:rsidRPr="007F52FA">
              <w:rPr>
                <w:color w:val="000000"/>
                <w:sz w:val="24"/>
              </w:rPr>
              <w:t>,000.00</w:t>
            </w:r>
          </w:p>
        </w:tc>
        <w:tc>
          <w:tcPr>
            <w:tcW w:w="1616" w:type="dxa"/>
            <w:vAlign w:val="center"/>
          </w:tcPr>
          <w:p w:rsidR="00296E4A" w:rsidRPr="007F52FA" w:rsidRDefault="003150F5" w:rsidP="007C14DF">
            <w:pPr>
              <w:spacing w:before="29" w:line="288" w:lineRule="auto"/>
              <w:ind w:left="17"/>
              <w:jc w:val="right"/>
              <w:rPr>
                <w:color w:val="000000"/>
                <w:sz w:val="24"/>
              </w:rPr>
            </w:pPr>
            <w:r w:rsidRPr="003150F5">
              <w:rPr>
                <w:color w:val="000000"/>
                <w:sz w:val="24"/>
              </w:rPr>
              <w:t>7</w:t>
            </w:r>
            <w:r w:rsidR="00296E4A" w:rsidRPr="003150F5">
              <w:rPr>
                <w:color w:val="000000"/>
                <w:sz w:val="24"/>
              </w:rPr>
              <w:t>.29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6,428,290.30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9,870,000.00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14.33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65,625,237.90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95.27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02633">
        <w:trPr>
          <w:jc w:val="center"/>
        </w:trPr>
        <w:tc>
          <w:tcPr>
            <w:tcW w:w="1075" w:type="dxa"/>
            <w:vAlign w:val="center"/>
          </w:tcPr>
          <w:p w:rsidR="00F02633" w:rsidRDefault="003150F5">
            <w:pPr>
              <w:jc w:val="center"/>
            </w:pPr>
            <w:r>
              <w:rPr>
                <w:color w:val="000000"/>
                <w:sz w:val="24"/>
              </w:rPr>
              <w:t>1</w:t>
            </w:r>
          </w:p>
        </w:tc>
        <w:tc>
          <w:tcPr>
            <w:tcW w:w="1533" w:type="dxa"/>
            <w:vAlign w:val="center"/>
          </w:tcPr>
          <w:p w:rsidR="00F02633" w:rsidRDefault="003150F5">
            <w:pPr>
              <w:jc w:val="center"/>
            </w:pPr>
            <w:r>
              <w:rPr>
                <w:color w:val="000000"/>
                <w:sz w:val="24"/>
              </w:rPr>
              <w:t>018005</w:t>
            </w:r>
          </w:p>
        </w:tc>
        <w:tc>
          <w:tcPr>
            <w:tcW w:w="1533" w:type="dxa"/>
            <w:vAlign w:val="center"/>
          </w:tcPr>
          <w:p w:rsidR="00F02633" w:rsidRDefault="003150F5">
            <w:pPr>
              <w:jc w:val="center"/>
            </w:pPr>
            <w:r>
              <w:rPr>
                <w:color w:val="000000"/>
                <w:sz w:val="24"/>
              </w:rPr>
              <w:t>国开</w:t>
            </w:r>
            <w:r>
              <w:rPr>
                <w:color w:val="000000"/>
                <w:sz w:val="24"/>
              </w:rPr>
              <w:t>1701</w:t>
            </w:r>
          </w:p>
        </w:tc>
        <w:tc>
          <w:tcPr>
            <w:tcW w:w="1394" w:type="dxa"/>
            <w:vAlign w:val="center"/>
          </w:tcPr>
          <w:p w:rsidR="00F02633" w:rsidRDefault="003150F5">
            <w:pPr>
              <w:jc w:val="right"/>
            </w:pPr>
            <w:r>
              <w:rPr>
                <w:color w:val="000000"/>
                <w:sz w:val="24"/>
              </w:rPr>
              <w:t>202,840</w:t>
            </w:r>
          </w:p>
        </w:tc>
        <w:tc>
          <w:tcPr>
            <w:tcW w:w="1944" w:type="dxa"/>
            <w:vAlign w:val="center"/>
          </w:tcPr>
          <w:p w:rsidR="00F02633" w:rsidRDefault="003150F5">
            <w:pPr>
              <w:jc w:val="right"/>
            </w:pPr>
            <w:r>
              <w:rPr>
                <w:color w:val="000000"/>
                <w:sz w:val="24"/>
              </w:rPr>
              <w:t>20,058,847.60</w:t>
            </w:r>
          </w:p>
        </w:tc>
        <w:tc>
          <w:tcPr>
            <w:tcW w:w="1389" w:type="dxa"/>
            <w:vAlign w:val="center"/>
          </w:tcPr>
          <w:p w:rsidR="00F02633" w:rsidRDefault="003150F5">
            <w:pPr>
              <w:jc w:val="right"/>
            </w:pPr>
            <w:r>
              <w:rPr>
                <w:color w:val="000000"/>
                <w:sz w:val="24"/>
              </w:rPr>
              <w:t>29.12</w:t>
            </w:r>
          </w:p>
        </w:tc>
      </w:tr>
      <w:tr w:rsidR="00F02633">
        <w:trPr>
          <w:jc w:val="center"/>
        </w:trPr>
        <w:tc>
          <w:tcPr>
            <w:tcW w:w="1075" w:type="dxa"/>
            <w:vAlign w:val="center"/>
          </w:tcPr>
          <w:p w:rsidR="00F02633" w:rsidRDefault="003150F5">
            <w:pPr>
              <w:jc w:val="center"/>
            </w:pPr>
            <w:r>
              <w:rPr>
                <w:color w:val="000000"/>
                <w:sz w:val="24"/>
              </w:rPr>
              <w:t>2</w:t>
            </w:r>
          </w:p>
        </w:tc>
        <w:tc>
          <w:tcPr>
            <w:tcW w:w="1533" w:type="dxa"/>
            <w:vAlign w:val="center"/>
          </w:tcPr>
          <w:p w:rsidR="00F02633" w:rsidRDefault="003150F5">
            <w:pPr>
              <w:jc w:val="center"/>
            </w:pPr>
            <w:r>
              <w:rPr>
                <w:color w:val="000000"/>
                <w:sz w:val="24"/>
              </w:rPr>
              <w:t>170410</w:t>
            </w:r>
          </w:p>
        </w:tc>
        <w:tc>
          <w:tcPr>
            <w:tcW w:w="1533" w:type="dxa"/>
            <w:vAlign w:val="center"/>
          </w:tcPr>
          <w:p w:rsidR="00F02633" w:rsidRDefault="003150F5">
            <w:pPr>
              <w:jc w:val="center"/>
            </w:pPr>
            <w:r>
              <w:rPr>
                <w:color w:val="000000"/>
                <w:sz w:val="24"/>
              </w:rPr>
              <w:t>17</w:t>
            </w:r>
            <w:r>
              <w:rPr>
                <w:color w:val="000000"/>
                <w:sz w:val="24"/>
              </w:rPr>
              <w:t>农发</w:t>
            </w:r>
            <w:r>
              <w:rPr>
                <w:color w:val="000000"/>
                <w:sz w:val="24"/>
              </w:rPr>
              <w:t>10</w:t>
            </w:r>
          </w:p>
        </w:tc>
        <w:tc>
          <w:tcPr>
            <w:tcW w:w="1394" w:type="dxa"/>
            <w:vAlign w:val="center"/>
          </w:tcPr>
          <w:p w:rsidR="00F02633" w:rsidRDefault="003150F5">
            <w:pPr>
              <w:jc w:val="right"/>
            </w:pPr>
            <w:r>
              <w:rPr>
                <w:color w:val="000000"/>
                <w:sz w:val="24"/>
              </w:rPr>
              <w:t>100,000</w:t>
            </w:r>
          </w:p>
        </w:tc>
        <w:tc>
          <w:tcPr>
            <w:tcW w:w="1944" w:type="dxa"/>
            <w:vAlign w:val="center"/>
          </w:tcPr>
          <w:p w:rsidR="00F02633" w:rsidRDefault="003150F5">
            <w:pPr>
              <w:jc w:val="right"/>
            </w:pPr>
            <w:r>
              <w:rPr>
                <w:color w:val="000000"/>
                <w:sz w:val="24"/>
              </w:rPr>
              <w:t>9,947,000.00</w:t>
            </w:r>
          </w:p>
        </w:tc>
        <w:tc>
          <w:tcPr>
            <w:tcW w:w="1389" w:type="dxa"/>
            <w:vAlign w:val="center"/>
          </w:tcPr>
          <w:p w:rsidR="00F02633" w:rsidRDefault="003150F5">
            <w:pPr>
              <w:jc w:val="right"/>
            </w:pPr>
            <w:r>
              <w:rPr>
                <w:color w:val="000000"/>
                <w:sz w:val="24"/>
              </w:rPr>
              <w:t>14.44</w:t>
            </w:r>
          </w:p>
        </w:tc>
      </w:tr>
      <w:tr w:rsidR="00F02633">
        <w:trPr>
          <w:jc w:val="center"/>
        </w:trPr>
        <w:tc>
          <w:tcPr>
            <w:tcW w:w="1075" w:type="dxa"/>
            <w:vAlign w:val="center"/>
          </w:tcPr>
          <w:p w:rsidR="00F02633" w:rsidRDefault="003150F5">
            <w:pPr>
              <w:jc w:val="center"/>
            </w:pPr>
            <w:r>
              <w:rPr>
                <w:color w:val="000000"/>
                <w:sz w:val="24"/>
              </w:rPr>
              <w:t>3</w:t>
            </w:r>
          </w:p>
        </w:tc>
        <w:tc>
          <w:tcPr>
            <w:tcW w:w="1533" w:type="dxa"/>
            <w:vAlign w:val="center"/>
          </w:tcPr>
          <w:p w:rsidR="00F02633" w:rsidRDefault="003150F5">
            <w:pPr>
              <w:jc w:val="center"/>
            </w:pPr>
            <w:r>
              <w:rPr>
                <w:color w:val="000000"/>
                <w:sz w:val="24"/>
              </w:rPr>
              <w:t>111770848</w:t>
            </w:r>
          </w:p>
        </w:tc>
        <w:tc>
          <w:tcPr>
            <w:tcW w:w="1533" w:type="dxa"/>
            <w:vAlign w:val="center"/>
          </w:tcPr>
          <w:p w:rsidR="00F02633" w:rsidRDefault="003150F5">
            <w:pPr>
              <w:jc w:val="center"/>
            </w:pPr>
            <w:r>
              <w:rPr>
                <w:color w:val="000000"/>
                <w:sz w:val="24"/>
              </w:rPr>
              <w:t>17</w:t>
            </w:r>
            <w:r>
              <w:rPr>
                <w:color w:val="000000"/>
                <w:sz w:val="24"/>
              </w:rPr>
              <w:t>宁波银行</w:t>
            </w:r>
            <w:r>
              <w:rPr>
                <w:color w:val="000000"/>
                <w:sz w:val="24"/>
              </w:rPr>
              <w:t>CD238</w:t>
            </w:r>
          </w:p>
        </w:tc>
        <w:tc>
          <w:tcPr>
            <w:tcW w:w="1394" w:type="dxa"/>
            <w:vAlign w:val="center"/>
          </w:tcPr>
          <w:p w:rsidR="00F02633" w:rsidRDefault="003150F5">
            <w:pPr>
              <w:jc w:val="right"/>
            </w:pPr>
            <w:r>
              <w:rPr>
                <w:color w:val="000000"/>
                <w:sz w:val="24"/>
              </w:rPr>
              <w:t>100,000</w:t>
            </w:r>
          </w:p>
        </w:tc>
        <w:tc>
          <w:tcPr>
            <w:tcW w:w="1944" w:type="dxa"/>
            <w:vAlign w:val="center"/>
          </w:tcPr>
          <w:p w:rsidR="00F02633" w:rsidRDefault="003150F5">
            <w:pPr>
              <w:jc w:val="right"/>
            </w:pPr>
            <w:r>
              <w:rPr>
                <w:color w:val="000000"/>
                <w:sz w:val="24"/>
              </w:rPr>
              <w:t>9,870,000.00</w:t>
            </w:r>
          </w:p>
        </w:tc>
        <w:tc>
          <w:tcPr>
            <w:tcW w:w="1389" w:type="dxa"/>
            <w:vAlign w:val="center"/>
          </w:tcPr>
          <w:p w:rsidR="00F02633" w:rsidRDefault="003150F5">
            <w:pPr>
              <w:jc w:val="right"/>
            </w:pPr>
            <w:r>
              <w:rPr>
                <w:color w:val="000000"/>
                <w:sz w:val="24"/>
              </w:rPr>
              <w:t>14.33</w:t>
            </w:r>
          </w:p>
        </w:tc>
      </w:tr>
      <w:tr w:rsidR="00F02633">
        <w:trPr>
          <w:jc w:val="center"/>
        </w:trPr>
        <w:tc>
          <w:tcPr>
            <w:tcW w:w="1075" w:type="dxa"/>
            <w:vAlign w:val="center"/>
          </w:tcPr>
          <w:p w:rsidR="00F02633" w:rsidRDefault="003150F5">
            <w:pPr>
              <w:jc w:val="center"/>
            </w:pPr>
            <w:r>
              <w:rPr>
                <w:color w:val="000000"/>
                <w:sz w:val="24"/>
              </w:rPr>
              <w:t>4</w:t>
            </w:r>
          </w:p>
        </w:tc>
        <w:tc>
          <w:tcPr>
            <w:tcW w:w="1533" w:type="dxa"/>
            <w:vAlign w:val="center"/>
          </w:tcPr>
          <w:p w:rsidR="00F02633" w:rsidRDefault="003150F5">
            <w:pPr>
              <w:jc w:val="center"/>
            </w:pPr>
            <w:r>
              <w:rPr>
                <w:color w:val="000000"/>
                <w:sz w:val="24"/>
              </w:rPr>
              <w:t>108601</w:t>
            </w:r>
          </w:p>
        </w:tc>
        <w:tc>
          <w:tcPr>
            <w:tcW w:w="1533" w:type="dxa"/>
            <w:vAlign w:val="center"/>
          </w:tcPr>
          <w:p w:rsidR="00F02633" w:rsidRDefault="003150F5">
            <w:pPr>
              <w:jc w:val="center"/>
            </w:pPr>
            <w:r>
              <w:rPr>
                <w:color w:val="000000"/>
                <w:sz w:val="24"/>
              </w:rPr>
              <w:t>国开</w:t>
            </w:r>
            <w:r>
              <w:rPr>
                <w:color w:val="000000"/>
                <w:sz w:val="24"/>
              </w:rPr>
              <w:t>1703</w:t>
            </w:r>
          </w:p>
        </w:tc>
        <w:tc>
          <w:tcPr>
            <w:tcW w:w="1394" w:type="dxa"/>
            <w:vAlign w:val="center"/>
          </w:tcPr>
          <w:p w:rsidR="00F02633" w:rsidRDefault="003150F5">
            <w:pPr>
              <w:jc w:val="right"/>
            </w:pPr>
            <w:r>
              <w:rPr>
                <w:color w:val="000000"/>
                <w:sz w:val="24"/>
              </w:rPr>
              <w:t>95,000</w:t>
            </w:r>
          </w:p>
        </w:tc>
        <w:tc>
          <w:tcPr>
            <w:tcW w:w="1944" w:type="dxa"/>
            <w:vAlign w:val="center"/>
          </w:tcPr>
          <w:p w:rsidR="00F02633" w:rsidRDefault="003150F5">
            <w:pPr>
              <w:jc w:val="right"/>
            </w:pPr>
            <w:r>
              <w:rPr>
                <w:color w:val="000000"/>
                <w:sz w:val="24"/>
              </w:rPr>
              <w:t>9,479,100.00</w:t>
            </w:r>
          </w:p>
        </w:tc>
        <w:tc>
          <w:tcPr>
            <w:tcW w:w="1389" w:type="dxa"/>
            <w:vAlign w:val="center"/>
          </w:tcPr>
          <w:p w:rsidR="00F02633" w:rsidRDefault="003150F5">
            <w:pPr>
              <w:jc w:val="right"/>
            </w:pPr>
            <w:r>
              <w:rPr>
                <w:color w:val="000000"/>
                <w:sz w:val="24"/>
              </w:rPr>
              <w:t>13.76</w:t>
            </w:r>
          </w:p>
        </w:tc>
      </w:tr>
      <w:tr w:rsidR="00F02633">
        <w:trPr>
          <w:jc w:val="center"/>
        </w:trPr>
        <w:tc>
          <w:tcPr>
            <w:tcW w:w="1075" w:type="dxa"/>
            <w:vAlign w:val="center"/>
          </w:tcPr>
          <w:p w:rsidR="00F02633" w:rsidRDefault="003150F5">
            <w:pPr>
              <w:jc w:val="center"/>
            </w:pPr>
            <w:r>
              <w:rPr>
                <w:color w:val="000000"/>
                <w:sz w:val="24"/>
              </w:rPr>
              <w:t>5</w:t>
            </w:r>
          </w:p>
        </w:tc>
        <w:tc>
          <w:tcPr>
            <w:tcW w:w="1533" w:type="dxa"/>
            <w:vAlign w:val="center"/>
          </w:tcPr>
          <w:p w:rsidR="00F02633" w:rsidRDefault="003150F5">
            <w:pPr>
              <w:jc w:val="center"/>
            </w:pPr>
            <w:r>
              <w:rPr>
                <w:color w:val="000000"/>
                <w:sz w:val="24"/>
              </w:rPr>
              <w:t>122686</w:t>
            </w:r>
          </w:p>
        </w:tc>
        <w:tc>
          <w:tcPr>
            <w:tcW w:w="1533" w:type="dxa"/>
            <w:vAlign w:val="center"/>
          </w:tcPr>
          <w:p w:rsidR="00F02633" w:rsidRDefault="003150F5">
            <w:pPr>
              <w:jc w:val="center"/>
            </w:pPr>
            <w:r>
              <w:rPr>
                <w:color w:val="000000"/>
                <w:sz w:val="24"/>
              </w:rPr>
              <w:t>12</w:t>
            </w:r>
            <w:r>
              <w:rPr>
                <w:color w:val="000000"/>
                <w:sz w:val="24"/>
              </w:rPr>
              <w:t>白药债</w:t>
            </w:r>
          </w:p>
        </w:tc>
        <w:tc>
          <w:tcPr>
            <w:tcW w:w="1394" w:type="dxa"/>
            <w:vAlign w:val="center"/>
          </w:tcPr>
          <w:p w:rsidR="00F02633" w:rsidRDefault="003150F5">
            <w:pPr>
              <w:jc w:val="right"/>
            </w:pPr>
            <w:r>
              <w:rPr>
                <w:color w:val="000000"/>
                <w:sz w:val="24"/>
              </w:rPr>
              <w:t>50,000</w:t>
            </w:r>
          </w:p>
        </w:tc>
        <w:tc>
          <w:tcPr>
            <w:tcW w:w="1944" w:type="dxa"/>
            <w:vAlign w:val="center"/>
          </w:tcPr>
          <w:p w:rsidR="00F02633" w:rsidRDefault="003150F5">
            <w:pPr>
              <w:jc w:val="right"/>
            </w:pPr>
            <w:r>
              <w:rPr>
                <w:color w:val="000000"/>
                <w:sz w:val="24"/>
              </w:rPr>
              <w:t>5,019,000.00</w:t>
            </w:r>
          </w:p>
        </w:tc>
        <w:tc>
          <w:tcPr>
            <w:tcW w:w="1389" w:type="dxa"/>
            <w:vAlign w:val="center"/>
          </w:tcPr>
          <w:p w:rsidR="00F02633" w:rsidRDefault="003150F5">
            <w:pPr>
              <w:jc w:val="right"/>
            </w:pPr>
            <w:r>
              <w:rPr>
                <w:color w:val="000000"/>
                <w:sz w:val="24"/>
              </w:rPr>
              <w:t>7.29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16</w:t>
      </w:r>
      <w:r w:rsidRPr="00384E65">
        <w:rPr>
          <w:kern w:val="0"/>
          <w:sz w:val="24"/>
        </w:rPr>
        <w:t>中信</w:t>
      </w:r>
      <w:r w:rsidRPr="00384E65">
        <w:rPr>
          <w:kern w:val="0"/>
          <w:sz w:val="24"/>
        </w:rPr>
        <w:t>G1</w:t>
      </w:r>
      <w:r w:rsidRPr="00384E65">
        <w:rPr>
          <w:kern w:val="0"/>
          <w:sz w:val="24"/>
        </w:rPr>
        <w:t>（证券代码：</w:t>
      </w:r>
      <w:r w:rsidRPr="00384E65">
        <w:rPr>
          <w:kern w:val="0"/>
          <w:sz w:val="24"/>
        </w:rPr>
        <w:t>136830</w:t>
      </w:r>
      <w:r w:rsidRPr="00384E65">
        <w:rPr>
          <w:kern w:val="0"/>
          <w:sz w:val="24"/>
        </w:rPr>
        <w:t>）外，未出现被监管部门立案调查，或在报告编制日前一年内受到公开谴责、处罚的情形。</w:t>
      </w:r>
    </w:p>
    <w:p w:rsidR="00F02633" w:rsidRDefault="003150F5">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16</w:t>
      </w:r>
      <w:r>
        <w:rPr>
          <w:kern w:val="0"/>
          <w:sz w:val="24"/>
        </w:rPr>
        <w:t>中信</w:t>
      </w:r>
      <w:r>
        <w:rPr>
          <w:kern w:val="0"/>
          <w:sz w:val="24"/>
        </w:rPr>
        <w:t>G1</w:t>
      </w:r>
      <w:r>
        <w:rPr>
          <w:kern w:val="0"/>
          <w:sz w:val="24"/>
        </w:rPr>
        <w:t>（证券代码：</w:t>
      </w:r>
      <w:r>
        <w:rPr>
          <w:kern w:val="0"/>
          <w:sz w:val="24"/>
        </w:rPr>
        <w:t>136830</w:t>
      </w:r>
      <w:r>
        <w:rPr>
          <w:kern w:val="0"/>
          <w:sz w:val="24"/>
        </w:rPr>
        <w:t>）的发行主体中信证券于</w:t>
      </w:r>
      <w:r>
        <w:rPr>
          <w:kern w:val="0"/>
          <w:sz w:val="24"/>
        </w:rPr>
        <w:t>2017</w:t>
      </w:r>
      <w:r>
        <w:rPr>
          <w:kern w:val="0"/>
          <w:sz w:val="24"/>
        </w:rPr>
        <w:t>年</w:t>
      </w:r>
      <w:r>
        <w:rPr>
          <w:kern w:val="0"/>
          <w:sz w:val="24"/>
        </w:rPr>
        <w:t>5</w:t>
      </w:r>
      <w:r>
        <w:rPr>
          <w:kern w:val="0"/>
          <w:sz w:val="24"/>
        </w:rPr>
        <w:t>月</w:t>
      </w:r>
      <w:r>
        <w:rPr>
          <w:kern w:val="0"/>
          <w:sz w:val="24"/>
        </w:rPr>
        <w:t>24</w:t>
      </w:r>
      <w:r>
        <w:rPr>
          <w:kern w:val="0"/>
          <w:sz w:val="24"/>
        </w:rPr>
        <w:t>日公告，公司因违反《证券公司监督管理条例》第八十四条相关规定于日前收到中国证监会《行政处罚事先告知书》（处罚字</w:t>
      </w:r>
      <w:r>
        <w:rPr>
          <w:kern w:val="0"/>
          <w:sz w:val="24"/>
        </w:rPr>
        <w:t>[2017]57</w:t>
      </w:r>
      <w:r>
        <w:rPr>
          <w:kern w:val="0"/>
          <w:sz w:val="24"/>
        </w:rPr>
        <w:t>号）。据此，中国证监会拟决定责令公司改正，给予警告，没收违法所得人民币</w:t>
      </w:r>
      <w:r>
        <w:rPr>
          <w:kern w:val="0"/>
          <w:sz w:val="24"/>
        </w:rPr>
        <w:t>61,655,849.78</w:t>
      </w:r>
      <w:r>
        <w:rPr>
          <w:kern w:val="0"/>
          <w:sz w:val="24"/>
        </w:rPr>
        <w:t>元，并处人民币</w:t>
      </w:r>
      <w:r>
        <w:rPr>
          <w:kern w:val="0"/>
          <w:sz w:val="24"/>
        </w:rPr>
        <w:t>308,279,248.90</w:t>
      </w:r>
      <w:r>
        <w:rPr>
          <w:kern w:val="0"/>
          <w:sz w:val="24"/>
        </w:rPr>
        <w:t>元罚款。</w:t>
      </w:r>
    </w:p>
    <w:p w:rsidR="00F02633" w:rsidRDefault="003150F5">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15,211.28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298,931.51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1,190,047.95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41,497.46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1,545,688.20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F02633">
        <w:trPr>
          <w:jc w:val="center"/>
        </w:trPr>
        <w:tc>
          <w:tcPr>
            <w:tcW w:w="1129" w:type="dxa"/>
            <w:vAlign w:val="center"/>
          </w:tcPr>
          <w:p w:rsidR="00F02633" w:rsidRDefault="003150F5">
            <w:pPr>
              <w:jc w:val="center"/>
            </w:pPr>
            <w:r>
              <w:rPr>
                <w:rFonts w:eastAsiaTheme="minorEastAsia"/>
                <w:color w:val="000000"/>
                <w:sz w:val="24"/>
              </w:rPr>
              <w:t>1</w:t>
            </w:r>
          </w:p>
        </w:tc>
        <w:tc>
          <w:tcPr>
            <w:tcW w:w="1356" w:type="dxa"/>
            <w:vAlign w:val="center"/>
          </w:tcPr>
          <w:p w:rsidR="00F02633" w:rsidRDefault="003150F5">
            <w:pPr>
              <w:jc w:val="center"/>
            </w:pPr>
            <w:r>
              <w:rPr>
                <w:rFonts w:eastAsiaTheme="minorEastAsia"/>
                <w:color w:val="000000"/>
                <w:sz w:val="24"/>
              </w:rPr>
              <w:t>603986</w:t>
            </w:r>
          </w:p>
        </w:tc>
        <w:tc>
          <w:tcPr>
            <w:tcW w:w="1355" w:type="dxa"/>
            <w:vAlign w:val="center"/>
          </w:tcPr>
          <w:p w:rsidR="00F02633" w:rsidRDefault="003150F5">
            <w:pPr>
              <w:jc w:val="center"/>
            </w:pPr>
            <w:r>
              <w:rPr>
                <w:rFonts w:eastAsiaTheme="minorEastAsia"/>
                <w:color w:val="000000"/>
                <w:sz w:val="24"/>
              </w:rPr>
              <w:t>兆易创新</w:t>
            </w:r>
          </w:p>
        </w:tc>
        <w:tc>
          <w:tcPr>
            <w:tcW w:w="1880" w:type="dxa"/>
            <w:vAlign w:val="center"/>
          </w:tcPr>
          <w:p w:rsidR="00F02633" w:rsidRDefault="003150F5">
            <w:pPr>
              <w:jc w:val="right"/>
            </w:pPr>
            <w:r>
              <w:rPr>
                <w:rFonts w:eastAsiaTheme="minorEastAsia"/>
                <w:color w:val="000000"/>
                <w:sz w:val="24"/>
              </w:rPr>
              <w:t>891,576.00</w:t>
            </w:r>
          </w:p>
        </w:tc>
        <w:tc>
          <w:tcPr>
            <w:tcW w:w="1724" w:type="dxa"/>
            <w:vAlign w:val="center"/>
          </w:tcPr>
          <w:p w:rsidR="00F02633" w:rsidRDefault="003150F5">
            <w:pPr>
              <w:jc w:val="right"/>
            </w:pPr>
            <w:r>
              <w:rPr>
                <w:rFonts w:eastAsiaTheme="minorEastAsia"/>
                <w:color w:val="000000"/>
                <w:sz w:val="24"/>
              </w:rPr>
              <w:t>1.29</w:t>
            </w:r>
          </w:p>
        </w:tc>
        <w:tc>
          <w:tcPr>
            <w:tcW w:w="1424" w:type="dxa"/>
            <w:vAlign w:val="center"/>
          </w:tcPr>
          <w:p w:rsidR="00F02633" w:rsidRDefault="003150F5">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F02633" w:rsidRDefault="003150F5">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90,604,435.54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1,523,507.47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219,938.61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2,045,013.32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24,550,783.29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2,889,369.72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66,273,590.86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679,151.07</w:t>
            </w:r>
          </w:p>
        </w:tc>
      </w:tr>
    </w:tbl>
    <w:p w:rsidR="00F02633" w:rsidRDefault="003150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F02633" w:rsidRDefault="003150F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AA0DE5">
      <w:rPr>
        <w:noProof/>
        <w:kern w:val="0"/>
        <w:szCs w:val="21"/>
      </w:rPr>
      <w:t>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AA0DE5">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AA0DE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0F5"/>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0DE5"/>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2633"/>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2D24E4D-A98E-4B98-A8B8-443EF01F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C438-9DA6-429E-B466-1F75FF55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200</TotalTime>
  <Pages>14</Pages>
  <Words>1258</Words>
  <Characters>7173</Characters>
  <Application>Microsoft Office Word</Application>
  <DocSecurity>0</DocSecurity>
  <Lines>59</Lines>
  <Paragraphs>16</Paragraphs>
  <ScaleCrop>false</ScaleCrop>
  <Company>TRT. Ltd. Co.</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371</cp:revision>
  <cp:lastPrinted>2007-07-19T00:46:00Z</cp:lastPrinted>
  <dcterms:created xsi:type="dcterms:W3CDTF">2014-01-17T06:19:00Z</dcterms:created>
  <dcterms:modified xsi:type="dcterms:W3CDTF">2018-01-11T09:32:00Z</dcterms:modified>
</cp:coreProperties>
</file>