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8187A"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59FD43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F9E29C9"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31B5E700"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2A6BC2D1"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031DA146" w14:textId="77777777"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14:paraId="22C0A9A3" w14:textId="77777777"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14:paraId="54389653" w14:textId="77777777"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14:paraId="19EBE345" w14:textId="77777777" w:rsidR="004061AC" w:rsidRPr="00414345" w:rsidRDefault="004061AC" w:rsidP="00C15CAC">
      <w:pPr>
        <w:spacing w:before="29" w:line="288" w:lineRule="auto"/>
        <w:jc w:val="center"/>
        <w:rPr>
          <w:b/>
          <w:bCs/>
          <w:color w:val="000000"/>
          <w:sz w:val="24"/>
          <w:szCs w:val="24"/>
        </w:rPr>
      </w:pPr>
    </w:p>
    <w:p w14:paraId="097A7DE0" w14:textId="77777777" w:rsidR="004061AC" w:rsidRPr="00414345" w:rsidRDefault="004061AC" w:rsidP="00C15CAC">
      <w:pPr>
        <w:spacing w:before="29" w:line="288" w:lineRule="auto"/>
        <w:jc w:val="center"/>
        <w:rPr>
          <w:b/>
          <w:bCs/>
          <w:color w:val="000000"/>
          <w:sz w:val="24"/>
          <w:szCs w:val="24"/>
        </w:rPr>
      </w:pPr>
    </w:p>
    <w:p w14:paraId="3B3BA981" w14:textId="77777777" w:rsidR="004061AC" w:rsidRPr="00414345" w:rsidRDefault="004061AC" w:rsidP="00C15CAC">
      <w:pPr>
        <w:spacing w:before="29" w:line="288" w:lineRule="auto"/>
        <w:jc w:val="center"/>
        <w:rPr>
          <w:b/>
          <w:bCs/>
          <w:color w:val="000000"/>
          <w:sz w:val="24"/>
          <w:szCs w:val="24"/>
        </w:rPr>
      </w:pPr>
    </w:p>
    <w:p w14:paraId="7AE29D5D" w14:textId="77777777" w:rsidR="004061AC" w:rsidRPr="00414345" w:rsidRDefault="004061AC" w:rsidP="00C15CAC">
      <w:pPr>
        <w:spacing w:before="29" w:line="288" w:lineRule="auto"/>
        <w:jc w:val="center"/>
        <w:rPr>
          <w:b/>
          <w:bCs/>
          <w:color w:val="000000"/>
          <w:sz w:val="24"/>
          <w:szCs w:val="24"/>
        </w:rPr>
      </w:pPr>
    </w:p>
    <w:p w14:paraId="62BC0161" w14:textId="77777777" w:rsidR="004061AC" w:rsidRPr="00414345" w:rsidRDefault="004061AC" w:rsidP="00C15CAC">
      <w:pPr>
        <w:spacing w:before="29" w:line="288" w:lineRule="auto"/>
        <w:jc w:val="center"/>
        <w:rPr>
          <w:b/>
          <w:bCs/>
          <w:color w:val="000000"/>
          <w:sz w:val="24"/>
          <w:szCs w:val="24"/>
        </w:rPr>
      </w:pPr>
    </w:p>
    <w:p w14:paraId="618DC52C" w14:textId="77777777" w:rsidR="004061AC" w:rsidRPr="00414345" w:rsidRDefault="004061AC" w:rsidP="00C15CAC">
      <w:pPr>
        <w:spacing w:before="29" w:line="288" w:lineRule="auto"/>
        <w:jc w:val="center"/>
        <w:rPr>
          <w:b/>
          <w:bCs/>
          <w:color w:val="000000"/>
          <w:sz w:val="24"/>
          <w:szCs w:val="24"/>
        </w:rPr>
      </w:pPr>
    </w:p>
    <w:p w14:paraId="16D20825" w14:textId="77777777" w:rsidR="004061AC" w:rsidRPr="00414345" w:rsidRDefault="004061AC" w:rsidP="00C15CAC">
      <w:pPr>
        <w:spacing w:before="29" w:line="288" w:lineRule="auto"/>
        <w:jc w:val="center"/>
        <w:rPr>
          <w:b/>
          <w:bCs/>
          <w:color w:val="000000"/>
          <w:sz w:val="24"/>
          <w:szCs w:val="24"/>
        </w:rPr>
      </w:pPr>
    </w:p>
    <w:p w14:paraId="128F4125" w14:textId="77777777" w:rsidR="004061AC" w:rsidRPr="00414345" w:rsidRDefault="004061AC" w:rsidP="00C15CAC">
      <w:pPr>
        <w:spacing w:before="29" w:line="288" w:lineRule="auto"/>
        <w:jc w:val="center"/>
        <w:rPr>
          <w:b/>
          <w:bCs/>
          <w:color w:val="000000"/>
          <w:sz w:val="24"/>
          <w:szCs w:val="24"/>
        </w:rPr>
      </w:pPr>
    </w:p>
    <w:p w14:paraId="1CC2E9C8" w14:textId="77777777" w:rsidR="004061AC" w:rsidRPr="00414345" w:rsidRDefault="004061AC" w:rsidP="00C15CAC">
      <w:pPr>
        <w:spacing w:before="29" w:line="288" w:lineRule="auto"/>
        <w:jc w:val="center"/>
        <w:rPr>
          <w:b/>
          <w:bCs/>
          <w:color w:val="000000"/>
          <w:sz w:val="24"/>
          <w:szCs w:val="24"/>
        </w:rPr>
      </w:pPr>
    </w:p>
    <w:p w14:paraId="7C8F601D" w14:textId="77777777" w:rsidR="004061AC" w:rsidRPr="00414345" w:rsidRDefault="004061AC" w:rsidP="00C15CAC">
      <w:pPr>
        <w:spacing w:before="29" w:line="288" w:lineRule="auto"/>
        <w:jc w:val="center"/>
        <w:rPr>
          <w:b/>
          <w:bCs/>
          <w:color w:val="000000"/>
          <w:sz w:val="24"/>
          <w:szCs w:val="24"/>
        </w:rPr>
      </w:pPr>
    </w:p>
    <w:p w14:paraId="23673D29" w14:textId="77777777" w:rsidR="004061AC" w:rsidRPr="00414345" w:rsidRDefault="004061AC" w:rsidP="00C15CAC">
      <w:pPr>
        <w:spacing w:before="29" w:line="288" w:lineRule="auto"/>
        <w:jc w:val="center"/>
        <w:rPr>
          <w:b/>
          <w:bCs/>
          <w:color w:val="000000"/>
          <w:sz w:val="24"/>
          <w:szCs w:val="24"/>
        </w:rPr>
      </w:pPr>
    </w:p>
    <w:p w14:paraId="4AA214DA" w14:textId="77777777" w:rsidR="004061AC" w:rsidRPr="00414345" w:rsidRDefault="004061AC" w:rsidP="00C15CAC">
      <w:pPr>
        <w:spacing w:before="29" w:line="288" w:lineRule="auto"/>
        <w:jc w:val="center"/>
        <w:rPr>
          <w:b/>
          <w:bCs/>
          <w:color w:val="000000"/>
          <w:sz w:val="24"/>
          <w:szCs w:val="24"/>
        </w:rPr>
      </w:pPr>
    </w:p>
    <w:p w14:paraId="4706C98F"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14:paraId="6A6F4F09"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14:paraId="4B37EF2D"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14:paraId="3BDF6232" w14:textId="77777777"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03C6F1A2" w14:textId="77777777" w:rsidR="003A632F" w:rsidRDefault="00CF492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14:paraId="023082B0" w14:textId="77777777" w:rsidR="003A632F" w:rsidRDefault="00CF4925">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14:paraId="1A123B35" w14:textId="77777777" w:rsidR="003A632F" w:rsidRDefault="00CF492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14:paraId="48762C9C" w14:textId="77777777" w:rsidR="003A632F" w:rsidRDefault="00CF492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14:paraId="789A2AAB" w14:textId="77777777" w:rsidR="003A632F" w:rsidRDefault="00CF4925">
      <w:pPr>
        <w:spacing w:before="29" w:line="288" w:lineRule="auto"/>
        <w:ind w:firstLineChars="200" w:firstLine="480"/>
        <w:rPr>
          <w:color w:val="000000"/>
          <w:sz w:val="24"/>
          <w:szCs w:val="24"/>
        </w:rPr>
      </w:pPr>
      <w:r>
        <w:rPr>
          <w:color w:val="000000"/>
          <w:sz w:val="24"/>
          <w:szCs w:val="24"/>
        </w:rPr>
        <w:t>本报告中财务资料未经审计。</w:t>
      </w:r>
    </w:p>
    <w:p w14:paraId="4D63E5B2"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14:paraId="0C6FB602" w14:textId="77777777" w:rsidR="00627E2D" w:rsidRPr="00414345" w:rsidRDefault="00627E2D" w:rsidP="00C15CAC">
      <w:pPr>
        <w:spacing w:before="29" w:line="288" w:lineRule="auto"/>
        <w:ind w:firstLineChars="200" w:firstLine="480"/>
        <w:rPr>
          <w:color w:val="000000"/>
          <w:sz w:val="24"/>
          <w:szCs w:val="24"/>
        </w:rPr>
      </w:pPr>
    </w:p>
    <w:p w14:paraId="34A6241F" w14:textId="77777777"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14:paraId="7E6D32A1" w14:textId="77777777" w:rsidTr="006E6726">
        <w:trPr>
          <w:jc w:val="center"/>
        </w:trPr>
        <w:tc>
          <w:tcPr>
            <w:tcW w:w="3023" w:type="dxa"/>
            <w:vAlign w:val="center"/>
          </w:tcPr>
          <w:p w14:paraId="64C49858"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14:paraId="65155510"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14:paraId="65074744"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3E3C594D"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14:paraId="2C3AC0E8"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14:paraId="2A7BBC5D"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14:paraId="6345E460"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14:paraId="0B572D91" w14:textId="77777777"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14:paraId="7C667A29" w14:textId="77777777" w:rsidTr="006E6726">
        <w:trPr>
          <w:jc w:val="center"/>
        </w:trPr>
        <w:tc>
          <w:tcPr>
            <w:tcW w:w="3023" w:type="dxa"/>
            <w:vAlign w:val="center"/>
          </w:tcPr>
          <w:p w14:paraId="67F60776"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14:paraId="6489253D"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3352F4B0" w14:textId="77777777" w:rsidTr="006E6726">
        <w:trPr>
          <w:jc w:val="center"/>
        </w:trPr>
        <w:tc>
          <w:tcPr>
            <w:tcW w:w="3023" w:type="dxa"/>
            <w:vAlign w:val="center"/>
          </w:tcPr>
          <w:p w14:paraId="02697168"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14:paraId="223055A9"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14:paraId="1F298A11" w14:textId="77777777" w:rsidTr="006E6726">
        <w:trPr>
          <w:jc w:val="center"/>
        </w:trPr>
        <w:tc>
          <w:tcPr>
            <w:tcW w:w="3023" w:type="dxa"/>
            <w:vAlign w:val="center"/>
          </w:tcPr>
          <w:p w14:paraId="1081C893"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14:paraId="5DF87190"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334,526,161.79</w:t>
            </w:r>
            <w:r w:rsidRPr="00414345">
              <w:rPr>
                <w:color w:val="000000"/>
                <w:kern w:val="0"/>
                <w:sz w:val="24"/>
                <w:szCs w:val="24"/>
              </w:rPr>
              <w:t>份</w:t>
            </w:r>
          </w:p>
        </w:tc>
      </w:tr>
      <w:tr w:rsidR="001B2F35" w:rsidRPr="00414345" w14:paraId="3FAA73B6" w14:textId="77777777" w:rsidTr="006E6726">
        <w:trPr>
          <w:jc w:val="center"/>
        </w:trPr>
        <w:tc>
          <w:tcPr>
            <w:tcW w:w="3023" w:type="dxa"/>
            <w:vAlign w:val="center"/>
          </w:tcPr>
          <w:p w14:paraId="17A25F1B"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14:paraId="4B2759BD"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14:paraId="27541DCB" w14:textId="77777777" w:rsidTr="006E6726">
        <w:trPr>
          <w:jc w:val="center"/>
        </w:trPr>
        <w:tc>
          <w:tcPr>
            <w:tcW w:w="3023" w:type="dxa"/>
            <w:vAlign w:val="center"/>
          </w:tcPr>
          <w:p w14:paraId="0925F4F9"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14:paraId="10339E7F"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14:paraId="3D479153" w14:textId="77777777" w:rsidTr="006E6726">
        <w:trPr>
          <w:jc w:val="center"/>
        </w:trPr>
        <w:tc>
          <w:tcPr>
            <w:tcW w:w="3023" w:type="dxa"/>
            <w:vAlign w:val="center"/>
          </w:tcPr>
          <w:p w14:paraId="6107BC4D"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14:paraId="00CFC1B9"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14:paraId="6D8064E9" w14:textId="77777777" w:rsidTr="006E6726">
        <w:trPr>
          <w:jc w:val="center"/>
        </w:trPr>
        <w:tc>
          <w:tcPr>
            <w:tcW w:w="3023" w:type="dxa"/>
            <w:vAlign w:val="center"/>
          </w:tcPr>
          <w:p w14:paraId="7D9F030D"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14:paraId="5845169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14:paraId="4403B15D" w14:textId="77777777" w:rsidTr="006E6726">
        <w:trPr>
          <w:jc w:val="center"/>
        </w:trPr>
        <w:tc>
          <w:tcPr>
            <w:tcW w:w="3023" w:type="dxa"/>
            <w:vAlign w:val="center"/>
          </w:tcPr>
          <w:p w14:paraId="71AC387A"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14:paraId="76FF87A5"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14:paraId="5D57B1AF" w14:textId="77777777" w:rsidTr="006E6726">
        <w:trPr>
          <w:jc w:val="center"/>
        </w:trPr>
        <w:tc>
          <w:tcPr>
            <w:tcW w:w="3023" w:type="dxa"/>
            <w:vAlign w:val="center"/>
          </w:tcPr>
          <w:p w14:paraId="5CB81054"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14:paraId="1C5754AA"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14:paraId="08485BB2"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5AF27C53" w14:textId="77777777"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239872FE"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2A8030E6"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858EA" w:rsidRPr="00414345" w14:paraId="13C53DF3" w14:textId="77777777" w:rsidTr="008858EA">
        <w:trPr>
          <w:jc w:val="center"/>
        </w:trPr>
        <w:tc>
          <w:tcPr>
            <w:tcW w:w="3402" w:type="dxa"/>
            <w:vAlign w:val="center"/>
          </w:tcPr>
          <w:p w14:paraId="12E0AAFE"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500C9808"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0E3148DF"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858EA" w:rsidRPr="00414345" w14:paraId="55248CED" w14:textId="77777777" w:rsidTr="008858EA">
        <w:trPr>
          <w:jc w:val="center"/>
        </w:trPr>
        <w:tc>
          <w:tcPr>
            <w:tcW w:w="3402" w:type="dxa"/>
            <w:vAlign w:val="center"/>
          </w:tcPr>
          <w:p w14:paraId="10E649D4"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6DAB067B"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61,010,670.07</w:t>
            </w:r>
          </w:p>
        </w:tc>
      </w:tr>
      <w:tr w:rsidR="008858EA" w:rsidRPr="00414345" w14:paraId="2B9CBCC7" w14:textId="77777777" w:rsidTr="008858EA">
        <w:trPr>
          <w:jc w:val="center"/>
        </w:trPr>
        <w:tc>
          <w:tcPr>
            <w:tcW w:w="3402" w:type="dxa"/>
            <w:vAlign w:val="center"/>
          </w:tcPr>
          <w:p w14:paraId="763F3DD4"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7333F722"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46,643,218.97</w:t>
            </w:r>
          </w:p>
        </w:tc>
      </w:tr>
      <w:tr w:rsidR="008858EA" w:rsidRPr="00414345" w14:paraId="3F3579A0" w14:textId="77777777" w:rsidTr="008858EA">
        <w:trPr>
          <w:jc w:val="center"/>
        </w:trPr>
        <w:tc>
          <w:tcPr>
            <w:tcW w:w="3402" w:type="dxa"/>
            <w:vAlign w:val="center"/>
          </w:tcPr>
          <w:p w14:paraId="3702E7A6"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057D9E7B"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0.1051</w:t>
            </w:r>
          </w:p>
        </w:tc>
      </w:tr>
      <w:tr w:rsidR="008858EA" w:rsidRPr="00414345" w14:paraId="0A8F2512" w14:textId="77777777" w:rsidTr="008858EA">
        <w:trPr>
          <w:jc w:val="center"/>
        </w:trPr>
        <w:tc>
          <w:tcPr>
            <w:tcW w:w="3402" w:type="dxa"/>
            <w:vAlign w:val="center"/>
          </w:tcPr>
          <w:p w14:paraId="0187B7A9"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4E9D7B47"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373,502,373.10</w:t>
            </w:r>
          </w:p>
        </w:tc>
      </w:tr>
      <w:tr w:rsidR="008858EA" w:rsidRPr="00414345" w14:paraId="62574F8E" w14:textId="77777777" w:rsidTr="008858EA">
        <w:trPr>
          <w:trHeight w:val="158"/>
          <w:jc w:val="center"/>
        </w:trPr>
        <w:tc>
          <w:tcPr>
            <w:tcW w:w="3402" w:type="dxa"/>
            <w:vAlign w:val="center"/>
          </w:tcPr>
          <w:p w14:paraId="308DCD0D"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4B003753"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1.1165</w:t>
            </w:r>
          </w:p>
        </w:tc>
      </w:tr>
    </w:tbl>
    <w:p w14:paraId="4A93E3B6" w14:textId="77777777" w:rsidR="003A632F" w:rsidRDefault="00CF492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14:paraId="269390E4" w14:textId="77777777" w:rsidR="004061AC" w:rsidRPr="00414345" w:rsidRDefault="004061AC" w:rsidP="008858EA">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14:paraId="062A3128" w14:textId="77777777" w:rsidR="004061AC" w:rsidRPr="008858EA" w:rsidRDefault="004061AC" w:rsidP="00C15CAC">
      <w:pPr>
        <w:autoSpaceDE w:val="0"/>
        <w:autoSpaceDN w:val="0"/>
        <w:adjustRightInd w:val="0"/>
        <w:spacing w:before="29" w:line="288" w:lineRule="auto"/>
        <w:jc w:val="left"/>
        <w:rPr>
          <w:color w:val="000000"/>
          <w:kern w:val="0"/>
          <w:sz w:val="24"/>
          <w:szCs w:val="24"/>
        </w:rPr>
      </w:pPr>
    </w:p>
    <w:p w14:paraId="1BAC7319"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41C835F6"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7FD3890F" w14:textId="77777777" w:rsidTr="00446525">
        <w:trPr>
          <w:jc w:val="center"/>
        </w:trPr>
        <w:tc>
          <w:tcPr>
            <w:tcW w:w="1701" w:type="dxa"/>
            <w:vAlign w:val="center"/>
          </w:tcPr>
          <w:p w14:paraId="38CAFAD4"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14:paraId="5E057666"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14:paraId="129C09AA"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14:paraId="072B73BC"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14:paraId="2903B6E2"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94" w:type="dxa"/>
            <w:vAlign w:val="center"/>
          </w:tcPr>
          <w:p w14:paraId="0E8BCFCD"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98" w:type="dxa"/>
            <w:vAlign w:val="center"/>
          </w:tcPr>
          <w:p w14:paraId="24AF9AD4"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46525" w14:paraId="183435F8" w14:textId="77777777">
        <w:trPr>
          <w:jc w:val="center"/>
        </w:trPr>
        <w:tc>
          <w:tcPr>
            <w:tcW w:w="1701" w:type="dxa"/>
            <w:vAlign w:val="center"/>
          </w:tcPr>
          <w:p w14:paraId="713E00AD" w14:textId="77777777" w:rsidR="00446525" w:rsidRDefault="00446525" w:rsidP="00446525">
            <w:pPr>
              <w:jc w:val="left"/>
            </w:pPr>
            <w:r>
              <w:rPr>
                <w:color w:val="000000"/>
                <w:sz w:val="24"/>
                <w:szCs w:val="24"/>
              </w:rPr>
              <w:t>过去三个月</w:t>
            </w:r>
          </w:p>
        </w:tc>
        <w:tc>
          <w:tcPr>
            <w:tcW w:w="1045" w:type="dxa"/>
            <w:vAlign w:val="center"/>
          </w:tcPr>
          <w:p w14:paraId="72ACF357" w14:textId="3ACFB76D" w:rsidR="00446525" w:rsidRPr="00446525" w:rsidRDefault="00446525" w:rsidP="00446525">
            <w:pPr>
              <w:jc w:val="center"/>
            </w:pPr>
            <w:r w:rsidRPr="00151E93">
              <w:rPr>
                <w:color w:val="000000"/>
                <w:sz w:val="24"/>
                <w:szCs w:val="24"/>
              </w:rPr>
              <w:t>6.44%</w:t>
            </w:r>
          </w:p>
        </w:tc>
        <w:tc>
          <w:tcPr>
            <w:tcW w:w="1344" w:type="dxa"/>
            <w:vAlign w:val="center"/>
          </w:tcPr>
          <w:p w14:paraId="7000529A" w14:textId="4DBCABDC" w:rsidR="00446525" w:rsidRPr="00446525" w:rsidRDefault="00446525" w:rsidP="00446525">
            <w:pPr>
              <w:jc w:val="center"/>
            </w:pPr>
            <w:r w:rsidRPr="00151E93">
              <w:rPr>
                <w:color w:val="000000"/>
                <w:sz w:val="24"/>
                <w:szCs w:val="24"/>
              </w:rPr>
              <w:t>0.94%</w:t>
            </w:r>
          </w:p>
        </w:tc>
        <w:tc>
          <w:tcPr>
            <w:tcW w:w="1194" w:type="dxa"/>
            <w:vAlign w:val="center"/>
          </w:tcPr>
          <w:p w14:paraId="576DE3D7" w14:textId="5A19F9E7" w:rsidR="00446525" w:rsidRPr="00446525" w:rsidRDefault="00446525" w:rsidP="00446525">
            <w:pPr>
              <w:jc w:val="center"/>
            </w:pPr>
            <w:r w:rsidRPr="00151E93">
              <w:rPr>
                <w:color w:val="000000"/>
                <w:sz w:val="24"/>
                <w:szCs w:val="24"/>
              </w:rPr>
              <w:t>6.17%</w:t>
            </w:r>
          </w:p>
        </w:tc>
        <w:tc>
          <w:tcPr>
            <w:tcW w:w="1492" w:type="dxa"/>
            <w:vAlign w:val="center"/>
          </w:tcPr>
          <w:p w14:paraId="2DCA9FB9" w14:textId="3194EABC" w:rsidR="00446525" w:rsidRPr="00446525" w:rsidRDefault="00446525" w:rsidP="00446525">
            <w:pPr>
              <w:jc w:val="center"/>
            </w:pPr>
            <w:r w:rsidRPr="00151E93">
              <w:rPr>
                <w:color w:val="000000"/>
                <w:sz w:val="24"/>
                <w:szCs w:val="24"/>
              </w:rPr>
              <w:t>0.88%</w:t>
            </w:r>
          </w:p>
        </w:tc>
        <w:tc>
          <w:tcPr>
            <w:tcW w:w="1194" w:type="dxa"/>
            <w:vAlign w:val="center"/>
          </w:tcPr>
          <w:p w14:paraId="515E5645" w14:textId="38FE03A4" w:rsidR="00446525" w:rsidRPr="00446525" w:rsidRDefault="00446525" w:rsidP="0096747E">
            <w:pPr>
              <w:jc w:val="center"/>
            </w:pPr>
            <w:r w:rsidRPr="00151E93">
              <w:rPr>
                <w:color w:val="000000"/>
                <w:sz w:val="24"/>
                <w:szCs w:val="24"/>
              </w:rPr>
              <w:t>0.2</w:t>
            </w:r>
            <w:r w:rsidR="0096747E">
              <w:rPr>
                <w:color w:val="000000"/>
                <w:sz w:val="24"/>
                <w:szCs w:val="24"/>
              </w:rPr>
              <w:t>7</w:t>
            </w:r>
            <w:r w:rsidRPr="00151E93">
              <w:rPr>
                <w:color w:val="000000"/>
                <w:sz w:val="24"/>
                <w:szCs w:val="24"/>
              </w:rPr>
              <w:t>%</w:t>
            </w:r>
          </w:p>
        </w:tc>
        <w:tc>
          <w:tcPr>
            <w:tcW w:w="898" w:type="dxa"/>
            <w:vAlign w:val="center"/>
          </w:tcPr>
          <w:p w14:paraId="2B207BA5" w14:textId="03DE8026" w:rsidR="00446525" w:rsidRPr="00446525" w:rsidRDefault="00446525" w:rsidP="00446525">
            <w:pPr>
              <w:jc w:val="center"/>
            </w:pPr>
            <w:r w:rsidRPr="00151E93">
              <w:rPr>
                <w:color w:val="000000"/>
                <w:sz w:val="24"/>
                <w:szCs w:val="24"/>
              </w:rPr>
              <w:t>0.06%</w:t>
            </w:r>
          </w:p>
        </w:tc>
      </w:tr>
    </w:tbl>
    <w:p w14:paraId="26073A72" w14:textId="470DAA3D" w:rsidR="004061AC" w:rsidRPr="00414345" w:rsidRDefault="00446525" w:rsidP="00C15CAC">
      <w:pPr>
        <w:autoSpaceDE w:val="0"/>
        <w:autoSpaceDN w:val="0"/>
        <w:adjustRightInd w:val="0"/>
        <w:spacing w:before="29" w:line="288" w:lineRule="auto"/>
        <w:jc w:val="left"/>
        <w:rPr>
          <w:color w:val="000000"/>
          <w:kern w:val="0"/>
          <w:sz w:val="24"/>
          <w:szCs w:val="24"/>
        </w:rPr>
      </w:pPr>
      <w:r>
        <w:rPr>
          <w:rFonts w:hint="eastAsia"/>
          <w:color w:val="000000"/>
          <w:kern w:val="0"/>
          <w:sz w:val="24"/>
          <w:szCs w:val="24"/>
        </w:rPr>
        <w:t>.</w:t>
      </w:r>
    </w:p>
    <w:p w14:paraId="7E59E899"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5A3D36D5"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14:paraId="796D6FF4" w14:textId="77777777"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766CD707" w14:textId="77777777"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48821D41" w14:textId="77777777"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1BF4B6CE" wp14:editId="1615C1D9">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14:paraId="42A92E3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23</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46BCC7D5" w14:textId="77777777" w:rsidR="00693843" w:rsidRPr="00414345" w:rsidRDefault="00693843" w:rsidP="00C15CAC">
      <w:pPr>
        <w:tabs>
          <w:tab w:val="left" w:pos="1800"/>
        </w:tabs>
        <w:spacing w:before="29" w:line="288" w:lineRule="auto"/>
        <w:rPr>
          <w:color w:val="000000"/>
          <w:sz w:val="24"/>
          <w:szCs w:val="24"/>
        </w:rPr>
      </w:pPr>
    </w:p>
    <w:p w14:paraId="534B2340" w14:textId="77777777"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0494252C"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66A75C77" w14:textId="77777777" w:rsidTr="006A10AB">
        <w:trPr>
          <w:trHeight w:val="292"/>
          <w:jc w:val="center"/>
        </w:trPr>
        <w:tc>
          <w:tcPr>
            <w:tcW w:w="851" w:type="dxa"/>
            <w:vMerge w:val="restart"/>
            <w:vAlign w:val="center"/>
          </w:tcPr>
          <w:p w14:paraId="4262B112"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5F2FE032"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4AB8C424"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14:paraId="2D497B16"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7703C4F2"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154F898E" w14:textId="77777777" w:rsidTr="006A10AB">
        <w:trPr>
          <w:jc w:val="center"/>
        </w:trPr>
        <w:tc>
          <w:tcPr>
            <w:tcW w:w="851" w:type="dxa"/>
            <w:vMerge/>
            <w:vAlign w:val="center"/>
          </w:tcPr>
          <w:p w14:paraId="3D933871"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53E92084"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31913D26"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2BE3A270"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56DB6F0A"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3B3FAFFE" w14:textId="77777777" w:rsidR="004061AC" w:rsidRPr="00414345" w:rsidRDefault="004061AC" w:rsidP="00C15CAC">
            <w:pPr>
              <w:widowControl/>
              <w:spacing w:before="29" w:line="288" w:lineRule="auto"/>
              <w:jc w:val="left"/>
              <w:rPr>
                <w:color w:val="000000"/>
                <w:kern w:val="0"/>
                <w:sz w:val="24"/>
                <w:szCs w:val="24"/>
              </w:rPr>
            </w:pPr>
          </w:p>
        </w:tc>
      </w:tr>
      <w:tr w:rsidR="003A632F" w14:paraId="6F01EEE8" w14:textId="77777777">
        <w:trPr>
          <w:jc w:val="center"/>
        </w:trPr>
        <w:tc>
          <w:tcPr>
            <w:tcW w:w="846" w:type="dxa"/>
            <w:vAlign w:val="center"/>
          </w:tcPr>
          <w:p w14:paraId="275CBDBE" w14:textId="77777777" w:rsidR="003A632F" w:rsidRDefault="00CF4925">
            <w:pPr>
              <w:jc w:val="center"/>
            </w:pPr>
            <w:r>
              <w:rPr>
                <w:color w:val="000000"/>
                <w:sz w:val="24"/>
                <w:szCs w:val="24"/>
              </w:rPr>
              <w:t>盖婷婷</w:t>
            </w:r>
          </w:p>
        </w:tc>
        <w:tc>
          <w:tcPr>
            <w:tcW w:w="845" w:type="dxa"/>
            <w:vAlign w:val="center"/>
          </w:tcPr>
          <w:p w14:paraId="2BE7DB7F" w14:textId="77777777" w:rsidR="003A632F" w:rsidRDefault="00CF4925">
            <w:pPr>
              <w:jc w:val="center"/>
            </w:pPr>
            <w:r>
              <w:rPr>
                <w:color w:val="000000"/>
                <w:sz w:val="24"/>
                <w:szCs w:val="24"/>
              </w:rPr>
              <w:t>交银消费新驱动股票、交银医药创新股票、交银恒益灵活配置混合的</w:t>
            </w:r>
            <w:r>
              <w:rPr>
                <w:color w:val="000000"/>
                <w:sz w:val="24"/>
                <w:szCs w:val="24"/>
              </w:rPr>
              <w:lastRenderedPageBreak/>
              <w:t>基金经理</w:t>
            </w:r>
          </w:p>
        </w:tc>
        <w:tc>
          <w:tcPr>
            <w:tcW w:w="1549" w:type="dxa"/>
            <w:vAlign w:val="center"/>
          </w:tcPr>
          <w:p w14:paraId="78DC56D3" w14:textId="77777777" w:rsidR="003A632F" w:rsidRDefault="00CF4925">
            <w:pPr>
              <w:jc w:val="center"/>
            </w:pPr>
            <w:r>
              <w:rPr>
                <w:color w:val="000000"/>
                <w:sz w:val="24"/>
                <w:szCs w:val="24"/>
              </w:rPr>
              <w:lastRenderedPageBreak/>
              <w:t>2017-03-23</w:t>
            </w:r>
          </w:p>
        </w:tc>
        <w:tc>
          <w:tcPr>
            <w:tcW w:w="1548" w:type="dxa"/>
            <w:vAlign w:val="center"/>
          </w:tcPr>
          <w:p w14:paraId="37FBC5A1" w14:textId="77777777" w:rsidR="003A632F" w:rsidRDefault="00CF4925">
            <w:pPr>
              <w:jc w:val="center"/>
            </w:pPr>
            <w:r>
              <w:rPr>
                <w:color w:val="000000"/>
                <w:sz w:val="24"/>
                <w:szCs w:val="24"/>
              </w:rPr>
              <w:t>-</w:t>
            </w:r>
          </w:p>
        </w:tc>
        <w:tc>
          <w:tcPr>
            <w:tcW w:w="1407" w:type="dxa"/>
            <w:vAlign w:val="center"/>
          </w:tcPr>
          <w:p w14:paraId="50D97765" w14:textId="77777777" w:rsidR="003A632F" w:rsidRDefault="00CF4925">
            <w:pPr>
              <w:jc w:val="center"/>
            </w:pPr>
            <w:r>
              <w:rPr>
                <w:color w:val="000000"/>
                <w:sz w:val="24"/>
                <w:szCs w:val="24"/>
              </w:rPr>
              <w:t>11</w:t>
            </w:r>
            <w:r>
              <w:rPr>
                <w:color w:val="000000"/>
                <w:sz w:val="24"/>
                <w:szCs w:val="24"/>
              </w:rPr>
              <w:t>年</w:t>
            </w:r>
          </w:p>
        </w:tc>
        <w:tc>
          <w:tcPr>
            <w:tcW w:w="2673" w:type="dxa"/>
            <w:vAlign w:val="center"/>
          </w:tcPr>
          <w:p w14:paraId="41C64997" w14:textId="77777777" w:rsidR="003A632F" w:rsidRDefault="00CF4925">
            <w:r>
              <w:rPr>
                <w:color w:val="000000"/>
                <w:sz w:val="24"/>
                <w:szCs w:val="24"/>
              </w:rPr>
              <w:t>盖婷婷女士，上海交通大学硕士。历任信诚基金管理有限公司分析师、研究总监助理。</w:t>
            </w:r>
            <w:r>
              <w:rPr>
                <w:color w:val="000000"/>
                <w:sz w:val="24"/>
                <w:szCs w:val="24"/>
              </w:rPr>
              <w:t>2011</w:t>
            </w:r>
            <w:r>
              <w:rPr>
                <w:color w:val="000000"/>
                <w:sz w:val="24"/>
                <w:szCs w:val="24"/>
              </w:rPr>
              <w:t>年加入交银施罗德基金管理有限公司，历任行业分析师。</w:t>
            </w:r>
          </w:p>
        </w:tc>
      </w:tr>
    </w:tbl>
    <w:p w14:paraId="38373E4E"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14:paraId="3A5E1246"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5EFDC66"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1DE70E26"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44167A28"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2D592CC5"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51174C0B"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05CD30F8" w14:textId="77777777" w:rsidR="003A632F" w:rsidRDefault="00CF492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14:paraId="2BDC4DF2" w14:textId="77777777" w:rsidR="003A632F" w:rsidRDefault="00CF492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14:paraId="3DA70B11" w14:textId="77777777" w:rsidR="003A632F" w:rsidRDefault="00CF492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C604FF6"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14:paraId="25E86078"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5EC995BD"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14:paraId="76824BB3" w14:textId="77777777" w:rsidR="004061AC" w:rsidRPr="00414345" w:rsidRDefault="004061AC" w:rsidP="00C15CAC">
      <w:pPr>
        <w:spacing w:before="29" w:line="288" w:lineRule="auto"/>
        <w:ind w:firstLineChars="200" w:firstLine="480"/>
        <w:rPr>
          <w:color w:val="000000"/>
          <w:sz w:val="24"/>
          <w:szCs w:val="24"/>
        </w:rPr>
      </w:pPr>
    </w:p>
    <w:p w14:paraId="7F9EFC46"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1140F927" w14:textId="77777777" w:rsidR="003A632F" w:rsidRDefault="00CF4925">
      <w:pPr>
        <w:spacing w:before="29" w:line="288" w:lineRule="auto"/>
        <w:ind w:firstLineChars="200" w:firstLine="480"/>
        <w:rPr>
          <w:color w:val="000000"/>
          <w:sz w:val="24"/>
          <w:szCs w:val="24"/>
        </w:rPr>
      </w:pPr>
      <w:r>
        <w:rPr>
          <w:color w:val="000000"/>
          <w:sz w:val="24"/>
          <w:szCs w:val="24"/>
        </w:rPr>
        <w:t>医药行业十一月中旬随着大盘的调整而调整，虽然在十二月有所反弹，但力度不大。本基金四季度小幅减仓，配置仍然集中在创新药、医药商业、药店、仿制药一致性评价</w:t>
      </w:r>
      <w:r>
        <w:rPr>
          <w:color w:val="000000"/>
          <w:sz w:val="24"/>
          <w:szCs w:val="24"/>
        </w:rPr>
        <w:lastRenderedPageBreak/>
        <w:t>等主题上。</w:t>
      </w:r>
    </w:p>
    <w:p w14:paraId="04A2FA0E"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我们看好医药行业</w:t>
      </w:r>
      <w:r w:rsidRPr="00414345">
        <w:rPr>
          <w:color w:val="000000"/>
          <w:sz w:val="24"/>
          <w:szCs w:val="24"/>
        </w:rPr>
        <w:t>2018</w:t>
      </w:r>
      <w:r w:rsidRPr="00414345">
        <w:rPr>
          <w:color w:val="000000"/>
          <w:sz w:val="24"/>
          <w:szCs w:val="24"/>
        </w:rPr>
        <w:t>年的投资机会，各项医改政策逐步落地，预计对行业集中度、企业业绩将会产生实质性影响。我们看好的细分领域仍然是创新药、医药商业、药店和仿制药一致性评价等细分主题。</w:t>
      </w:r>
    </w:p>
    <w:p w14:paraId="7B5F96FE" w14:textId="77777777" w:rsidR="00627E2D" w:rsidRPr="00414345" w:rsidRDefault="00627E2D" w:rsidP="00C15CAC">
      <w:pPr>
        <w:spacing w:before="29" w:line="288" w:lineRule="auto"/>
        <w:ind w:firstLineChars="200" w:firstLine="480"/>
        <w:rPr>
          <w:color w:val="000000"/>
          <w:sz w:val="24"/>
          <w:szCs w:val="24"/>
        </w:rPr>
      </w:pPr>
    </w:p>
    <w:p w14:paraId="1D30790C"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67A0950D" w14:textId="09E6F5EB"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1.1165</w:t>
      </w:r>
      <w:r w:rsidRPr="00414345">
        <w:rPr>
          <w:color w:val="000000"/>
          <w:sz w:val="24"/>
          <w:szCs w:val="24"/>
        </w:rPr>
        <w:t>元，本报告期份额净值增长率为</w:t>
      </w:r>
      <w:r w:rsidRPr="00414345">
        <w:rPr>
          <w:color w:val="000000"/>
          <w:sz w:val="24"/>
          <w:szCs w:val="24"/>
        </w:rPr>
        <w:t>6.</w:t>
      </w:r>
      <w:r w:rsidR="00446525" w:rsidRPr="00414345">
        <w:rPr>
          <w:color w:val="000000"/>
          <w:sz w:val="24"/>
          <w:szCs w:val="24"/>
        </w:rPr>
        <w:t>4</w:t>
      </w:r>
      <w:r w:rsidR="00446525">
        <w:rPr>
          <w:color w:val="000000"/>
          <w:sz w:val="24"/>
          <w:szCs w:val="24"/>
        </w:rPr>
        <w:t>4</w:t>
      </w:r>
      <w:r w:rsidRPr="00414345">
        <w:rPr>
          <w:color w:val="000000"/>
          <w:sz w:val="24"/>
          <w:szCs w:val="24"/>
        </w:rPr>
        <w:t>%</w:t>
      </w:r>
      <w:r w:rsidRPr="00414345">
        <w:rPr>
          <w:color w:val="000000"/>
          <w:sz w:val="24"/>
          <w:szCs w:val="24"/>
        </w:rPr>
        <w:t>，同期业绩比较基准增长率为</w:t>
      </w:r>
      <w:r w:rsidRPr="00414345">
        <w:rPr>
          <w:color w:val="000000"/>
          <w:sz w:val="24"/>
          <w:szCs w:val="24"/>
        </w:rPr>
        <w:t>6.17%</w:t>
      </w:r>
      <w:r w:rsidRPr="00414345">
        <w:rPr>
          <w:color w:val="000000"/>
          <w:sz w:val="24"/>
          <w:szCs w:val="24"/>
        </w:rPr>
        <w:t>。</w:t>
      </w:r>
    </w:p>
    <w:p w14:paraId="16830FCF" w14:textId="77777777" w:rsidR="009C5186" w:rsidRPr="00414345" w:rsidRDefault="009C5186" w:rsidP="00C15CAC">
      <w:pPr>
        <w:spacing w:before="29" w:line="288" w:lineRule="auto"/>
        <w:ind w:firstLineChars="200" w:firstLine="480"/>
        <w:rPr>
          <w:color w:val="000000"/>
          <w:sz w:val="24"/>
          <w:szCs w:val="24"/>
        </w:rPr>
      </w:pPr>
    </w:p>
    <w:p w14:paraId="3D0223E2" w14:textId="77777777"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16276AF9" w14:textId="77777777"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14:paraId="013F8C15" w14:textId="77777777"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14:paraId="7DEDA8E3"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14:paraId="5CDE68C1" w14:textId="77777777" w:rsidTr="007D100C">
        <w:trPr>
          <w:jc w:val="center"/>
        </w:trPr>
        <w:tc>
          <w:tcPr>
            <w:tcW w:w="718" w:type="dxa"/>
            <w:vAlign w:val="center"/>
          </w:tcPr>
          <w:p w14:paraId="21751390"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14:paraId="237C4D83"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14:paraId="72B65807"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14:paraId="585C02A5"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14:paraId="0E06ED8F" w14:textId="77777777" w:rsidTr="007D100C">
        <w:trPr>
          <w:jc w:val="center"/>
        </w:trPr>
        <w:tc>
          <w:tcPr>
            <w:tcW w:w="718" w:type="dxa"/>
            <w:vAlign w:val="center"/>
          </w:tcPr>
          <w:p w14:paraId="5B6594C5"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14:paraId="63092F8B" w14:textId="77777777"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14:paraId="7271C980" w14:textId="77777777" w:rsidR="00853140" w:rsidRPr="00414345" w:rsidRDefault="00C77AEF" w:rsidP="00C15CAC">
            <w:pPr>
              <w:spacing w:before="29" w:line="288" w:lineRule="auto"/>
              <w:ind w:left="17"/>
              <w:jc w:val="right"/>
              <w:rPr>
                <w:color w:val="000000"/>
                <w:sz w:val="24"/>
                <w:szCs w:val="24"/>
              </w:rPr>
            </w:pPr>
            <w:r w:rsidRPr="00414345">
              <w:rPr>
                <w:color w:val="000000"/>
                <w:sz w:val="24"/>
                <w:szCs w:val="24"/>
              </w:rPr>
              <w:t>322,665,842.20</w:t>
            </w:r>
          </w:p>
        </w:tc>
        <w:tc>
          <w:tcPr>
            <w:tcW w:w="1837" w:type="dxa"/>
            <w:vAlign w:val="center"/>
          </w:tcPr>
          <w:p w14:paraId="124C23D2"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85.15</w:t>
            </w:r>
          </w:p>
        </w:tc>
      </w:tr>
      <w:tr w:rsidR="00C91E1B" w:rsidRPr="00414345" w14:paraId="07017710" w14:textId="77777777" w:rsidTr="007D100C">
        <w:trPr>
          <w:jc w:val="center"/>
        </w:trPr>
        <w:tc>
          <w:tcPr>
            <w:tcW w:w="718" w:type="dxa"/>
            <w:vAlign w:val="center"/>
          </w:tcPr>
          <w:p w14:paraId="3AD43841"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7A7EDD04"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14:paraId="6FF1E6A0"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322,665,842.20</w:t>
            </w:r>
          </w:p>
        </w:tc>
        <w:tc>
          <w:tcPr>
            <w:tcW w:w="1837" w:type="dxa"/>
            <w:vAlign w:val="center"/>
          </w:tcPr>
          <w:p w14:paraId="2E2971DA"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85.15</w:t>
            </w:r>
          </w:p>
        </w:tc>
      </w:tr>
      <w:tr w:rsidR="00C91E1B" w:rsidRPr="00414345" w14:paraId="3C5EAD05" w14:textId="77777777" w:rsidTr="007D100C">
        <w:trPr>
          <w:jc w:val="center"/>
        </w:trPr>
        <w:tc>
          <w:tcPr>
            <w:tcW w:w="718" w:type="dxa"/>
            <w:vAlign w:val="center"/>
          </w:tcPr>
          <w:p w14:paraId="5E41637F"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14:paraId="0D92F24E" w14:textId="77777777"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14:paraId="596654C7"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5CF4A35"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14:paraId="3E099151" w14:textId="77777777" w:rsidTr="007D100C">
        <w:trPr>
          <w:jc w:val="center"/>
        </w:trPr>
        <w:tc>
          <w:tcPr>
            <w:tcW w:w="718" w:type="dxa"/>
            <w:vAlign w:val="center"/>
          </w:tcPr>
          <w:p w14:paraId="17206386"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5096C2D4" w14:textId="77777777"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14:paraId="42BD0CDE"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69A36FEC"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14:paraId="44D2B8AD" w14:textId="77777777" w:rsidTr="007D100C">
        <w:trPr>
          <w:jc w:val="center"/>
        </w:trPr>
        <w:tc>
          <w:tcPr>
            <w:tcW w:w="718" w:type="dxa"/>
            <w:vAlign w:val="center"/>
          </w:tcPr>
          <w:p w14:paraId="1018AF70" w14:textId="77777777" w:rsidR="00853140" w:rsidRPr="00414345" w:rsidRDefault="00853140" w:rsidP="00C15CAC">
            <w:pPr>
              <w:spacing w:before="29" w:line="288" w:lineRule="auto"/>
              <w:ind w:left="17"/>
              <w:jc w:val="center"/>
              <w:rPr>
                <w:color w:val="000000"/>
                <w:sz w:val="24"/>
                <w:szCs w:val="24"/>
              </w:rPr>
            </w:pPr>
          </w:p>
        </w:tc>
        <w:tc>
          <w:tcPr>
            <w:tcW w:w="3346" w:type="dxa"/>
            <w:vAlign w:val="center"/>
          </w:tcPr>
          <w:p w14:paraId="1E0F1B74" w14:textId="77777777"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14:paraId="449CFAB8"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554B4CEB" w14:textId="77777777"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016BF4B0" w14:textId="77777777" w:rsidTr="007D100C">
        <w:trPr>
          <w:jc w:val="center"/>
        </w:trPr>
        <w:tc>
          <w:tcPr>
            <w:tcW w:w="718" w:type="dxa"/>
            <w:vAlign w:val="center"/>
          </w:tcPr>
          <w:p w14:paraId="63038E80"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14:paraId="1A7EB38C" w14:textId="77777777"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14:paraId="09BABCAF" w14:textId="77777777"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14:paraId="5BE5293D" w14:textId="77777777"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14:paraId="106F482F" w14:textId="77777777" w:rsidTr="007D100C">
        <w:trPr>
          <w:jc w:val="center"/>
        </w:trPr>
        <w:tc>
          <w:tcPr>
            <w:tcW w:w="718" w:type="dxa"/>
            <w:vAlign w:val="center"/>
          </w:tcPr>
          <w:p w14:paraId="2596AA27"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14:paraId="200A6613" w14:textId="77777777"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14:paraId="49FAA5F4"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2FBD68EE"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2BCBC470" w14:textId="77777777" w:rsidTr="007D100C">
        <w:trPr>
          <w:jc w:val="center"/>
        </w:trPr>
        <w:tc>
          <w:tcPr>
            <w:tcW w:w="718" w:type="dxa"/>
            <w:vAlign w:val="center"/>
          </w:tcPr>
          <w:p w14:paraId="1830DEC3"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14:paraId="25DE8E59" w14:textId="77777777"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14:paraId="6607A5F3"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4E764F44"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2C668E15" w14:textId="77777777" w:rsidTr="007D100C">
        <w:trPr>
          <w:jc w:val="center"/>
        </w:trPr>
        <w:tc>
          <w:tcPr>
            <w:tcW w:w="718" w:type="dxa"/>
            <w:vAlign w:val="center"/>
          </w:tcPr>
          <w:p w14:paraId="433BC345" w14:textId="77777777" w:rsidR="007D100C" w:rsidRPr="00414345" w:rsidRDefault="007D100C" w:rsidP="00C15CAC">
            <w:pPr>
              <w:spacing w:before="29" w:line="288" w:lineRule="auto"/>
              <w:ind w:left="17"/>
              <w:jc w:val="center"/>
              <w:rPr>
                <w:color w:val="000000"/>
                <w:sz w:val="24"/>
                <w:szCs w:val="24"/>
              </w:rPr>
            </w:pPr>
          </w:p>
        </w:tc>
        <w:tc>
          <w:tcPr>
            <w:tcW w:w="3346" w:type="dxa"/>
            <w:vAlign w:val="center"/>
          </w:tcPr>
          <w:p w14:paraId="66BF0BF3" w14:textId="77777777"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14:paraId="4A3A59F8"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14:paraId="3B9A6020"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14:paraId="361AF66A" w14:textId="77777777" w:rsidTr="007D100C">
        <w:trPr>
          <w:jc w:val="center"/>
        </w:trPr>
        <w:tc>
          <w:tcPr>
            <w:tcW w:w="718" w:type="dxa"/>
            <w:vAlign w:val="center"/>
          </w:tcPr>
          <w:p w14:paraId="75658907" w14:textId="77777777"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14:paraId="5346C3BC" w14:textId="77777777"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14:paraId="5CCFD63E"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55,683,514.03</w:t>
            </w:r>
          </w:p>
        </w:tc>
        <w:tc>
          <w:tcPr>
            <w:tcW w:w="1837" w:type="dxa"/>
            <w:vAlign w:val="center"/>
          </w:tcPr>
          <w:p w14:paraId="2C5AE549" w14:textId="77777777" w:rsidR="007D100C" w:rsidRPr="00414345" w:rsidRDefault="007D100C" w:rsidP="00C15CAC">
            <w:pPr>
              <w:spacing w:before="29" w:line="288" w:lineRule="auto"/>
              <w:ind w:left="17"/>
              <w:jc w:val="right"/>
              <w:rPr>
                <w:color w:val="000000"/>
                <w:sz w:val="24"/>
                <w:szCs w:val="24"/>
              </w:rPr>
            </w:pPr>
            <w:r w:rsidRPr="00414345">
              <w:rPr>
                <w:color w:val="000000"/>
                <w:sz w:val="24"/>
                <w:szCs w:val="24"/>
              </w:rPr>
              <w:t>14.70</w:t>
            </w:r>
          </w:p>
        </w:tc>
      </w:tr>
      <w:tr w:rsidR="007D100C" w:rsidRPr="00414345" w14:paraId="4F18F95A" w14:textId="77777777" w:rsidTr="007D100C">
        <w:trPr>
          <w:jc w:val="center"/>
        </w:trPr>
        <w:tc>
          <w:tcPr>
            <w:tcW w:w="718" w:type="dxa"/>
            <w:vAlign w:val="center"/>
          </w:tcPr>
          <w:p w14:paraId="436C12A1"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14:paraId="24138754" w14:textId="77777777"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14:paraId="1C3B5704"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575,908.11</w:t>
            </w:r>
          </w:p>
        </w:tc>
        <w:tc>
          <w:tcPr>
            <w:tcW w:w="1837" w:type="dxa"/>
            <w:vAlign w:val="center"/>
          </w:tcPr>
          <w:p w14:paraId="2B860274"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0.15</w:t>
            </w:r>
          </w:p>
        </w:tc>
      </w:tr>
      <w:tr w:rsidR="007D100C" w:rsidRPr="00414345" w14:paraId="11AFC52B" w14:textId="77777777" w:rsidTr="007D100C">
        <w:trPr>
          <w:jc w:val="center"/>
        </w:trPr>
        <w:tc>
          <w:tcPr>
            <w:tcW w:w="718" w:type="dxa"/>
            <w:vAlign w:val="center"/>
          </w:tcPr>
          <w:p w14:paraId="0C22CA0A" w14:textId="77777777"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14:paraId="2DAD9B08" w14:textId="77777777"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14:paraId="78213AA0"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378,925,264.34</w:t>
            </w:r>
          </w:p>
        </w:tc>
        <w:tc>
          <w:tcPr>
            <w:tcW w:w="1837" w:type="dxa"/>
            <w:vAlign w:val="center"/>
          </w:tcPr>
          <w:p w14:paraId="2DD2F939" w14:textId="77777777"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14:paraId="1F2BC4B6"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6D263588"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14:paraId="6DE0A42E" w14:textId="77777777"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14:paraId="2374DCAB" w14:textId="77777777"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E0769A0"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D6C1523"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73BCC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1DE8B2"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r w:rsidRPr="00414345">
              <w:rPr>
                <w:sz w:val="24"/>
                <w:szCs w:val="24"/>
              </w:rPr>
              <w:lastRenderedPageBreak/>
              <w:t>（％）</w:t>
            </w:r>
          </w:p>
        </w:tc>
      </w:tr>
      <w:tr w:rsidR="00531F10" w:rsidRPr="00414345" w14:paraId="085343C0"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42441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A3B1A7E"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744270"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25CDC2"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14:paraId="7A5790C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5AE008"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519775"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C236B" w14:textId="77777777"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79763" w14:textId="77777777"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14:paraId="36E846A3"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5AC82A"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BDB606"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FCB196" w14:textId="77777777" w:rsidR="00531F10" w:rsidRPr="00414345" w:rsidRDefault="00531F10" w:rsidP="00C15CAC">
            <w:pPr>
              <w:spacing w:before="29" w:line="288" w:lineRule="auto"/>
              <w:jc w:val="right"/>
              <w:rPr>
                <w:sz w:val="24"/>
                <w:szCs w:val="24"/>
              </w:rPr>
            </w:pPr>
            <w:r w:rsidRPr="00414345">
              <w:rPr>
                <w:sz w:val="24"/>
                <w:szCs w:val="24"/>
              </w:rPr>
              <w:t>167,022,547.15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35A42E" w14:textId="77777777" w:rsidR="00531F10" w:rsidRPr="00414345" w:rsidRDefault="00531F10" w:rsidP="00C15CAC">
            <w:pPr>
              <w:spacing w:before="29" w:line="288" w:lineRule="auto"/>
              <w:jc w:val="right"/>
              <w:rPr>
                <w:sz w:val="24"/>
                <w:szCs w:val="24"/>
              </w:rPr>
            </w:pPr>
            <w:r w:rsidRPr="00414345">
              <w:rPr>
                <w:sz w:val="24"/>
                <w:szCs w:val="24"/>
              </w:rPr>
              <w:t>44.72</w:t>
            </w:r>
          </w:p>
        </w:tc>
      </w:tr>
      <w:tr w:rsidR="00531F10" w:rsidRPr="00414345" w14:paraId="40625F6B"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EAB176"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1A6B1F7"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306301E"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70AB25"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50FEFBF9"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F36676"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AE877F"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90E9AD"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618A2E"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BE3E2A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1563A2"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9C3870"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2DDA75" w14:textId="77777777" w:rsidR="00531F10" w:rsidRPr="00414345" w:rsidRDefault="00531F10" w:rsidP="00C15CAC">
            <w:pPr>
              <w:spacing w:before="29" w:line="288" w:lineRule="auto"/>
              <w:jc w:val="right"/>
              <w:rPr>
                <w:sz w:val="24"/>
                <w:szCs w:val="24"/>
              </w:rPr>
            </w:pPr>
            <w:r w:rsidRPr="00414345">
              <w:rPr>
                <w:sz w:val="24"/>
                <w:szCs w:val="24"/>
              </w:rPr>
              <w:t>113,025,268.24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229611" w14:textId="77777777" w:rsidR="00531F10" w:rsidRPr="00414345" w:rsidRDefault="00531F10" w:rsidP="00C15CAC">
            <w:pPr>
              <w:spacing w:before="29" w:line="288" w:lineRule="auto"/>
              <w:jc w:val="right"/>
              <w:rPr>
                <w:sz w:val="24"/>
                <w:szCs w:val="24"/>
              </w:rPr>
            </w:pPr>
            <w:r w:rsidRPr="00414345">
              <w:rPr>
                <w:sz w:val="24"/>
                <w:szCs w:val="24"/>
              </w:rPr>
              <w:t>30.26</w:t>
            </w:r>
          </w:p>
        </w:tc>
      </w:tr>
      <w:tr w:rsidR="00531F10" w:rsidRPr="00414345" w14:paraId="4096B24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7B8173"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2215FB"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B22C1B" w14:textId="77777777"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52CD31" w14:textId="77777777"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14:paraId="34A5715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425A0E"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85CC7D"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2A58F"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964A19"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661A9D76" w14:textId="77777777"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9F991F6"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615A2B" w14:textId="77777777"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CCE841" w14:textId="77777777" w:rsidR="00531F10" w:rsidRPr="00414345" w:rsidRDefault="00531F10" w:rsidP="00C15CAC">
            <w:pPr>
              <w:spacing w:before="29" w:line="288" w:lineRule="auto"/>
              <w:jc w:val="right"/>
              <w:rPr>
                <w:sz w:val="24"/>
                <w:szCs w:val="24"/>
              </w:rPr>
            </w:pPr>
            <w:r w:rsidRPr="00414345">
              <w:rPr>
                <w:sz w:val="24"/>
                <w:szCs w:val="24"/>
              </w:rPr>
              <w:t>66,435.75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F6EE23" w14:textId="77777777"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14:paraId="1EA718B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17B58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9BA09B"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6D4CB9"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253D22"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0D277D7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6C1CBE"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976CF4"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3BB4DE"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E967587"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2C767BCF"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04BAEF"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843CF7"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32396E9"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6157EA"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3E583570"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878D5"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C06BE8"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0F865AC"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61286A"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2D4774F7"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06D5BD"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429B82"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54C0FC"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7C8000"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3CC1788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5EF00A"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2B6DF9"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6C818"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DD70400"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4AEEB916"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3A7922"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460B3C"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29B645"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4234C2"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19AD06B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3F6D30"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4CAF5D"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F07653" w14:textId="77777777" w:rsidR="00531F10" w:rsidRPr="00414345" w:rsidRDefault="00531F10" w:rsidP="00C15CAC">
            <w:pPr>
              <w:spacing w:before="29" w:line="288" w:lineRule="auto"/>
              <w:jc w:val="right"/>
              <w:rPr>
                <w:sz w:val="24"/>
                <w:szCs w:val="24"/>
              </w:rPr>
            </w:pPr>
            <w:r w:rsidRPr="00414345">
              <w:rPr>
                <w:sz w:val="24"/>
                <w:szCs w:val="24"/>
              </w:rPr>
              <w:t>42,533,648.30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F82B97" w14:textId="77777777" w:rsidR="00531F10" w:rsidRPr="00414345" w:rsidRDefault="00531F10" w:rsidP="00C15CAC">
            <w:pPr>
              <w:spacing w:before="29" w:line="288" w:lineRule="auto"/>
              <w:jc w:val="right"/>
              <w:rPr>
                <w:sz w:val="24"/>
                <w:szCs w:val="24"/>
              </w:rPr>
            </w:pPr>
            <w:r w:rsidRPr="00414345">
              <w:rPr>
                <w:sz w:val="24"/>
                <w:szCs w:val="24"/>
              </w:rPr>
              <w:t>11.39</w:t>
            </w:r>
          </w:p>
        </w:tc>
      </w:tr>
      <w:tr w:rsidR="00531F10" w:rsidRPr="00414345" w14:paraId="5D6A375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E8540F"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D7D4A"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EC88C7"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80EBC"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E4E432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9AD97"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E56169"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DD6ADAB"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D15F9F"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03C57CC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74358C" w14:textId="77777777"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36FCD2"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8DF0A2" w14:textId="77777777" w:rsidR="00531F10" w:rsidRPr="00414345" w:rsidRDefault="00531F10" w:rsidP="00C15CAC">
            <w:pPr>
              <w:spacing w:before="29" w:line="288" w:lineRule="auto"/>
              <w:jc w:val="right"/>
              <w:rPr>
                <w:sz w:val="24"/>
                <w:szCs w:val="24"/>
              </w:rPr>
            </w:pPr>
            <w:r w:rsidRPr="00414345">
              <w:rPr>
                <w:sz w:val="24"/>
                <w:szCs w:val="24"/>
              </w:rPr>
              <w:t>322,665,842.20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5569B7" w14:textId="77777777" w:rsidR="00531F10" w:rsidRPr="00414345" w:rsidRDefault="00531F10" w:rsidP="00C15CAC">
            <w:pPr>
              <w:spacing w:before="29" w:line="288" w:lineRule="auto"/>
              <w:jc w:val="right"/>
              <w:rPr>
                <w:sz w:val="24"/>
                <w:szCs w:val="24"/>
              </w:rPr>
            </w:pPr>
            <w:r w:rsidRPr="00414345">
              <w:rPr>
                <w:sz w:val="24"/>
                <w:szCs w:val="24"/>
              </w:rPr>
              <w:t>86.39</w:t>
            </w:r>
          </w:p>
        </w:tc>
      </w:tr>
    </w:tbl>
    <w:p w14:paraId="4A50BC54" w14:textId="77777777"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14:paraId="1655BAC9" w14:textId="77777777"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14:paraId="71EB6372" w14:textId="77777777" w:rsidR="004061AC" w:rsidRPr="00F51C4E" w:rsidRDefault="004061AC" w:rsidP="00C15CAC">
      <w:pPr>
        <w:autoSpaceDE w:val="0"/>
        <w:autoSpaceDN w:val="0"/>
        <w:adjustRightInd w:val="0"/>
        <w:spacing w:before="29" w:line="288" w:lineRule="auto"/>
        <w:jc w:val="left"/>
        <w:rPr>
          <w:color w:val="000000"/>
          <w:kern w:val="0"/>
          <w:sz w:val="24"/>
          <w:szCs w:val="24"/>
        </w:rPr>
      </w:pPr>
    </w:p>
    <w:p w14:paraId="6E52EF9E"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14:paraId="7AF9A966" w14:textId="77777777" w:rsidTr="00A324F4">
        <w:trPr>
          <w:jc w:val="center"/>
        </w:trPr>
        <w:tc>
          <w:tcPr>
            <w:tcW w:w="869" w:type="dxa"/>
            <w:vAlign w:val="center"/>
          </w:tcPr>
          <w:p w14:paraId="7EBF6D1E"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10CA0752"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31878C2A"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3818E3A7"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14:paraId="2DE24095" w14:textId="77777777"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5BD44F79"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A632F" w14:paraId="0732D3CA" w14:textId="77777777">
        <w:trPr>
          <w:jc w:val="center"/>
        </w:trPr>
        <w:tc>
          <w:tcPr>
            <w:tcW w:w="855" w:type="dxa"/>
            <w:vAlign w:val="center"/>
          </w:tcPr>
          <w:p w14:paraId="56E4A317" w14:textId="77777777" w:rsidR="003A632F" w:rsidRDefault="00CF4925">
            <w:pPr>
              <w:jc w:val="center"/>
            </w:pPr>
            <w:r>
              <w:rPr>
                <w:color w:val="000000"/>
                <w:sz w:val="24"/>
                <w:szCs w:val="24"/>
              </w:rPr>
              <w:t>1</w:t>
            </w:r>
          </w:p>
        </w:tc>
        <w:tc>
          <w:tcPr>
            <w:tcW w:w="1334" w:type="dxa"/>
            <w:vAlign w:val="center"/>
          </w:tcPr>
          <w:p w14:paraId="1C519F12" w14:textId="77777777" w:rsidR="003A632F" w:rsidRDefault="00CF4925">
            <w:pPr>
              <w:jc w:val="center"/>
            </w:pPr>
            <w:r>
              <w:rPr>
                <w:color w:val="000000"/>
                <w:sz w:val="24"/>
                <w:szCs w:val="24"/>
              </w:rPr>
              <w:t>300347</w:t>
            </w:r>
          </w:p>
        </w:tc>
        <w:tc>
          <w:tcPr>
            <w:tcW w:w="1777" w:type="dxa"/>
            <w:vAlign w:val="center"/>
          </w:tcPr>
          <w:p w14:paraId="025036BB" w14:textId="77777777" w:rsidR="003A632F" w:rsidRDefault="00CF4925">
            <w:pPr>
              <w:jc w:val="center"/>
            </w:pPr>
            <w:r>
              <w:rPr>
                <w:color w:val="000000"/>
                <w:sz w:val="24"/>
                <w:szCs w:val="24"/>
              </w:rPr>
              <w:t>泰格医药</w:t>
            </w:r>
          </w:p>
        </w:tc>
        <w:tc>
          <w:tcPr>
            <w:tcW w:w="1334" w:type="dxa"/>
            <w:vAlign w:val="center"/>
          </w:tcPr>
          <w:p w14:paraId="5A505875" w14:textId="77777777" w:rsidR="003A632F" w:rsidRDefault="00CF4925">
            <w:pPr>
              <w:jc w:val="right"/>
            </w:pPr>
            <w:r>
              <w:rPr>
                <w:color w:val="000000"/>
                <w:sz w:val="24"/>
                <w:szCs w:val="24"/>
              </w:rPr>
              <w:t>986,638</w:t>
            </w:r>
          </w:p>
        </w:tc>
        <w:tc>
          <w:tcPr>
            <w:tcW w:w="1924" w:type="dxa"/>
            <w:vAlign w:val="center"/>
          </w:tcPr>
          <w:p w14:paraId="575E6702" w14:textId="77777777" w:rsidR="003A632F" w:rsidRDefault="00CF4925">
            <w:pPr>
              <w:jc w:val="right"/>
            </w:pPr>
            <w:r>
              <w:rPr>
                <w:color w:val="000000"/>
                <w:sz w:val="24"/>
                <w:szCs w:val="24"/>
              </w:rPr>
              <w:t>34,709,924.84</w:t>
            </w:r>
          </w:p>
        </w:tc>
        <w:tc>
          <w:tcPr>
            <w:tcW w:w="1644" w:type="dxa"/>
            <w:vAlign w:val="center"/>
          </w:tcPr>
          <w:p w14:paraId="5BA294C9" w14:textId="77777777" w:rsidR="003A632F" w:rsidRDefault="00CF4925">
            <w:pPr>
              <w:jc w:val="right"/>
            </w:pPr>
            <w:r>
              <w:rPr>
                <w:color w:val="000000"/>
                <w:sz w:val="24"/>
                <w:szCs w:val="24"/>
              </w:rPr>
              <w:t>9.29</w:t>
            </w:r>
          </w:p>
        </w:tc>
      </w:tr>
      <w:tr w:rsidR="003A632F" w14:paraId="02B6EDD5" w14:textId="77777777">
        <w:trPr>
          <w:jc w:val="center"/>
        </w:trPr>
        <w:tc>
          <w:tcPr>
            <w:tcW w:w="855" w:type="dxa"/>
            <w:vAlign w:val="center"/>
          </w:tcPr>
          <w:p w14:paraId="43F3AE05" w14:textId="77777777" w:rsidR="003A632F" w:rsidRDefault="00CF4925">
            <w:pPr>
              <w:jc w:val="center"/>
            </w:pPr>
            <w:r>
              <w:rPr>
                <w:color w:val="000000"/>
                <w:sz w:val="24"/>
                <w:szCs w:val="24"/>
              </w:rPr>
              <w:t>2</w:t>
            </w:r>
          </w:p>
        </w:tc>
        <w:tc>
          <w:tcPr>
            <w:tcW w:w="1334" w:type="dxa"/>
            <w:vAlign w:val="center"/>
          </w:tcPr>
          <w:p w14:paraId="7667D426" w14:textId="77777777" w:rsidR="003A632F" w:rsidRDefault="00CF4925">
            <w:pPr>
              <w:jc w:val="center"/>
            </w:pPr>
            <w:r>
              <w:rPr>
                <w:color w:val="000000"/>
                <w:sz w:val="24"/>
                <w:szCs w:val="24"/>
              </w:rPr>
              <w:t>601607</w:t>
            </w:r>
          </w:p>
        </w:tc>
        <w:tc>
          <w:tcPr>
            <w:tcW w:w="1777" w:type="dxa"/>
            <w:vAlign w:val="center"/>
          </w:tcPr>
          <w:p w14:paraId="0842A9F3" w14:textId="77777777" w:rsidR="003A632F" w:rsidRDefault="00CF4925">
            <w:pPr>
              <w:jc w:val="center"/>
            </w:pPr>
            <w:r>
              <w:rPr>
                <w:color w:val="000000"/>
                <w:sz w:val="24"/>
                <w:szCs w:val="24"/>
              </w:rPr>
              <w:t>上海医药</w:t>
            </w:r>
          </w:p>
        </w:tc>
        <w:tc>
          <w:tcPr>
            <w:tcW w:w="1334" w:type="dxa"/>
            <w:vAlign w:val="center"/>
          </w:tcPr>
          <w:p w14:paraId="007E7160" w14:textId="77777777" w:rsidR="003A632F" w:rsidRDefault="00CF4925">
            <w:pPr>
              <w:jc w:val="right"/>
            </w:pPr>
            <w:r>
              <w:rPr>
                <w:color w:val="000000"/>
                <w:sz w:val="24"/>
                <w:szCs w:val="24"/>
              </w:rPr>
              <w:t>1,429,237</w:t>
            </w:r>
          </w:p>
        </w:tc>
        <w:tc>
          <w:tcPr>
            <w:tcW w:w="1924" w:type="dxa"/>
            <w:vAlign w:val="center"/>
          </w:tcPr>
          <w:p w14:paraId="0DD015CB" w14:textId="77777777" w:rsidR="003A632F" w:rsidRDefault="00CF4925">
            <w:pPr>
              <w:jc w:val="right"/>
            </w:pPr>
            <w:r>
              <w:rPr>
                <w:color w:val="000000"/>
                <w:sz w:val="24"/>
                <w:szCs w:val="24"/>
              </w:rPr>
              <w:t>34,573,243.03</w:t>
            </w:r>
          </w:p>
        </w:tc>
        <w:tc>
          <w:tcPr>
            <w:tcW w:w="1644" w:type="dxa"/>
            <w:vAlign w:val="center"/>
          </w:tcPr>
          <w:p w14:paraId="02E0BCC8" w14:textId="77777777" w:rsidR="003A632F" w:rsidRDefault="00CF4925">
            <w:pPr>
              <w:jc w:val="right"/>
            </w:pPr>
            <w:r>
              <w:rPr>
                <w:color w:val="000000"/>
                <w:sz w:val="24"/>
                <w:szCs w:val="24"/>
              </w:rPr>
              <w:t>9.26</w:t>
            </w:r>
          </w:p>
        </w:tc>
      </w:tr>
      <w:tr w:rsidR="003A632F" w14:paraId="5A0E2A8E" w14:textId="77777777">
        <w:trPr>
          <w:jc w:val="center"/>
        </w:trPr>
        <w:tc>
          <w:tcPr>
            <w:tcW w:w="855" w:type="dxa"/>
            <w:vAlign w:val="center"/>
          </w:tcPr>
          <w:p w14:paraId="3ECEC3CF" w14:textId="77777777" w:rsidR="003A632F" w:rsidRDefault="00CF4925">
            <w:pPr>
              <w:jc w:val="center"/>
            </w:pPr>
            <w:r>
              <w:rPr>
                <w:color w:val="000000"/>
                <w:sz w:val="24"/>
                <w:szCs w:val="24"/>
              </w:rPr>
              <w:t>3</w:t>
            </w:r>
          </w:p>
        </w:tc>
        <w:tc>
          <w:tcPr>
            <w:tcW w:w="1334" w:type="dxa"/>
            <w:vAlign w:val="center"/>
          </w:tcPr>
          <w:p w14:paraId="1D3AB09B" w14:textId="77777777" w:rsidR="003A632F" w:rsidRDefault="00CF4925">
            <w:pPr>
              <w:jc w:val="center"/>
            </w:pPr>
            <w:r>
              <w:rPr>
                <w:color w:val="000000"/>
                <w:sz w:val="24"/>
                <w:szCs w:val="24"/>
              </w:rPr>
              <w:t>603108</w:t>
            </w:r>
          </w:p>
        </w:tc>
        <w:tc>
          <w:tcPr>
            <w:tcW w:w="1777" w:type="dxa"/>
            <w:vAlign w:val="center"/>
          </w:tcPr>
          <w:p w14:paraId="6F95DAB6" w14:textId="77777777" w:rsidR="003A632F" w:rsidRDefault="00CF4925">
            <w:pPr>
              <w:jc w:val="center"/>
            </w:pPr>
            <w:r>
              <w:rPr>
                <w:color w:val="000000"/>
                <w:sz w:val="24"/>
                <w:szCs w:val="24"/>
              </w:rPr>
              <w:t>润达医疗</w:t>
            </w:r>
          </w:p>
        </w:tc>
        <w:tc>
          <w:tcPr>
            <w:tcW w:w="1334" w:type="dxa"/>
            <w:vAlign w:val="center"/>
          </w:tcPr>
          <w:p w14:paraId="62F45EFE" w14:textId="77777777" w:rsidR="003A632F" w:rsidRDefault="00CF4925">
            <w:pPr>
              <w:jc w:val="right"/>
            </w:pPr>
            <w:r>
              <w:rPr>
                <w:color w:val="000000"/>
                <w:sz w:val="24"/>
                <w:szCs w:val="24"/>
              </w:rPr>
              <w:t>2,528,700</w:t>
            </w:r>
          </w:p>
        </w:tc>
        <w:tc>
          <w:tcPr>
            <w:tcW w:w="1924" w:type="dxa"/>
            <w:vAlign w:val="center"/>
          </w:tcPr>
          <w:p w14:paraId="53ED1F3F" w14:textId="77777777" w:rsidR="003A632F" w:rsidRDefault="00CF4925">
            <w:pPr>
              <w:jc w:val="right"/>
            </w:pPr>
            <w:r>
              <w:rPr>
                <w:color w:val="000000"/>
                <w:sz w:val="24"/>
                <w:szCs w:val="24"/>
              </w:rPr>
              <w:t>30,976,575.00</w:t>
            </w:r>
          </w:p>
        </w:tc>
        <w:tc>
          <w:tcPr>
            <w:tcW w:w="1644" w:type="dxa"/>
            <w:vAlign w:val="center"/>
          </w:tcPr>
          <w:p w14:paraId="4AD4A015" w14:textId="77777777" w:rsidR="003A632F" w:rsidRDefault="00CF4925">
            <w:pPr>
              <w:jc w:val="right"/>
            </w:pPr>
            <w:r>
              <w:rPr>
                <w:color w:val="000000"/>
                <w:sz w:val="24"/>
                <w:szCs w:val="24"/>
              </w:rPr>
              <w:t>8.29</w:t>
            </w:r>
          </w:p>
        </w:tc>
      </w:tr>
      <w:tr w:rsidR="003A632F" w14:paraId="787F9A3C" w14:textId="77777777">
        <w:trPr>
          <w:jc w:val="center"/>
        </w:trPr>
        <w:tc>
          <w:tcPr>
            <w:tcW w:w="855" w:type="dxa"/>
            <w:vAlign w:val="center"/>
          </w:tcPr>
          <w:p w14:paraId="6C837D1F" w14:textId="77777777" w:rsidR="003A632F" w:rsidRDefault="00CF4925">
            <w:pPr>
              <w:jc w:val="center"/>
            </w:pPr>
            <w:r>
              <w:rPr>
                <w:color w:val="000000"/>
                <w:sz w:val="24"/>
                <w:szCs w:val="24"/>
              </w:rPr>
              <w:lastRenderedPageBreak/>
              <w:t>4</w:t>
            </w:r>
          </w:p>
        </w:tc>
        <w:tc>
          <w:tcPr>
            <w:tcW w:w="1334" w:type="dxa"/>
            <w:vAlign w:val="center"/>
          </w:tcPr>
          <w:p w14:paraId="0B6411EA" w14:textId="77777777" w:rsidR="003A632F" w:rsidRDefault="00CF4925">
            <w:pPr>
              <w:jc w:val="center"/>
            </w:pPr>
            <w:r>
              <w:rPr>
                <w:color w:val="000000"/>
                <w:sz w:val="24"/>
                <w:szCs w:val="24"/>
              </w:rPr>
              <w:t>000538</w:t>
            </w:r>
          </w:p>
        </w:tc>
        <w:tc>
          <w:tcPr>
            <w:tcW w:w="1777" w:type="dxa"/>
            <w:vAlign w:val="center"/>
          </w:tcPr>
          <w:p w14:paraId="190FF708" w14:textId="77777777" w:rsidR="003A632F" w:rsidRDefault="00CF4925">
            <w:pPr>
              <w:jc w:val="center"/>
            </w:pPr>
            <w:r>
              <w:rPr>
                <w:color w:val="000000"/>
                <w:sz w:val="24"/>
                <w:szCs w:val="24"/>
              </w:rPr>
              <w:t>云南白药</w:t>
            </w:r>
          </w:p>
        </w:tc>
        <w:tc>
          <w:tcPr>
            <w:tcW w:w="1334" w:type="dxa"/>
            <w:vAlign w:val="center"/>
          </w:tcPr>
          <w:p w14:paraId="1484AA27" w14:textId="77777777" w:rsidR="003A632F" w:rsidRDefault="00CF4925">
            <w:pPr>
              <w:jc w:val="right"/>
            </w:pPr>
            <w:r>
              <w:rPr>
                <w:color w:val="000000"/>
                <w:sz w:val="24"/>
                <w:szCs w:val="24"/>
              </w:rPr>
              <w:t>289,006</w:t>
            </w:r>
          </w:p>
        </w:tc>
        <w:tc>
          <w:tcPr>
            <w:tcW w:w="1924" w:type="dxa"/>
            <w:vAlign w:val="center"/>
          </w:tcPr>
          <w:p w14:paraId="40804F24" w14:textId="77777777" w:rsidR="003A632F" w:rsidRDefault="00CF4925">
            <w:pPr>
              <w:jc w:val="right"/>
            </w:pPr>
            <w:r>
              <w:rPr>
                <w:color w:val="000000"/>
                <w:sz w:val="24"/>
                <w:szCs w:val="24"/>
              </w:rPr>
              <w:t>29,417,920.74</w:t>
            </w:r>
          </w:p>
        </w:tc>
        <w:tc>
          <w:tcPr>
            <w:tcW w:w="1644" w:type="dxa"/>
            <w:vAlign w:val="center"/>
          </w:tcPr>
          <w:p w14:paraId="15690208" w14:textId="77777777" w:rsidR="003A632F" w:rsidRDefault="00CF4925">
            <w:pPr>
              <w:jc w:val="right"/>
            </w:pPr>
            <w:r>
              <w:rPr>
                <w:color w:val="000000"/>
                <w:sz w:val="24"/>
                <w:szCs w:val="24"/>
              </w:rPr>
              <w:t>7.88</w:t>
            </w:r>
          </w:p>
        </w:tc>
      </w:tr>
      <w:tr w:rsidR="003A632F" w14:paraId="7D79D027" w14:textId="77777777">
        <w:trPr>
          <w:jc w:val="center"/>
        </w:trPr>
        <w:tc>
          <w:tcPr>
            <w:tcW w:w="855" w:type="dxa"/>
            <w:vAlign w:val="center"/>
          </w:tcPr>
          <w:p w14:paraId="524CEBE1" w14:textId="77777777" w:rsidR="003A632F" w:rsidRDefault="00CF4925">
            <w:pPr>
              <w:jc w:val="center"/>
            </w:pPr>
            <w:r>
              <w:rPr>
                <w:color w:val="000000"/>
                <w:sz w:val="24"/>
                <w:szCs w:val="24"/>
              </w:rPr>
              <w:t>5</w:t>
            </w:r>
          </w:p>
        </w:tc>
        <w:tc>
          <w:tcPr>
            <w:tcW w:w="1334" w:type="dxa"/>
            <w:vAlign w:val="center"/>
          </w:tcPr>
          <w:p w14:paraId="6C01E8C8" w14:textId="77777777" w:rsidR="003A632F" w:rsidRDefault="00CF4925">
            <w:pPr>
              <w:jc w:val="center"/>
            </w:pPr>
            <w:r>
              <w:rPr>
                <w:color w:val="000000"/>
                <w:sz w:val="24"/>
                <w:szCs w:val="24"/>
              </w:rPr>
              <w:t>300003</w:t>
            </w:r>
          </w:p>
        </w:tc>
        <w:tc>
          <w:tcPr>
            <w:tcW w:w="1777" w:type="dxa"/>
            <w:vAlign w:val="center"/>
          </w:tcPr>
          <w:p w14:paraId="204C3CE4" w14:textId="77777777" w:rsidR="003A632F" w:rsidRDefault="00CF4925">
            <w:pPr>
              <w:jc w:val="center"/>
            </w:pPr>
            <w:r>
              <w:rPr>
                <w:color w:val="000000"/>
                <w:sz w:val="24"/>
                <w:szCs w:val="24"/>
              </w:rPr>
              <w:t>乐普医疗</w:t>
            </w:r>
          </w:p>
        </w:tc>
        <w:tc>
          <w:tcPr>
            <w:tcW w:w="1334" w:type="dxa"/>
            <w:vAlign w:val="center"/>
          </w:tcPr>
          <w:p w14:paraId="27C8B09A" w14:textId="77777777" w:rsidR="003A632F" w:rsidRDefault="00CF4925">
            <w:pPr>
              <w:jc w:val="right"/>
            </w:pPr>
            <w:r>
              <w:rPr>
                <w:color w:val="000000"/>
                <w:sz w:val="24"/>
                <w:szCs w:val="24"/>
              </w:rPr>
              <w:t>836,683</w:t>
            </w:r>
          </w:p>
        </w:tc>
        <w:tc>
          <w:tcPr>
            <w:tcW w:w="1924" w:type="dxa"/>
            <w:vAlign w:val="center"/>
          </w:tcPr>
          <w:p w14:paraId="592BB925" w14:textId="77777777" w:rsidR="003A632F" w:rsidRDefault="00CF4925">
            <w:pPr>
              <w:jc w:val="right"/>
            </w:pPr>
            <w:r>
              <w:rPr>
                <w:color w:val="000000"/>
                <w:sz w:val="24"/>
                <w:szCs w:val="24"/>
              </w:rPr>
              <w:t>20,214,261.28</w:t>
            </w:r>
          </w:p>
        </w:tc>
        <w:tc>
          <w:tcPr>
            <w:tcW w:w="1644" w:type="dxa"/>
            <w:vAlign w:val="center"/>
          </w:tcPr>
          <w:p w14:paraId="7D6A98EE" w14:textId="77777777" w:rsidR="003A632F" w:rsidRDefault="00CF4925">
            <w:pPr>
              <w:jc w:val="right"/>
            </w:pPr>
            <w:r>
              <w:rPr>
                <w:color w:val="000000"/>
                <w:sz w:val="24"/>
                <w:szCs w:val="24"/>
              </w:rPr>
              <w:t>5.41</w:t>
            </w:r>
          </w:p>
        </w:tc>
      </w:tr>
      <w:tr w:rsidR="003A632F" w14:paraId="2D28A654" w14:textId="77777777">
        <w:trPr>
          <w:jc w:val="center"/>
        </w:trPr>
        <w:tc>
          <w:tcPr>
            <w:tcW w:w="855" w:type="dxa"/>
            <w:vAlign w:val="center"/>
          </w:tcPr>
          <w:p w14:paraId="45336560" w14:textId="77777777" w:rsidR="003A632F" w:rsidRDefault="00CF4925">
            <w:pPr>
              <w:jc w:val="center"/>
            </w:pPr>
            <w:r>
              <w:rPr>
                <w:color w:val="000000"/>
                <w:sz w:val="24"/>
                <w:szCs w:val="24"/>
              </w:rPr>
              <w:t>6</w:t>
            </w:r>
          </w:p>
        </w:tc>
        <w:tc>
          <w:tcPr>
            <w:tcW w:w="1334" w:type="dxa"/>
            <w:vAlign w:val="center"/>
          </w:tcPr>
          <w:p w14:paraId="5FC4DB6E" w14:textId="77777777" w:rsidR="003A632F" w:rsidRDefault="00CF4925">
            <w:pPr>
              <w:jc w:val="center"/>
            </w:pPr>
            <w:r>
              <w:rPr>
                <w:color w:val="000000"/>
                <w:sz w:val="24"/>
                <w:szCs w:val="24"/>
              </w:rPr>
              <w:t>600998</w:t>
            </w:r>
          </w:p>
        </w:tc>
        <w:tc>
          <w:tcPr>
            <w:tcW w:w="1777" w:type="dxa"/>
            <w:vAlign w:val="center"/>
          </w:tcPr>
          <w:p w14:paraId="1E22F6B6" w14:textId="77777777" w:rsidR="003A632F" w:rsidRDefault="00CF4925">
            <w:pPr>
              <w:jc w:val="center"/>
            </w:pPr>
            <w:r>
              <w:rPr>
                <w:color w:val="000000"/>
                <w:sz w:val="24"/>
                <w:szCs w:val="24"/>
              </w:rPr>
              <w:t>九州通</w:t>
            </w:r>
          </w:p>
        </w:tc>
        <w:tc>
          <w:tcPr>
            <w:tcW w:w="1334" w:type="dxa"/>
            <w:vAlign w:val="center"/>
          </w:tcPr>
          <w:p w14:paraId="3E5F5F3C" w14:textId="77777777" w:rsidR="003A632F" w:rsidRDefault="00CF4925">
            <w:pPr>
              <w:jc w:val="right"/>
            </w:pPr>
            <w:r>
              <w:rPr>
                <w:color w:val="000000"/>
                <w:sz w:val="24"/>
                <w:szCs w:val="24"/>
              </w:rPr>
              <w:t>990,491</w:t>
            </w:r>
          </w:p>
        </w:tc>
        <w:tc>
          <w:tcPr>
            <w:tcW w:w="1924" w:type="dxa"/>
            <w:vAlign w:val="center"/>
          </w:tcPr>
          <w:p w14:paraId="6BD566B2" w14:textId="77777777" w:rsidR="003A632F" w:rsidRDefault="00CF4925">
            <w:pPr>
              <w:jc w:val="right"/>
            </w:pPr>
            <w:r>
              <w:rPr>
                <w:color w:val="000000"/>
                <w:sz w:val="24"/>
                <w:szCs w:val="24"/>
              </w:rPr>
              <w:t>18,769,804.45</w:t>
            </w:r>
          </w:p>
        </w:tc>
        <w:tc>
          <w:tcPr>
            <w:tcW w:w="1644" w:type="dxa"/>
            <w:vAlign w:val="center"/>
          </w:tcPr>
          <w:p w14:paraId="74D1BC10" w14:textId="77777777" w:rsidR="003A632F" w:rsidRDefault="00CF4925">
            <w:pPr>
              <w:jc w:val="right"/>
            </w:pPr>
            <w:r>
              <w:rPr>
                <w:color w:val="000000"/>
                <w:sz w:val="24"/>
                <w:szCs w:val="24"/>
              </w:rPr>
              <w:t>5.03</w:t>
            </w:r>
          </w:p>
        </w:tc>
      </w:tr>
      <w:tr w:rsidR="003A632F" w14:paraId="00C043D6" w14:textId="77777777">
        <w:trPr>
          <w:jc w:val="center"/>
        </w:trPr>
        <w:tc>
          <w:tcPr>
            <w:tcW w:w="855" w:type="dxa"/>
            <w:vAlign w:val="center"/>
          </w:tcPr>
          <w:p w14:paraId="0B81A961" w14:textId="77777777" w:rsidR="003A632F" w:rsidRDefault="00CF4925">
            <w:pPr>
              <w:jc w:val="center"/>
            </w:pPr>
            <w:r>
              <w:rPr>
                <w:color w:val="000000"/>
                <w:sz w:val="24"/>
                <w:szCs w:val="24"/>
              </w:rPr>
              <w:t>7</w:t>
            </w:r>
          </w:p>
        </w:tc>
        <w:tc>
          <w:tcPr>
            <w:tcW w:w="1334" w:type="dxa"/>
            <w:vAlign w:val="center"/>
          </w:tcPr>
          <w:p w14:paraId="084B9EF2" w14:textId="77777777" w:rsidR="003A632F" w:rsidRDefault="00CF4925">
            <w:pPr>
              <w:jc w:val="center"/>
            </w:pPr>
            <w:r>
              <w:rPr>
                <w:color w:val="000000"/>
                <w:sz w:val="24"/>
                <w:szCs w:val="24"/>
              </w:rPr>
              <w:t>600521</w:t>
            </w:r>
          </w:p>
        </w:tc>
        <w:tc>
          <w:tcPr>
            <w:tcW w:w="1777" w:type="dxa"/>
            <w:vAlign w:val="center"/>
          </w:tcPr>
          <w:p w14:paraId="581D5FF0" w14:textId="77777777" w:rsidR="003A632F" w:rsidRDefault="00CF4925">
            <w:pPr>
              <w:jc w:val="center"/>
            </w:pPr>
            <w:r>
              <w:rPr>
                <w:color w:val="000000"/>
                <w:sz w:val="24"/>
                <w:szCs w:val="24"/>
              </w:rPr>
              <w:t>华海药业</w:t>
            </w:r>
          </w:p>
        </w:tc>
        <w:tc>
          <w:tcPr>
            <w:tcW w:w="1334" w:type="dxa"/>
            <w:vAlign w:val="center"/>
          </w:tcPr>
          <w:p w14:paraId="79F6529A" w14:textId="77777777" w:rsidR="003A632F" w:rsidRDefault="00CF4925">
            <w:pPr>
              <w:jc w:val="right"/>
            </w:pPr>
            <w:r>
              <w:rPr>
                <w:color w:val="000000"/>
                <w:sz w:val="24"/>
                <w:szCs w:val="24"/>
              </w:rPr>
              <w:t>607,737</w:t>
            </w:r>
          </w:p>
        </w:tc>
        <w:tc>
          <w:tcPr>
            <w:tcW w:w="1924" w:type="dxa"/>
            <w:vAlign w:val="center"/>
          </w:tcPr>
          <w:p w14:paraId="79CBC4AB" w14:textId="77777777" w:rsidR="003A632F" w:rsidRDefault="00CF4925">
            <w:pPr>
              <w:jc w:val="right"/>
            </w:pPr>
            <w:r>
              <w:rPr>
                <w:color w:val="000000"/>
                <w:sz w:val="24"/>
                <w:szCs w:val="24"/>
              </w:rPr>
              <w:t>18,305,038.44</w:t>
            </w:r>
          </w:p>
        </w:tc>
        <w:tc>
          <w:tcPr>
            <w:tcW w:w="1644" w:type="dxa"/>
            <w:vAlign w:val="center"/>
          </w:tcPr>
          <w:p w14:paraId="1944D586" w14:textId="77777777" w:rsidR="003A632F" w:rsidRDefault="00CF4925">
            <w:pPr>
              <w:jc w:val="right"/>
            </w:pPr>
            <w:r>
              <w:rPr>
                <w:color w:val="000000"/>
                <w:sz w:val="24"/>
                <w:szCs w:val="24"/>
              </w:rPr>
              <w:t>4.90</w:t>
            </w:r>
          </w:p>
        </w:tc>
      </w:tr>
      <w:tr w:rsidR="003A632F" w14:paraId="1795C482" w14:textId="77777777">
        <w:trPr>
          <w:jc w:val="center"/>
        </w:trPr>
        <w:tc>
          <w:tcPr>
            <w:tcW w:w="855" w:type="dxa"/>
            <w:vAlign w:val="center"/>
          </w:tcPr>
          <w:p w14:paraId="6AF70729" w14:textId="77777777" w:rsidR="003A632F" w:rsidRDefault="00CF4925">
            <w:pPr>
              <w:jc w:val="center"/>
            </w:pPr>
            <w:r>
              <w:rPr>
                <w:color w:val="000000"/>
                <w:sz w:val="24"/>
                <w:szCs w:val="24"/>
              </w:rPr>
              <w:t>8</w:t>
            </w:r>
          </w:p>
        </w:tc>
        <w:tc>
          <w:tcPr>
            <w:tcW w:w="1334" w:type="dxa"/>
            <w:vAlign w:val="center"/>
          </w:tcPr>
          <w:p w14:paraId="21DAA65C" w14:textId="77777777" w:rsidR="003A632F" w:rsidRDefault="00CF4925">
            <w:pPr>
              <w:jc w:val="center"/>
            </w:pPr>
            <w:r>
              <w:rPr>
                <w:color w:val="000000"/>
                <w:sz w:val="24"/>
                <w:szCs w:val="24"/>
              </w:rPr>
              <w:t>603939</w:t>
            </w:r>
          </w:p>
        </w:tc>
        <w:tc>
          <w:tcPr>
            <w:tcW w:w="1777" w:type="dxa"/>
            <w:vAlign w:val="center"/>
          </w:tcPr>
          <w:p w14:paraId="5C2CDD2E" w14:textId="77777777" w:rsidR="003A632F" w:rsidRDefault="00CF4925">
            <w:pPr>
              <w:jc w:val="center"/>
            </w:pPr>
            <w:r>
              <w:rPr>
                <w:color w:val="000000"/>
                <w:sz w:val="24"/>
                <w:szCs w:val="24"/>
              </w:rPr>
              <w:t>益丰药房</w:t>
            </w:r>
          </w:p>
        </w:tc>
        <w:tc>
          <w:tcPr>
            <w:tcW w:w="1334" w:type="dxa"/>
            <w:vAlign w:val="center"/>
          </w:tcPr>
          <w:p w14:paraId="402E0BAC" w14:textId="77777777" w:rsidR="003A632F" w:rsidRDefault="00CF4925">
            <w:pPr>
              <w:jc w:val="right"/>
            </w:pPr>
            <w:r>
              <w:rPr>
                <w:color w:val="000000"/>
                <w:sz w:val="24"/>
                <w:szCs w:val="24"/>
              </w:rPr>
              <w:t>390,908</w:t>
            </w:r>
          </w:p>
        </w:tc>
        <w:tc>
          <w:tcPr>
            <w:tcW w:w="1924" w:type="dxa"/>
            <w:vAlign w:val="center"/>
          </w:tcPr>
          <w:p w14:paraId="418296C8" w14:textId="77777777" w:rsidR="003A632F" w:rsidRDefault="00CF4925">
            <w:pPr>
              <w:jc w:val="right"/>
            </w:pPr>
            <w:r>
              <w:rPr>
                <w:color w:val="000000"/>
                <w:sz w:val="24"/>
                <w:szCs w:val="24"/>
              </w:rPr>
              <w:t>17,778,495.84</w:t>
            </w:r>
          </w:p>
        </w:tc>
        <w:tc>
          <w:tcPr>
            <w:tcW w:w="1644" w:type="dxa"/>
            <w:vAlign w:val="center"/>
          </w:tcPr>
          <w:p w14:paraId="49DF5391" w14:textId="77777777" w:rsidR="003A632F" w:rsidRDefault="00CF4925">
            <w:pPr>
              <w:jc w:val="right"/>
            </w:pPr>
            <w:r>
              <w:rPr>
                <w:color w:val="000000"/>
                <w:sz w:val="24"/>
                <w:szCs w:val="24"/>
              </w:rPr>
              <w:t>4.76</w:t>
            </w:r>
          </w:p>
        </w:tc>
      </w:tr>
      <w:tr w:rsidR="003A632F" w14:paraId="136F5A02" w14:textId="77777777">
        <w:trPr>
          <w:jc w:val="center"/>
        </w:trPr>
        <w:tc>
          <w:tcPr>
            <w:tcW w:w="855" w:type="dxa"/>
            <w:vAlign w:val="center"/>
          </w:tcPr>
          <w:p w14:paraId="67A0791B" w14:textId="77777777" w:rsidR="003A632F" w:rsidRDefault="00CF4925">
            <w:pPr>
              <w:jc w:val="center"/>
            </w:pPr>
            <w:r>
              <w:rPr>
                <w:color w:val="000000"/>
                <w:sz w:val="24"/>
                <w:szCs w:val="24"/>
              </w:rPr>
              <w:t>9</w:t>
            </w:r>
          </w:p>
        </w:tc>
        <w:tc>
          <w:tcPr>
            <w:tcW w:w="1334" w:type="dxa"/>
            <w:vAlign w:val="center"/>
          </w:tcPr>
          <w:p w14:paraId="1252DE66" w14:textId="77777777" w:rsidR="003A632F" w:rsidRDefault="00CF4925">
            <w:pPr>
              <w:jc w:val="center"/>
            </w:pPr>
            <w:r>
              <w:rPr>
                <w:color w:val="000000"/>
                <w:sz w:val="24"/>
                <w:szCs w:val="24"/>
              </w:rPr>
              <w:t>000963</w:t>
            </w:r>
          </w:p>
        </w:tc>
        <w:tc>
          <w:tcPr>
            <w:tcW w:w="1777" w:type="dxa"/>
            <w:vAlign w:val="center"/>
          </w:tcPr>
          <w:p w14:paraId="102A9D83" w14:textId="77777777" w:rsidR="003A632F" w:rsidRDefault="00CF4925">
            <w:pPr>
              <w:jc w:val="center"/>
            </w:pPr>
            <w:r>
              <w:rPr>
                <w:color w:val="000000"/>
                <w:sz w:val="24"/>
                <w:szCs w:val="24"/>
              </w:rPr>
              <w:t>华东医药</w:t>
            </w:r>
          </w:p>
        </w:tc>
        <w:tc>
          <w:tcPr>
            <w:tcW w:w="1334" w:type="dxa"/>
            <w:vAlign w:val="center"/>
          </w:tcPr>
          <w:p w14:paraId="4DE975BE" w14:textId="77777777" w:rsidR="003A632F" w:rsidRDefault="00CF4925">
            <w:pPr>
              <w:jc w:val="right"/>
            </w:pPr>
            <w:r>
              <w:rPr>
                <w:color w:val="000000"/>
                <w:sz w:val="24"/>
                <w:szCs w:val="24"/>
              </w:rPr>
              <w:t>274,366</w:t>
            </w:r>
          </w:p>
        </w:tc>
        <w:tc>
          <w:tcPr>
            <w:tcW w:w="1924" w:type="dxa"/>
            <w:vAlign w:val="center"/>
          </w:tcPr>
          <w:p w14:paraId="1056DAFC" w14:textId="77777777" w:rsidR="003A632F" w:rsidRDefault="00CF4925">
            <w:pPr>
              <w:jc w:val="right"/>
            </w:pPr>
            <w:r>
              <w:rPr>
                <w:color w:val="000000"/>
                <w:sz w:val="24"/>
                <w:szCs w:val="24"/>
              </w:rPr>
              <w:t>14,782,840.08</w:t>
            </w:r>
          </w:p>
        </w:tc>
        <w:tc>
          <w:tcPr>
            <w:tcW w:w="1644" w:type="dxa"/>
            <w:vAlign w:val="center"/>
          </w:tcPr>
          <w:p w14:paraId="6F1BAAAB" w14:textId="77777777" w:rsidR="003A632F" w:rsidRDefault="00CF4925">
            <w:pPr>
              <w:jc w:val="right"/>
            </w:pPr>
            <w:r>
              <w:rPr>
                <w:color w:val="000000"/>
                <w:sz w:val="24"/>
                <w:szCs w:val="24"/>
              </w:rPr>
              <w:t>3.96</w:t>
            </w:r>
          </w:p>
        </w:tc>
      </w:tr>
      <w:tr w:rsidR="003A632F" w14:paraId="3D6B30F4" w14:textId="77777777">
        <w:trPr>
          <w:jc w:val="center"/>
        </w:trPr>
        <w:tc>
          <w:tcPr>
            <w:tcW w:w="855" w:type="dxa"/>
            <w:vAlign w:val="center"/>
          </w:tcPr>
          <w:p w14:paraId="31DCCA2E" w14:textId="77777777" w:rsidR="003A632F" w:rsidRDefault="00CF4925">
            <w:pPr>
              <w:jc w:val="center"/>
            </w:pPr>
            <w:r>
              <w:rPr>
                <w:color w:val="000000"/>
                <w:sz w:val="24"/>
                <w:szCs w:val="24"/>
              </w:rPr>
              <w:t>10</w:t>
            </w:r>
          </w:p>
        </w:tc>
        <w:tc>
          <w:tcPr>
            <w:tcW w:w="1334" w:type="dxa"/>
            <w:vAlign w:val="center"/>
          </w:tcPr>
          <w:p w14:paraId="7E451D2D" w14:textId="77777777" w:rsidR="003A632F" w:rsidRDefault="00CF4925">
            <w:pPr>
              <w:jc w:val="center"/>
            </w:pPr>
            <w:r>
              <w:rPr>
                <w:color w:val="000000"/>
                <w:sz w:val="24"/>
                <w:szCs w:val="24"/>
              </w:rPr>
              <w:t>603883</w:t>
            </w:r>
          </w:p>
        </w:tc>
        <w:tc>
          <w:tcPr>
            <w:tcW w:w="1777" w:type="dxa"/>
            <w:vAlign w:val="center"/>
          </w:tcPr>
          <w:p w14:paraId="3C7D38B7" w14:textId="77777777" w:rsidR="003A632F" w:rsidRDefault="00CF4925">
            <w:pPr>
              <w:jc w:val="center"/>
            </w:pPr>
            <w:r>
              <w:rPr>
                <w:color w:val="000000"/>
                <w:sz w:val="24"/>
                <w:szCs w:val="24"/>
              </w:rPr>
              <w:t>老百姓</w:t>
            </w:r>
          </w:p>
        </w:tc>
        <w:tc>
          <w:tcPr>
            <w:tcW w:w="1334" w:type="dxa"/>
            <w:vAlign w:val="center"/>
          </w:tcPr>
          <w:p w14:paraId="2AF59794" w14:textId="77777777" w:rsidR="003A632F" w:rsidRDefault="00CF4925">
            <w:pPr>
              <w:jc w:val="right"/>
            </w:pPr>
            <w:r>
              <w:rPr>
                <w:color w:val="000000"/>
                <w:sz w:val="24"/>
                <w:szCs w:val="24"/>
              </w:rPr>
              <w:t>221,032</w:t>
            </w:r>
          </w:p>
        </w:tc>
        <w:tc>
          <w:tcPr>
            <w:tcW w:w="1924" w:type="dxa"/>
            <w:vAlign w:val="center"/>
          </w:tcPr>
          <w:p w14:paraId="2AC4CD1A" w14:textId="77777777" w:rsidR="003A632F" w:rsidRDefault="00CF4925">
            <w:pPr>
              <w:jc w:val="right"/>
            </w:pPr>
            <w:r>
              <w:rPr>
                <w:color w:val="000000"/>
                <w:sz w:val="24"/>
                <w:szCs w:val="24"/>
              </w:rPr>
              <w:t>13,922,805.68</w:t>
            </w:r>
          </w:p>
        </w:tc>
        <w:tc>
          <w:tcPr>
            <w:tcW w:w="1644" w:type="dxa"/>
            <w:vAlign w:val="center"/>
          </w:tcPr>
          <w:p w14:paraId="5AFD2B18" w14:textId="77777777" w:rsidR="003A632F" w:rsidRDefault="00CF4925">
            <w:pPr>
              <w:jc w:val="right"/>
            </w:pPr>
            <w:r>
              <w:rPr>
                <w:color w:val="000000"/>
                <w:sz w:val="24"/>
                <w:szCs w:val="24"/>
              </w:rPr>
              <w:t>3.73</w:t>
            </w:r>
          </w:p>
        </w:tc>
      </w:tr>
    </w:tbl>
    <w:p w14:paraId="5441D66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7CCC3956"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14:paraId="41C0905A"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14:paraId="136EAD22"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7F49C10"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14:paraId="1E13D9D2"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14:paraId="7A98161E"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37956C05"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7A5DBDAD"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79428916" w14:textId="77777777" w:rsidR="00A54C7D" w:rsidRPr="00414345" w:rsidRDefault="00A54C7D" w:rsidP="00C15CAC">
      <w:pPr>
        <w:autoSpaceDE w:val="0"/>
        <w:autoSpaceDN w:val="0"/>
        <w:adjustRightInd w:val="0"/>
        <w:spacing w:before="29" w:line="288" w:lineRule="auto"/>
        <w:jc w:val="left"/>
        <w:rPr>
          <w:color w:val="000000"/>
          <w:sz w:val="24"/>
          <w:szCs w:val="24"/>
        </w:rPr>
      </w:pPr>
    </w:p>
    <w:p w14:paraId="0891F8EC"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14:paraId="630726D0"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2468D26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45D89C5"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737B332A"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5866C1FA"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92C6710"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14:paraId="377AC973"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7C8F0555" w14:textId="77777777" w:rsidR="00AA3A38" w:rsidRPr="00414345" w:rsidRDefault="00AA3A38" w:rsidP="00C15CAC">
      <w:pPr>
        <w:adjustRightInd w:val="0"/>
        <w:snapToGrid w:val="0"/>
        <w:spacing w:before="29" w:line="288" w:lineRule="auto"/>
        <w:rPr>
          <w:sz w:val="24"/>
          <w:szCs w:val="24"/>
        </w:rPr>
      </w:pPr>
    </w:p>
    <w:p w14:paraId="15CC95CD"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14:paraId="649BA021"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415AF6D8"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59BC82AD"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14:paraId="2FEE0841"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59BF848C" w14:textId="77777777"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14:paraId="234CCE05"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lastRenderedPageBreak/>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653FE908" w14:textId="77777777" w:rsidTr="000243BD">
        <w:trPr>
          <w:jc w:val="center"/>
        </w:trPr>
        <w:tc>
          <w:tcPr>
            <w:tcW w:w="1235" w:type="dxa"/>
            <w:vAlign w:val="center"/>
          </w:tcPr>
          <w:p w14:paraId="54886384"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0F5EA6A8"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3D2C3D7E"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14:paraId="1FAAC0A6" w14:textId="77777777" w:rsidTr="000243BD">
        <w:trPr>
          <w:jc w:val="center"/>
        </w:trPr>
        <w:tc>
          <w:tcPr>
            <w:tcW w:w="1235" w:type="dxa"/>
            <w:vAlign w:val="center"/>
          </w:tcPr>
          <w:p w14:paraId="5FDBC51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0D245CB2"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4704D6A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247,665.49</w:t>
            </w:r>
          </w:p>
        </w:tc>
      </w:tr>
      <w:tr w:rsidR="004C0914" w:rsidRPr="00414345" w14:paraId="1F1BF93D" w14:textId="77777777" w:rsidTr="000243BD">
        <w:trPr>
          <w:jc w:val="center"/>
        </w:trPr>
        <w:tc>
          <w:tcPr>
            <w:tcW w:w="1235" w:type="dxa"/>
            <w:vAlign w:val="center"/>
          </w:tcPr>
          <w:p w14:paraId="74AD51D4"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382934B1"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1FD73BC0"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56B34D0" w14:textId="77777777" w:rsidTr="000243BD">
        <w:trPr>
          <w:jc w:val="center"/>
        </w:trPr>
        <w:tc>
          <w:tcPr>
            <w:tcW w:w="1235" w:type="dxa"/>
            <w:vAlign w:val="center"/>
          </w:tcPr>
          <w:p w14:paraId="0F354D6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0AE69999"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4B9F32C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67128502" w14:textId="77777777" w:rsidTr="000243BD">
        <w:trPr>
          <w:jc w:val="center"/>
        </w:trPr>
        <w:tc>
          <w:tcPr>
            <w:tcW w:w="1235" w:type="dxa"/>
            <w:vAlign w:val="center"/>
          </w:tcPr>
          <w:p w14:paraId="6CD5DE76"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63C438F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79CA75B4"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12,431.52</w:t>
            </w:r>
          </w:p>
        </w:tc>
      </w:tr>
      <w:tr w:rsidR="004C0914" w:rsidRPr="00414345" w14:paraId="34AB1D7D" w14:textId="77777777" w:rsidTr="000243BD">
        <w:trPr>
          <w:jc w:val="center"/>
        </w:trPr>
        <w:tc>
          <w:tcPr>
            <w:tcW w:w="1235" w:type="dxa"/>
            <w:vAlign w:val="center"/>
          </w:tcPr>
          <w:p w14:paraId="4C857910"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378244C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1B94C08A"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315,811.10</w:t>
            </w:r>
          </w:p>
        </w:tc>
      </w:tr>
      <w:tr w:rsidR="004C0914" w:rsidRPr="00414345" w14:paraId="2F823DD7" w14:textId="77777777" w:rsidTr="000243BD">
        <w:trPr>
          <w:jc w:val="center"/>
        </w:trPr>
        <w:tc>
          <w:tcPr>
            <w:tcW w:w="1235" w:type="dxa"/>
            <w:vAlign w:val="center"/>
          </w:tcPr>
          <w:p w14:paraId="23971675"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76455C5E"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5DF5887E"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4FEE0005" w14:textId="77777777" w:rsidTr="000243BD">
        <w:trPr>
          <w:jc w:val="center"/>
        </w:trPr>
        <w:tc>
          <w:tcPr>
            <w:tcW w:w="1235" w:type="dxa"/>
            <w:vAlign w:val="center"/>
          </w:tcPr>
          <w:p w14:paraId="328B2272"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1EB531E1"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28473CA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5089AF59" w14:textId="77777777" w:rsidTr="000243BD">
        <w:trPr>
          <w:jc w:val="center"/>
        </w:trPr>
        <w:tc>
          <w:tcPr>
            <w:tcW w:w="1235" w:type="dxa"/>
            <w:vAlign w:val="center"/>
          </w:tcPr>
          <w:p w14:paraId="7883B29A"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6F67C8A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7B88F771"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0ADDFA10" w14:textId="77777777" w:rsidTr="000243BD">
        <w:trPr>
          <w:jc w:val="center"/>
        </w:trPr>
        <w:tc>
          <w:tcPr>
            <w:tcW w:w="1235" w:type="dxa"/>
            <w:vAlign w:val="center"/>
          </w:tcPr>
          <w:p w14:paraId="4D18C891"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4AD33758"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23FF0E8D"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575,908.11</w:t>
            </w:r>
          </w:p>
        </w:tc>
      </w:tr>
    </w:tbl>
    <w:p w14:paraId="00CEEC31" w14:textId="77777777" w:rsidR="002918E3" w:rsidRPr="00414345" w:rsidRDefault="002918E3" w:rsidP="00C15CAC">
      <w:pPr>
        <w:autoSpaceDE w:val="0"/>
        <w:autoSpaceDN w:val="0"/>
        <w:adjustRightInd w:val="0"/>
        <w:spacing w:before="29" w:line="288" w:lineRule="auto"/>
        <w:rPr>
          <w:color w:val="000000"/>
          <w:sz w:val="24"/>
          <w:szCs w:val="24"/>
        </w:rPr>
      </w:pPr>
    </w:p>
    <w:p w14:paraId="1D47C601"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14:paraId="6583E2AA"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0F9B71FC" w14:textId="77777777" w:rsidR="002918E3" w:rsidRPr="00414345" w:rsidRDefault="002918E3" w:rsidP="00C15CAC">
      <w:pPr>
        <w:autoSpaceDE w:val="0"/>
        <w:autoSpaceDN w:val="0"/>
        <w:adjustRightInd w:val="0"/>
        <w:spacing w:before="29" w:line="288" w:lineRule="auto"/>
        <w:rPr>
          <w:color w:val="000000"/>
          <w:sz w:val="24"/>
          <w:szCs w:val="24"/>
        </w:rPr>
      </w:pPr>
    </w:p>
    <w:p w14:paraId="597080A6"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14:paraId="4C0451AC"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14:paraId="5CBE0681" w14:textId="77777777" w:rsidR="002918E3" w:rsidRPr="00414345" w:rsidRDefault="002918E3" w:rsidP="00C15CAC">
      <w:pPr>
        <w:autoSpaceDE w:val="0"/>
        <w:autoSpaceDN w:val="0"/>
        <w:adjustRightInd w:val="0"/>
        <w:spacing w:before="29" w:line="288" w:lineRule="auto"/>
        <w:rPr>
          <w:color w:val="000000"/>
          <w:sz w:val="24"/>
          <w:szCs w:val="24"/>
        </w:rPr>
      </w:pPr>
    </w:p>
    <w:p w14:paraId="010C6699" w14:textId="77777777"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14:paraId="53C8A5FE" w14:textId="77777777"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14:paraId="5394D3C5" w14:textId="77777777" w:rsidR="006B2FF6" w:rsidRPr="00414345" w:rsidRDefault="006B2FF6" w:rsidP="00C15CAC">
      <w:pPr>
        <w:spacing w:before="29" w:line="288" w:lineRule="auto"/>
        <w:ind w:firstLineChars="200" w:firstLine="480"/>
        <w:rPr>
          <w:color w:val="000000"/>
          <w:sz w:val="24"/>
          <w:szCs w:val="24"/>
        </w:rPr>
      </w:pPr>
    </w:p>
    <w:p w14:paraId="0F8D1159" w14:textId="77777777"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14:paraId="31DF4293"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18C5357B"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D09C091"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A2D593C"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747,921,190.10</w:t>
            </w:r>
          </w:p>
        </w:tc>
      </w:tr>
      <w:tr w:rsidR="004061AC" w:rsidRPr="00414345" w14:paraId="506C6AB6"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0A16BA0"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BAABEF4"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45,171,842.05</w:t>
            </w:r>
          </w:p>
        </w:tc>
      </w:tr>
      <w:tr w:rsidR="004061AC" w:rsidRPr="00414345" w14:paraId="1B986664"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A469A50"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319AD2DE"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458,566,870.36</w:t>
            </w:r>
          </w:p>
        </w:tc>
      </w:tr>
      <w:tr w:rsidR="004061AC" w:rsidRPr="00414345" w14:paraId="1077285E"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409CD8B4"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5C324B14"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14:paraId="2146C821"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4654596B"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2CF72B59"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334,526,161.79</w:t>
            </w:r>
          </w:p>
        </w:tc>
      </w:tr>
    </w:tbl>
    <w:p w14:paraId="337868D0" w14:textId="77777777" w:rsidR="003A632F" w:rsidRDefault="00CF492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14:paraId="2D59D0B3" w14:textId="77777777" w:rsidR="004061AC" w:rsidRPr="00414345" w:rsidRDefault="004061AC" w:rsidP="00151E93">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14:paraId="69A83466" w14:textId="77777777" w:rsidR="00320E90" w:rsidRDefault="00320E90" w:rsidP="00C15CAC">
      <w:pPr>
        <w:autoSpaceDE w:val="0"/>
        <w:autoSpaceDN w:val="0"/>
        <w:adjustRightInd w:val="0"/>
        <w:spacing w:before="29" w:line="288" w:lineRule="auto"/>
        <w:jc w:val="left"/>
        <w:rPr>
          <w:color w:val="000000"/>
          <w:sz w:val="24"/>
          <w:szCs w:val="24"/>
        </w:rPr>
      </w:pPr>
    </w:p>
    <w:p w14:paraId="74EF10EE" w14:textId="77777777"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14:paraId="12697F89" w14:textId="77777777"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14:paraId="4EDF7AF7" w14:textId="77777777" w:rsidR="00446525" w:rsidRPr="00446525" w:rsidRDefault="00446525" w:rsidP="00446525">
      <w:pPr>
        <w:autoSpaceDE w:val="0"/>
        <w:autoSpaceDN w:val="0"/>
        <w:adjustRightInd w:val="0"/>
        <w:spacing w:before="29" w:line="288" w:lineRule="auto"/>
        <w:jc w:val="left"/>
        <w:rPr>
          <w:color w:val="000000"/>
          <w:sz w:val="24"/>
        </w:rPr>
      </w:pPr>
      <w:r w:rsidRPr="00446525">
        <w:rPr>
          <w:rFonts w:hint="eastAsia"/>
          <w:color w:val="000000"/>
          <w:sz w:val="24"/>
        </w:rPr>
        <w:t>本报告期内未发生基金管理人运用固有资金投资本基金的情况。</w:t>
      </w:r>
    </w:p>
    <w:p w14:paraId="0DABB08C" w14:textId="77777777" w:rsidR="00410630" w:rsidRPr="00446525" w:rsidRDefault="00410630" w:rsidP="00C15CAC">
      <w:pPr>
        <w:autoSpaceDE w:val="0"/>
        <w:autoSpaceDN w:val="0"/>
        <w:adjustRightInd w:val="0"/>
        <w:spacing w:before="29" w:line="288" w:lineRule="auto"/>
        <w:jc w:val="left"/>
        <w:rPr>
          <w:rFonts w:eastAsiaTheme="minorEastAsia"/>
          <w:color w:val="000000"/>
          <w:sz w:val="24"/>
        </w:rPr>
      </w:pPr>
    </w:p>
    <w:p w14:paraId="0EA099D8" w14:textId="57D3EB6A" w:rsidR="00410630" w:rsidRPr="00BB5E0E" w:rsidRDefault="00410630" w:rsidP="00BB5E0E">
      <w:pPr>
        <w:spacing w:line="288" w:lineRule="auto"/>
        <w:jc w:val="left"/>
        <w:rPr>
          <w:b/>
          <w:sz w:val="24"/>
        </w:rPr>
      </w:pPr>
      <w:r w:rsidRPr="00410630">
        <w:rPr>
          <w:b/>
          <w:sz w:val="24"/>
        </w:rPr>
        <w:t>7.2</w:t>
      </w:r>
      <w:bookmarkStart w:id="0" w:name="_GoBack"/>
      <w:bookmarkEnd w:id="0"/>
      <w:r w:rsidRPr="00410630">
        <w:rPr>
          <w:rFonts w:hint="eastAsia"/>
          <w:b/>
          <w:sz w:val="24"/>
        </w:rPr>
        <w:t>基金管理人运用固有资金投资本基金交易明细</w:t>
      </w:r>
    </w:p>
    <w:p w14:paraId="423AA2AC"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14:paraId="5E7F8AF5" w14:textId="77777777" w:rsidR="00480B35" w:rsidRPr="00414345" w:rsidRDefault="00480B35" w:rsidP="00C15CAC">
      <w:pPr>
        <w:autoSpaceDE w:val="0"/>
        <w:autoSpaceDN w:val="0"/>
        <w:adjustRightInd w:val="0"/>
        <w:spacing w:before="29" w:line="288" w:lineRule="auto"/>
        <w:jc w:val="left"/>
        <w:rPr>
          <w:color w:val="000000"/>
          <w:sz w:val="24"/>
        </w:rPr>
      </w:pPr>
    </w:p>
    <w:p w14:paraId="5E02B71D" w14:textId="77777777"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14:paraId="2937B2C5"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14:paraId="58D2043C" w14:textId="77777777" w:rsidR="003A632F" w:rsidRDefault="00CF492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14:paraId="0BF95561" w14:textId="77777777" w:rsidR="003A632F" w:rsidRDefault="00CF492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14:paraId="774D2D12" w14:textId="77777777" w:rsidR="003A632F" w:rsidRDefault="00CF492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14:paraId="66C70CA3" w14:textId="77777777" w:rsidR="003A632F" w:rsidRDefault="00CF492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14:paraId="7D3CC837" w14:textId="77777777" w:rsidR="003A632F" w:rsidRDefault="00CF492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14:paraId="1FD9E19D" w14:textId="77777777" w:rsidR="003A632F" w:rsidRDefault="00CF492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14:paraId="04B112CA" w14:textId="77777777" w:rsidR="003A632F" w:rsidRDefault="00CF492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14:paraId="182A7F31"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、报告期内交银施罗德医药创新股票型证券投资基金在指定报刊上各项公告的原稿。</w:t>
      </w:r>
    </w:p>
    <w:p w14:paraId="315E29EF" w14:textId="77777777" w:rsidR="006A48FD" w:rsidRPr="00414345" w:rsidRDefault="006A48FD" w:rsidP="00C15CAC">
      <w:pPr>
        <w:spacing w:before="29" w:line="288" w:lineRule="auto"/>
        <w:ind w:firstLineChars="200" w:firstLine="480"/>
        <w:rPr>
          <w:color w:val="000000"/>
          <w:sz w:val="24"/>
          <w:szCs w:val="24"/>
        </w:rPr>
      </w:pPr>
    </w:p>
    <w:p w14:paraId="047B72F8"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14:paraId="0EF64FF7"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14:paraId="1A666F3B" w14:textId="77777777" w:rsidR="006A48FD" w:rsidRPr="00414345" w:rsidRDefault="006A48FD" w:rsidP="00C15CAC">
      <w:pPr>
        <w:spacing w:before="29" w:line="288" w:lineRule="auto"/>
        <w:ind w:firstLineChars="200" w:firstLine="480"/>
        <w:rPr>
          <w:color w:val="000000"/>
          <w:sz w:val="24"/>
          <w:szCs w:val="24"/>
        </w:rPr>
      </w:pPr>
    </w:p>
    <w:p w14:paraId="66C5DC42"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14:paraId="4F9FC829" w14:textId="77777777" w:rsidR="003A632F" w:rsidRDefault="00CF492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14:paraId="3FCEB439" w14:textId="77777777"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14:paraId="77E4B4B0" w14:textId="77777777"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43CDC4" w14:textId="77777777" w:rsidR="008E52B4" w:rsidRDefault="008E52B4" w:rsidP="00876D65">
      <w:r>
        <w:separator/>
      </w:r>
    </w:p>
  </w:endnote>
  <w:endnote w:type="continuationSeparator" w:id="0">
    <w:p w14:paraId="1EE522E5" w14:textId="77777777" w:rsidR="008E52B4" w:rsidRDefault="008E52B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64CC3" w14:textId="77777777"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F62FB7">
      <w:rPr>
        <w:noProof/>
        <w:kern w:val="0"/>
        <w:szCs w:val="21"/>
      </w:rPr>
      <w:t>9</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F62FB7">
      <w:rPr>
        <w:noProof/>
        <w:kern w:val="0"/>
        <w:szCs w:val="21"/>
      </w:rPr>
      <w:t>10</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128C2A" w14:textId="77777777" w:rsidR="008E52B4" w:rsidRDefault="008E52B4" w:rsidP="00876D65">
      <w:r>
        <w:separator/>
      </w:r>
    </w:p>
  </w:footnote>
  <w:footnote w:type="continuationSeparator" w:id="0">
    <w:p w14:paraId="17D510D2" w14:textId="77777777" w:rsidR="008E52B4" w:rsidRDefault="008E52B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10148" w14:textId="77777777"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6839E98D" wp14:editId="10C1B006">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1E93"/>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A632F"/>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46525"/>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58EA"/>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E52B4"/>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6747E"/>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13CD"/>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4925"/>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50B2"/>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2FB7"/>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203"/>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D2425"/>
  <w15:docId w15:val="{DA4452C3-37EE-4CCF-B027-8D95C5440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846E2-D644-48C7-A3CB-74508396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10</Pages>
  <Words>894</Words>
  <Characters>5098</Characters>
  <Application>Microsoft Office Word</Application>
  <DocSecurity>0</DocSecurity>
  <Lines>42</Lines>
  <Paragraphs>11</Paragraphs>
  <ScaleCrop>false</ScaleCrop>
  <Company/>
  <LinksUpToDate>false</LinksUpToDate>
  <CharactersWithSpaces>5981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570</cp:revision>
  <dcterms:created xsi:type="dcterms:W3CDTF">2012-10-16T06:07:00Z</dcterms:created>
  <dcterms:modified xsi:type="dcterms:W3CDTF">2018-01-18T03:19:00Z</dcterms:modified>
</cp:coreProperties>
</file>