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524,340,645.13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01EF2" w:rsidRPr="007F52FA" w:rsidRDefault="007C3DC6" w:rsidP="002C55A0">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524,337,984.13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2,661.00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5,525,721.24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1,109,283.96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541,944,105.15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2,733.84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1.0274</w:t>
            </w:r>
          </w:p>
        </w:tc>
      </w:tr>
    </w:tbl>
    <w:p w:rsidR="0036164B" w:rsidRDefault="00E463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144883">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6164B">
        <w:trPr>
          <w:jc w:val="center"/>
        </w:trPr>
        <w:tc>
          <w:tcPr>
            <w:tcW w:w="1266" w:type="dxa"/>
            <w:vAlign w:val="center"/>
          </w:tcPr>
          <w:p w:rsidR="0036164B" w:rsidRDefault="00E463B4">
            <w:pPr>
              <w:jc w:val="left"/>
            </w:pPr>
            <w:r>
              <w:rPr>
                <w:color w:val="000000"/>
                <w:sz w:val="24"/>
              </w:rPr>
              <w:lastRenderedPageBreak/>
              <w:t>过去三个月</w:t>
            </w:r>
          </w:p>
        </w:tc>
        <w:tc>
          <w:tcPr>
            <w:tcW w:w="1267" w:type="dxa"/>
            <w:vAlign w:val="center"/>
          </w:tcPr>
          <w:p w:rsidR="0036164B" w:rsidRDefault="00E463B4">
            <w:pPr>
              <w:jc w:val="center"/>
            </w:pPr>
            <w:r>
              <w:rPr>
                <w:color w:val="000000"/>
                <w:sz w:val="24"/>
              </w:rPr>
              <w:t>0.20%</w:t>
            </w:r>
          </w:p>
        </w:tc>
        <w:tc>
          <w:tcPr>
            <w:tcW w:w="1267" w:type="dxa"/>
            <w:vAlign w:val="center"/>
          </w:tcPr>
          <w:p w:rsidR="0036164B" w:rsidRDefault="00E463B4">
            <w:pPr>
              <w:jc w:val="center"/>
            </w:pPr>
            <w:r>
              <w:rPr>
                <w:color w:val="000000"/>
                <w:sz w:val="24"/>
              </w:rPr>
              <w:t>0.04%</w:t>
            </w:r>
          </w:p>
        </w:tc>
        <w:tc>
          <w:tcPr>
            <w:tcW w:w="1267" w:type="dxa"/>
            <w:vAlign w:val="center"/>
          </w:tcPr>
          <w:p w:rsidR="0036164B" w:rsidRDefault="00E463B4">
            <w:pPr>
              <w:jc w:val="center"/>
            </w:pPr>
            <w:r>
              <w:rPr>
                <w:color w:val="000000"/>
                <w:sz w:val="24"/>
              </w:rPr>
              <w:t>-1.15%</w:t>
            </w:r>
          </w:p>
        </w:tc>
        <w:tc>
          <w:tcPr>
            <w:tcW w:w="1267" w:type="dxa"/>
            <w:vAlign w:val="center"/>
          </w:tcPr>
          <w:p w:rsidR="0036164B" w:rsidRDefault="00E463B4">
            <w:pPr>
              <w:jc w:val="center"/>
            </w:pPr>
            <w:r>
              <w:rPr>
                <w:color w:val="000000"/>
                <w:sz w:val="24"/>
              </w:rPr>
              <w:t>0.06%</w:t>
            </w:r>
          </w:p>
        </w:tc>
        <w:tc>
          <w:tcPr>
            <w:tcW w:w="1267" w:type="dxa"/>
            <w:vAlign w:val="center"/>
          </w:tcPr>
          <w:p w:rsidR="0036164B" w:rsidRDefault="00E463B4">
            <w:pPr>
              <w:jc w:val="center"/>
            </w:pPr>
            <w:r>
              <w:rPr>
                <w:color w:val="000000"/>
                <w:sz w:val="24"/>
              </w:rPr>
              <w:t>1.35%</w:t>
            </w:r>
          </w:p>
        </w:tc>
        <w:tc>
          <w:tcPr>
            <w:tcW w:w="1267" w:type="dxa"/>
            <w:vAlign w:val="center"/>
          </w:tcPr>
          <w:p w:rsidR="0036164B" w:rsidRDefault="00E463B4">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6164B">
        <w:trPr>
          <w:jc w:val="center"/>
        </w:trPr>
        <w:tc>
          <w:tcPr>
            <w:tcW w:w="1266" w:type="dxa"/>
            <w:vAlign w:val="center"/>
          </w:tcPr>
          <w:p w:rsidR="0036164B" w:rsidRDefault="00E463B4">
            <w:pPr>
              <w:jc w:val="left"/>
            </w:pPr>
            <w:r>
              <w:rPr>
                <w:color w:val="000000"/>
                <w:sz w:val="24"/>
              </w:rPr>
              <w:t>过去三个月</w:t>
            </w:r>
          </w:p>
        </w:tc>
        <w:tc>
          <w:tcPr>
            <w:tcW w:w="1267" w:type="dxa"/>
            <w:vAlign w:val="center"/>
          </w:tcPr>
          <w:p w:rsidR="0036164B" w:rsidRDefault="00E463B4">
            <w:pPr>
              <w:jc w:val="center"/>
            </w:pPr>
            <w:r>
              <w:rPr>
                <w:color w:val="000000"/>
                <w:sz w:val="24"/>
              </w:rPr>
              <w:t>0.11%</w:t>
            </w:r>
          </w:p>
        </w:tc>
        <w:tc>
          <w:tcPr>
            <w:tcW w:w="1267" w:type="dxa"/>
            <w:vAlign w:val="center"/>
          </w:tcPr>
          <w:p w:rsidR="0036164B" w:rsidRDefault="00E463B4">
            <w:pPr>
              <w:jc w:val="center"/>
            </w:pPr>
            <w:r>
              <w:rPr>
                <w:color w:val="000000"/>
                <w:sz w:val="24"/>
              </w:rPr>
              <w:t>0.04%</w:t>
            </w:r>
          </w:p>
        </w:tc>
        <w:tc>
          <w:tcPr>
            <w:tcW w:w="1267" w:type="dxa"/>
            <w:vAlign w:val="center"/>
          </w:tcPr>
          <w:p w:rsidR="0036164B" w:rsidRDefault="00E463B4">
            <w:pPr>
              <w:jc w:val="center"/>
            </w:pPr>
            <w:r>
              <w:rPr>
                <w:color w:val="000000"/>
                <w:sz w:val="24"/>
              </w:rPr>
              <w:t>-1.15%</w:t>
            </w:r>
          </w:p>
        </w:tc>
        <w:tc>
          <w:tcPr>
            <w:tcW w:w="1267" w:type="dxa"/>
            <w:vAlign w:val="center"/>
          </w:tcPr>
          <w:p w:rsidR="0036164B" w:rsidRDefault="00E463B4">
            <w:pPr>
              <w:jc w:val="center"/>
            </w:pPr>
            <w:r>
              <w:rPr>
                <w:color w:val="000000"/>
                <w:sz w:val="24"/>
              </w:rPr>
              <w:t>0.06%</w:t>
            </w:r>
          </w:p>
        </w:tc>
        <w:tc>
          <w:tcPr>
            <w:tcW w:w="1267" w:type="dxa"/>
            <w:vAlign w:val="center"/>
          </w:tcPr>
          <w:p w:rsidR="0036164B" w:rsidRDefault="00E463B4">
            <w:pPr>
              <w:jc w:val="center"/>
            </w:pPr>
            <w:r>
              <w:rPr>
                <w:color w:val="000000"/>
                <w:sz w:val="24"/>
              </w:rPr>
              <w:t>1.26%</w:t>
            </w:r>
          </w:p>
        </w:tc>
        <w:tc>
          <w:tcPr>
            <w:tcW w:w="1267" w:type="dxa"/>
            <w:vAlign w:val="center"/>
          </w:tcPr>
          <w:p w:rsidR="0036164B" w:rsidRDefault="00E463B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144883">
      <w:pPr>
        <w:spacing w:before="29" w:line="288" w:lineRule="auto"/>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144883">
      <w:pPr>
        <w:spacing w:before="29" w:line="288" w:lineRule="auto"/>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6164B">
        <w:trPr>
          <w:jc w:val="center"/>
        </w:trPr>
        <w:tc>
          <w:tcPr>
            <w:tcW w:w="946" w:type="dxa"/>
            <w:vAlign w:val="center"/>
          </w:tcPr>
          <w:p w:rsidR="0036164B" w:rsidRDefault="00E463B4">
            <w:pPr>
              <w:jc w:val="center"/>
            </w:pPr>
            <w:r>
              <w:rPr>
                <w:color w:val="000000"/>
                <w:sz w:val="24"/>
              </w:rPr>
              <w:t>黄莹洁</w:t>
            </w:r>
          </w:p>
        </w:tc>
        <w:tc>
          <w:tcPr>
            <w:tcW w:w="924" w:type="dxa"/>
            <w:vAlign w:val="center"/>
          </w:tcPr>
          <w:p w:rsidR="0036164B" w:rsidRDefault="00E463B4">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36164B" w:rsidRDefault="00E463B4">
            <w:pPr>
              <w:jc w:val="center"/>
            </w:pPr>
            <w:r>
              <w:rPr>
                <w:color w:val="000000"/>
                <w:sz w:val="24"/>
              </w:rPr>
              <w:lastRenderedPageBreak/>
              <w:t>2016-11-28</w:t>
            </w:r>
          </w:p>
        </w:tc>
        <w:tc>
          <w:tcPr>
            <w:tcW w:w="1300" w:type="dxa"/>
            <w:vAlign w:val="center"/>
          </w:tcPr>
          <w:p w:rsidR="0036164B" w:rsidRDefault="00E463B4">
            <w:pPr>
              <w:jc w:val="center"/>
            </w:pPr>
            <w:r>
              <w:rPr>
                <w:color w:val="000000"/>
                <w:sz w:val="24"/>
              </w:rPr>
              <w:t>-</w:t>
            </w:r>
          </w:p>
        </w:tc>
        <w:tc>
          <w:tcPr>
            <w:tcW w:w="1245" w:type="dxa"/>
            <w:vAlign w:val="center"/>
          </w:tcPr>
          <w:p w:rsidR="0036164B" w:rsidRDefault="00E463B4">
            <w:pPr>
              <w:jc w:val="center"/>
            </w:pPr>
            <w:r>
              <w:rPr>
                <w:color w:val="000000"/>
                <w:sz w:val="24"/>
              </w:rPr>
              <w:t>9</w:t>
            </w:r>
            <w:r>
              <w:rPr>
                <w:color w:val="000000"/>
                <w:sz w:val="24"/>
              </w:rPr>
              <w:t>年</w:t>
            </w:r>
          </w:p>
        </w:tc>
        <w:tc>
          <w:tcPr>
            <w:tcW w:w="3251" w:type="dxa"/>
            <w:vAlign w:val="center"/>
          </w:tcPr>
          <w:p w:rsidR="0036164B" w:rsidRDefault="00E463B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36164B">
        <w:trPr>
          <w:jc w:val="center"/>
        </w:trPr>
        <w:tc>
          <w:tcPr>
            <w:tcW w:w="946" w:type="dxa"/>
            <w:vAlign w:val="center"/>
          </w:tcPr>
          <w:p w:rsidR="0036164B" w:rsidRDefault="00E463B4">
            <w:pPr>
              <w:jc w:val="center"/>
            </w:pPr>
            <w:r>
              <w:rPr>
                <w:color w:val="000000"/>
                <w:sz w:val="24"/>
              </w:rPr>
              <w:t>连端清</w:t>
            </w:r>
          </w:p>
        </w:tc>
        <w:tc>
          <w:tcPr>
            <w:tcW w:w="924" w:type="dxa"/>
            <w:vAlign w:val="center"/>
          </w:tcPr>
          <w:p w:rsidR="0036164B" w:rsidRDefault="00E463B4">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益债券、交银天运宝货币的基金经理</w:t>
            </w:r>
          </w:p>
        </w:tc>
        <w:tc>
          <w:tcPr>
            <w:tcW w:w="1202" w:type="dxa"/>
            <w:vAlign w:val="center"/>
          </w:tcPr>
          <w:p w:rsidR="0036164B" w:rsidRDefault="00E463B4">
            <w:pPr>
              <w:jc w:val="center"/>
            </w:pPr>
            <w:r>
              <w:rPr>
                <w:color w:val="000000"/>
                <w:sz w:val="24"/>
              </w:rPr>
              <w:lastRenderedPageBreak/>
              <w:t>2016-11-28</w:t>
            </w:r>
          </w:p>
        </w:tc>
        <w:tc>
          <w:tcPr>
            <w:tcW w:w="1300" w:type="dxa"/>
            <w:vAlign w:val="center"/>
          </w:tcPr>
          <w:p w:rsidR="0036164B" w:rsidRDefault="00E463B4">
            <w:pPr>
              <w:jc w:val="center"/>
            </w:pPr>
            <w:r>
              <w:rPr>
                <w:color w:val="000000"/>
                <w:sz w:val="24"/>
              </w:rPr>
              <w:t>-</w:t>
            </w:r>
          </w:p>
        </w:tc>
        <w:tc>
          <w:tcPr>
            <w:tcW w:w="1245" w:type="dxa"/>
            <w:vAlign w:val="center"/>
          </w:tcPr>
          <w:p w:rsidR="0036164B" w:rsidRDefault="00E463B4">
            <w:pPr>
              <w:jc w:val="center"/>
            </w:pPr>
            <w:r>
              <w:rPr>
                <w:color w:val="000000"/>
                <w:sz w:val="24"/>
              </w:rPr>
              <w:t>4</w:t>
            </w:r>
            <w:r>
              <w:rPr>
                <w:color w:val="000000"/>
                <w:sz w:val="24"/>
              </w:rPr>
              <w:t>年</w:t>
            </w:r>
          </w:p>
        </w:tc>
        <w:tc>
          <w:tcPr>
            <w:tcW w:w="3251" w:type="dxa"/>
            <w:vAlign w:val="center"/>
          </w:tcPr>
          <w:p w:rsidR="0036164B" w:rsidRDefault="00E463B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36164B" w:rsidRDefault="00E463B4">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36164B" w:rsidRDefault="00E463B4">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6164B" w:rsidRDefault="00E463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6164B" w:rsidRDefault="00E463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6164B" w:rsidRDefault="00E463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lastRenderedPageBreak/>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6164B" w:rsidRDefault="00E463B4">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上移。债券收益率上行后亦有回落，在高位震荡盘整。资管新规征求意见稿出炉、美联储加息靴子落地、年末流动性紧张等因素成为债券市场收益率变动的主要原因。报告期内，</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36164B" w:rsidRDefault="00E463B4">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基金操作方面，从绝对收益率、期限利差和金融去杠杆角度看，目前中短端仍是较好的选择，本基金以配置短久期的信用债和同业存单为主。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年一季度，基本面的下行态势或将得到验证，</w:t>
      </w:r>
      <w:r w:rsidRPr="007F52FA">
        <w:rPr>
          <w:color w:val="000000"/>
          <w:sz w:val="24"/>
        </w:rPr>
        <w:t>CPI</w:t>
      </w:r>
      <w:r w:rsidRPr="007F52FA">
        <w:rPr>
          <w:color w:val="000000"/>
          <w:sz w:val="24"/>
        </w:rPr>
        <w:t>在春节期间能否创出新高后回落，以及宏观经济对债市影响的增强仍需要时间演化。在货币政策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我们将密切关注金融监管政策的落地实施、供给侧等改革进展、通胀预期变化、美联储加息进度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日，交银裕隆纯债</w:t>
      </w:r>
      <w:r w:rsidRPr="007F52FA">
        <w:rPr>
          <w:color w:val="000000"/>
          <w:sz w:val="24"/>
        </w:rPr>
        <w:t>A</w:t>
      </w:r>
      <w:r w:rsidRPr="007F52FA">
        <w:rPr>
          <w:color w:val="000000"/>
          <w:sz w:val="24"/>
        </w:rPr>
        <w:t>份额净值为</w:t>
      </w:r>
      <w:r w:rsidRPr="007F52FA">
        <w:rPr>
          <w:color w:val="000000"/>
          <w:sz w:val="24"/>
        </w:rPr>
        <w:t>1.0336</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-1.15%</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1.0274</w:t>
      </w:r>
      <w:r w:rsidRPr="007F52FA">
        <w:rPr>
          <w:color w:val="000000"/>
          <w:sz w:val="24"/>
        </w:rPr>
        <w:t>元，本报告期份额净值增长率为</w:t>
      </w:r>
      <w:r w:rsidRPr="007F52FA">
        <w:rPr>
          <w:color w:val="000000"/>
          <w:sz w:val="24"/>
        </w:rPr>
        <w:t>0.11%</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690,363,900.00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690,363,900.00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278,137.07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13,898,133.89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704,540,170.96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130,098,000.00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24.01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434,245,900.00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80.13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76,458,000.00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14.11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690,363,900.00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6164B">
        <w:trPr>
          <w:jc w:val="center"/>
        </w:trPr>
        <w:tc>
          <w:tcPr>
            <w:tcW w:w="1075" w:type="dxa"/>
            <w:vAlign w:val="center"/>
          </w:tcPr>
          <w:p w:rsidR="0036164B" w:rsidRDefault="00E463B4">
            <w:pPr>
              <w:jc w:val="center"/>
            </w:pPr>
            <w:r>
              <w:rPr>
                <w:color w:val="000000"/>
                <w:sz w:val="24"/>
              </w:rPr>
              <w:t>1</w:t>
            </w:r>
          </w:p>
        </w:tc>
        <w:tc>
          <w:tcPr>
            <w:tcW w:w="1533" w:type="dxa"/>
            <w:vAlign w:val="center"/>
          </w:tcPr>
          <w:p w:rsidR="0036164B" w:rsidRDefault="00E463B4">
            <w:pPr>
              <w:jc w:val="center"/>
            </w:pPr>
            <w:r>
              <w:rPr>
                <w:color w:val="000000"/>
                <w:sz w:val="24"/>
              </w:rPr>
              <w:t>041760057</w:t>
            </w:r>
          </w:p>
        </w:tc>
        <w:tc>
          <w:tcPr>
            <w:tcW w:w="1533" w:type="dxa"/>
            <w:vAlign w:val="center"/>
          </w:tcPr>
          <w:p w:rsidR="0036164B" w:rsidRDefault="00E463B4">
            <w:pPr>
              <w:jc w:val="center"/>
            </w:pPr>
            <w:r>
              <w:rPr>
                <w:color w:val="000000"/>
                <w:sz w:val="24"/>
              </w:rPr>
              <w:t>17</w:t>
            </w:r>
            <w:r>
              <w:rPr>
                <w:color w:val="000000"/>
                <w:sz w:val="24"/>
              </w:rPr>
              <w:t>西安高新</w:t>
            </w:r>
            <w:r>
              <w:rPr>
                <w:color w:val="000000"/>
                <w:sz w:val="24"/>
              </w:rPr>
              <w:t>CP002</w:t>
            </w:r>
          </w:p>
        </w:tc>
        <w:tc>
          <w:tcPr>
            <w:tcW w:w="1394" w:type="dxa"/>
            <w:vAlign w:val="center"/>
          </w:tcPr>
          <w:p w:rsidR="0036164B" w:rsidRDefault="00E463B4">
            <w:pPr>
              <w:jc w:val="right"/>
            </w:pPr>
            <w:r>
              <w:rPr>
                <w:color w:val="000000"/>
                <w:sz w:val="24"/>
              </w:rPr>
              <w:t>500,000</w:t>
            </w:r>
          </w:p>
        </w:tc>
        <w:tc>
          <w:tcPr>
            <w:tcW w:w="1944" w:type="dxa"/>
            <w:vAlign w:val="center"/>
          </w:tcPr>
          <w:p w:rsidR="0036164B" w:rsidRDefault="00E463B4">
            <w:pPr>
              <w:jc w:val="right"/>
            </w:pPr>
            <w:r>
              <w:rPr>
                <w:color w:val="000000"/>
                <w:sz w:val="24"/>
              </w:rPr>
              <w:t>49,870,000.00</w:t>
            </w:r>
          </w:p>
        </w:tc>
        <w:tc>
          <w:tcPr>
            <w:tcW w:w="1389" w:type="dxa"/>
            <w:vAlign w:val="center"/>
          </w:tcPr>
          <w:p w:rsidR="0036164B" w:rsidRDefault="00E463B4">
            <w:pPr>
              <w:jc w:val="right"/>
            </w:pPr>
            <w:r>
              <w:rPr>
                <w:color w:val="000000"/>
                <w:sz w:val="24"/>
              </w:rPr>
              <w:t>9.20</w:t>
            </w:r>
          </w:p>
        </w:tc>
      </w:tr>
      <w:tr w:rsidR="0036164B">
        <w:trPr>
          <w:jc w:val="center"/>
        </w:trPr>
        <w:tc>
          <w:tcPr>
            <w:tcW w:w="1075" w:type="dxa"/>
            <w:vAlign w:val="center"/>
          </w:tcPr>
          <w:p w:rsidR="0036164B" w:rsidRDefault="00E463B4">
            <w:pPr>
              <w:jc w:val="center"/>
            </w:pPr>
            <w:r>
              <w:rPr>
                <w:color w:val="000000"/>
                <w:sz w:val="24"/>
              </w:rPr>
              <w:t>2</w:t>
            </w:r>
          </w:p>
        </w:tc>
        <w:tc>
          <w:tcPr>
            <w:tcW w:w="1533" w:type="dxa"/>
            <w:vAlign w:val="center"/>
          </w:tcPr>
          <w:p w:rsidR="0036164B" w:rsidRDefault="00E463B4">
            <w:pPr>
              <w:jc w:val="center"/>
            </w:pPr>
            <w:r>
              <w:rPr>
                <w:color w:val="000000"/>
                <w:sz w:val="24"/>
              </w:rPr>
              <w:t>101760007</w:t>
            </w:r>
          </w:p>
        </w:tc>
        <w:tc>
          <w:tcPr>
            <w:tcW w:w="1533" w:type="dxa"/>
            <w:vAlign w:val="center"/>
          </w:tcPr>
          <w:p w:rsidR="0036164B" w:rsidRDefault="00E463B4">
            <w:pPr>
              <w:jc w:val="center"/>
            </w:pPr>
            <w:r>
              <w:rPr>
                <w:color w:val="000000"/>
                <w:sz w:val="24"/>
              </w:rPr>
              <w:t>17</w:t>
            </w:r>
            <w:r>
              <w:rPr>
                <w:color w:val="000000"/>
                <w:sz w:val="24"/>
              </w:rPr>
              <w:t>象屿</w:t>
            </w:r>
            <w:r>
              <w:rPr>
                <w:color w:val="000000"/>
                <w:sz w:val="24"/>
              </w:rPr>
              <w:t>MTN001</w:t>
            </w:r>
          </w:p>
        </w:tc>
        <w:tc>
          <w:tcPr>
            <w:tcW w:w="1394" w:type="dxa"/>
            <w:vAlign w:val="center"/>
          </w:tcPr>
          <w:p w:rsidR="0036164B" w:rsidRDefault="00E463B4">
            <w:pPr>
              <w:jc w:val="right"/>
            </w:pPr>
            <w:r>
              <w:rPr>
                <w:color w:val="000000"/>
                <w:sz w:val="24"/>
              </w:rPr>
              <w:t>400,000</w:t>
            </w:r>
          </w:p>
        </w:tc>
        <w:tc>
          <w:tcPr>
            <w:tcW w:w="1944" w:type="dxa"/>
            <w:vAlign w:val="center"/>
          </w:tcPr>
          <w:p w:rsidR="0036164B" w:rsidRDefault="00E463B4">
            <w:pPr>
              <w:jc w:val="right"/>
            </w:pPr>
            <w:r>
              <w:rPr>
                <w:color w:val="000000"/>
                <w:sz w:val="24"/>
              </w:rPr>
              <w:t>39,760,000.00</w:t>
            </w:r>
          </w:p>
        </w:tc>
        <w:tc>
          <w:tcPr>
            <w:tcW w:w="1389" w:type="dxa"/>
            <w:vAlign w:val="center"/>
          </w:tcPr>
          <w:p w:rsidR="0036164B" w:rsidRDefault="00E463B4">
            <w:pPr>
              <w:jc w:val="right"/>
            </w:pPr>
            <w:r>
              <w:rPr>
                <w:color w:val="000000"/>
                <w:sz w:val="24"/>
              </w:rPr>
              <w:t>7.34</w:t>
            </w:r>
          </w:p>
        </w:tc>
      </w:tr>
      <w:tr w:rsidR="0036164B">
        <w:trPr>
          <w:jc w:val="center"/>
        </w:trPr>
        <w:tc>
          <w:tcPr>
            <w:tcW w:w="1075" w:type="dxa"/>
            <w:vAlign w:val="center"/>
          </w:tcPr>
          <w:p w:rsidR="0036164B" w:rsidRDefault="00E463B4">
            <w:pPr>
              <w:jc w:val="center"/>
            </w:pPr>
            <w:r>
              <w:rPr>
                <w:color w:val="000000"/>
                <w:sz w:val="24"/>
              </w:rPr>
              <w:t>3</w:t>
            </w:r>
          </w:p>
        </w:tc>
        <w:tc>
          <w:tcPr>
            <w:tcW w:w="1533" w:type="dxa"/>
            <w:vAlign w:val="center"/>
          </w:tcPr>
          <w:p w:rsidR="0036164B" w:rsidRDefault="00E463B4">
            <w:pPr>
              <w:jc w:val="center"/>
            </w:pPr>
            <w:r>
              <w:rPr>
                <w:color w:val="000000"/>
                <w:sz w:val="24"/>
              </w:rPr>
              <w:t>101658015</w:t>
            </w:r>
          </w:p>
        </w:tc>
        <w:tc>
          <w:tcPr>
            <w:tcW w:w="1533" w:type="dxa"/>
            <w:vAlign w:val="center"/>
          </w:tcPr>
          <w:p w:rsidR="0036164B" w:rsidRDefault="00E463B4">
            <w:pPr>
              <w:jc w:val="center"/>
            </w:pPr>
            <w:r>
              <w:rPr>
                <w:color w:val="000000"/>
                <w:sz w:val="24"/>
              </w:rPr>
              <w:t>16</w:t>
            </w:r>
            <w:r>
              <w:rPr>
                <w:color w:val="000000"/>
                <w:sz w:val="24"/>
              </w:rPr>
              <w:t>雨花国投</w:t>
            </w:r>
            <w:r>
              <w:rPr>
                <w:color w:val="000000"/>
                <w:sz w:val="24"/>
              </w:rPr>
              <w:t>MTN001</w:t>
            </w:r>
          </w:p>
        </w:tc>
        <w:tc>
          <w:tcPr>
            <w:tcW w:w="1394" w:type="dxa"/>
            <w:vAlign w:val="center"/>
          </w:tcPr>
          <w:p w:rsidR="0036164B" w:rsidRDefault="00E463B4">
            <w:pPr>
              <w:jc w:val="right"/>
            </w:pPr>
            <w:r>
              <w:rPr>
                <w:color w:val="000000"/>
                <w:sz w:val="24"/>
              </w:rPr>
              <w:t>400,000</w:t>
            </w:r>
          </w:p>
        </w:tc>
        <w:tc>
          <w:tcPr>
            <w:tcW w:w="1944" w:type="dxa"/>
            <w:vAlign w:val="center"/>
          </w:tcPr>
          <w:p w:rsidR="0036164B" w:rsidRDefault="00E463B4">
            <w:pPr>
              <w:jc w:val="right"/>
            </w:pPr>
            <w:r>
              <w:rPr>
                <w:color w:val="000000"/>
                <w:sz w:val="24"/>
              </w:rPr>
              <w:t>39,096,000.00</w:t>
            </w:r>
          </w:p>
        </w:tc>
        <w:tc>
          <w:tcPr>
            <w:tcW w:w="1389" w:type="dxa"/>
            <w:vAlign w:val="center"/>
          </w:tcPr>
          <w:p w:rsidR="0036164B" w:rsidRDefault="00E463B4">
            <w:pPr>
              <w:jc w:val="right"/>
            </w:pPr>
            <w:r>
              <w:rPr>
                <w:color w:val="000000"/>
                <w:sz w:val="24"/>
              </w:rPr>
              <w:t>7.21</w:t>
            </w:r>
          </w:p>
        </w:tc>
      </w:tr>
      <w:tr w:rsidR="0036164B">
        <w:trPr>
          <w:jc w:val="center"/>
        </w:trPr>
        <w:tc>
          <w:tcPr>
            <w:tcW w:w="1075" w:type="dxa"/>
            <w:vAlign w:val="center"/>
          </w:tcPr>
          <w:p w:rsidR="0036164B" w:rsidRDefault="00E463B4">
            <w:pPr>
              <w:jc w:val="center"/>
            </w:pPr>
            <w:r>
              <w:rPr>
                <w:color w:val="000000"/>
                <w:sz w:val="24"/>
              </w:rPr>
              <w:t>4</w:t>
            </w:r>
          </w:p>
        </w:tc>
        <w:tc>
          <w:tcPr>
            <w:tcW w:w="1533" w:type="dxa"/>
            <w:vAlign w:val="center"/>
          </w:tcPr>
          <w:p w:rsidR="0036164B" w:rsidRDefault="00E463B4">
            <w:pPr>
              <w:jc w:val="center"/>
            </w:pPr>
            <w:r>
              <w:rPr>
                <w:color w:val="000000"/>
                <w:sz w:val="24"/>
              </w:rPr>
              <w:t>101652045</w:t>
            </w:r>
          </w:p>
        </w:tc>
        <w:tc>
          <w:tcPr>
            <w:tcW w:w="1533" w:type="dxa"/>
            <w:vAlign w:val="center"/>
          </w:tcPr>
          <w:p w:rsidR="0036164B" w:rsidRDefault="00E463B4">
            <w:pPr>
              <w:jc w:val="center"/>
            </w:pPr>
            <w:r>
              <w:rPr>
                <w:color w:val="000000"/>
                <w:sz w:val="24"/>
              </w:rPr>
              <w:t>16</w:t>
            </w:r>
            <w:r>
              <w:rPr>
                <w:color w:val="000000"/>
                <w:sz w:val="24"/>
              </w:rPr>
              <w:t>许继</w:t>
            </w:r>
            <w:r>
              <w:rPr>
                <w:color w:val="000000"/>
                <w:sz w:val="24"/>
              </w:rPr>
              <w:t>MTN001</w:t>
            </w:r>
          </w:p>
        </w:tc>
        <w:tc>
          <w:tcPr>
            <w:tcW w:w="1394" w:type="dxa"/>
            <w:vAlign w:val="center"/>
          </w:tcPr>
          <w:p w:rsidR="0036164B" w:rsidRDefault="00E463B4">
            <w:pPr>
              <w:jc w:val="right"/>
            </w:pPr>
            <w:r>
              <w:rPr>
                <w:color w:val="000000"/>
                <w:sz w:val="24"/>
              </w:rPr>
              <w:t>400,000</w:t>
            </w:r>
          </w:p>
        </w:tc>
        <w:tc>
          <w:tcPr>
            <w:tcW w:w="1944" w:type="dxa"/>
            <w:vAlign w:val="center"/>
          </w:tcPr>
          <w:p w:rsidR="0036164B" w:rsidRDefault="00E463B4">
            <w:pPr>
              <w:jc w:val="right"/>
            </w:pPr>
            <w:r>
              <w:rPr>
                <w:color w:val="000000"/>
                <w:sz w:val="24"/>
              </w:rPr>
              <w:t>38,440,000.00</w:t>
            </w:r>
          </w:p>
        </w:tc>
        <w:tc>
          <w:tcPr>
            <w:tcW w:w="1389" w:type="dxa"/>
            <w:vAlign w:val="center"/>
          </w:tcPr>
          <w:p w:rsidR="0036164B" w:rsidRDefault="00E463B4">
            <w:pPr>
              <w:jc w:val="right"/>
            </w:pPr>
            <w:r>
              <w:rPr>
                <w:color w:val="000000"/>
                <w:sz w:val="24"/>
              </w:rPr>
              <w:t>7.09</w:t>
            </w:r>
          </w:p>
        </w:tc>
      </w:tr>
      <w:tr w:rsidR="0036164B">
        <w:trPr>
          <w:jc w:val="center"/>
        </w:trPr>
        <w:tc>
          <w:tcPr>
            <w:tcW w:w="1075" w:type="dxa"/>
            <w:vAlign w:val="center"/>
          </w:tcPr>
          <w:p w:rsidR="0036164B" w:rsidRDefault="00E463B4">
            <w:pPr>
              <w:jc w:val="center"/>
            </w:pPr>
            <w:r>
              <w:rPr>
                <w:color w:val="000000"/>
                <w:sz w:val="24"/>
              </w:rPr>
              <w:t>5</w:t>
            </w:r>
          </w:p>
        </w:tc>
        <w:tc>
          <w:tcPr>
            <w:tcW w:w="1533" w:type="dxa"/>
            <w:vAlign w:val="center"/>
          </w:tcPr>
          <w:p w:rsidR="0036164B" w:rsidRDefault="00E463B4">
            <w:pPr>
              <w:jc w:val="center"/>
            </w:pPr>
            <w:r>
              <w:rPr>
                <w:color w:val="000000"/>
                <w:sz w:val="24"/>
              </w:rPr>
              <w:t>101456057</w:t>
            </w:r>
          </w:p>
        </w:tc>
        <w:tc>
          <w:tcPr>
            <w:tcW w:w="1533" w:type="dxa"/>
            <w:vAlign w:val="center"/>
          </w:tcPr>
          <w:p w:rsidR="0036164B" w:rsidRDefault="00E463B4">
            <w:pPr>
              <w:jc w:val="center"/>
            </w:pPr>
            <w:r>
              <w:rPr>
                <w:color w:val="000000"/>
                <w:sz w:val="24"/>
              </w:rPr>
              <w:t>14</w:t>
            </w:r>
            <w:r>
              <w:rPr>
                <w:color w:val="000000"/>
                <w:sz w:val="24"/>
              </w:rPr>
              <w:t>榕交建</w:t>
            </w:r>
            <w:r>
              <w:rPr>
                <w:color w:val="000000"/>
                <w:sz w:val="24"/>
              </w:rPr>
              <w:t>MTN001</w:t>
            </w:r>
          </w:p>
        </w:tc>
        <w:tc>
          <w:tcPr>
            <w:tcW w:w="1394" w:type="dxa"/>
            <w:vAlign w:val="center"/>
          </w:tcPr>
          <w:p w:rsidR="0036164B" w:rsidRDefault="00E463B4">
            <w:pPr>
              <w:jc w:val="right"/>
            </w:pPr>
            <w:r>
              <w:rPr>
                <w:color w:val="000000"/>
                <w:sz w:val="24"/>
              </w:rPr>
              <w:t>300,000</w:t>
            </w:r>
          </w:p>
        </w:tc>
        <w:tc>
          <w:tcPr>
            <w:tcW w:w="1944" w:type="dxa"/>
            <w:vAlign w:val="center"/>
          </w:tcPr>
          <w:p w:rsidR="0036164B" w:rsidRDefault="00E463B4">
            <w:pPr>
              <w:jc w:val="right"/>
            </w:pPr>
            <w:r>
              <w:rPr>
                <w:color w:val="000000"/>
                <w:sz w:val="24"/>
              </w:rPr>
              <w:t>30,327,000.00</w:t>
            </w:r>
          </w:p>
        </w:tc>
        <w:tc>
          <w:tcPr>
            <w:tcW w:w="1389" w:type="dxa"/>
            <w:vAlign w:val="center"/>
          </w:tcPr>
          <w:p w:rsidR="0036164B" w:rsidRDefault="00E463B4">
            <w:pPr>
              <w:jc w:val="right"/>
            </w:pPr>
            <w:r>
              <w:rPr>
                <w:color w:val="000000"/>
                <w:sz w:val="24"/>
              </w:rPr>
              <w:t>5.60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13,898,133.89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13,898,133.89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524,338,202.81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2,881.00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524,337,984.13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2,661.00</w:t>
            </w:r>
          </w:p>
        </w:tc>
      </w:tr>
    </w:tbl>
    <w:p w:rsidR="0036164B" w:rsidRDefault="00E463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982F6F" w:rsidRPr="00144883" w:rsidRDefault="00982F6F" w:rsidP="00982F6F">
      <w:pPr>
        <w:spacing w:line="288" w:lineRule="auto"/>
        <w:jc w:val="left"/>
        <w:rPr>
          <w:sz w:val="24"/>
        </w:rPr>
      </w:pPr>
      <w:r w:rsidRPr="00144883">
        <w:rPr>
          <w:b/>
          <w:sz w:val="24"/>
        </w:rPr>
        <w:t xml:space="preserve">7.1 </w:t>
      </w:r>
      <w:r w:rsidRPr="00144883">
        <w:rPr>
          <w:rFonts w:hAnsi="宋体" w:hint="eastAsia"/>
          <w:b/>
          <w:sz w:val="24"/>
        </w:rPr>
        <w:t>基金管理人持有本基金份额变动情况</w:t>
      </w:r>
    </w:p>
    <w:p w:rsidR="00982F6F" w:rsidRPr="00144883" w:rsidRDefault="00982F6F" w:rsidP="00982F6F">
      <w:pPr>
        <w:autoSpaceDE w:val="0"/>
        <w:autoSpaceDN w:val="0"/>
        <w:adjustRightInd w:val="0"/>
        <w:spacing w:before="29" w:line="288" w:lineRule="auto"/>
        <w:jc w:val="left"/>
        <w:rPr>
          <w:color w:val="000000"/>
          <w:sz w:val="24"/>
        </w:rPr>
      </w:pPr>
      <w:r w:rsidRPr="00144883">
        <w:rPr>
          <w:rFonts w:hint="eastAsia"/>
          <w:color w:val="000000"/>
          <w:sz w:val="24"/>
        </w:rPr>
        <w:t>本报告期内未发生基金管理人运用固有资金投资本基金的情况。</w:t>
      </w:r>
    </w:p>
    <w:p w:rsidR="00982F6F" w:rsidRPr="00144883" w:rsidRDefault="00982F6F" w:rsidP="00982F6F">
      <w:pPr>
        <w:autoSpaceDE w:val="0"/>
        <w:autoSpaceDN w:val="0"/>
        <w:adjustRightInd w:val="0"/>
        <w:spacing w:before="29" w:line="288" w:lineRule="auto"/>
        <w:jc w:val="left"/>
        <w:rPr>
          <w:color w:val="000000"/>
          <w:sz w:val="24"/>
        </w:rPr>
      </w:pPr>
    </w:p>
    <w:p w:rsidR="00982F6F" w:rsidRPr="00144883" w:rsidRDefault="00982F6F" w:rsidP="00982F6F">
      <w:pPr>
        <w:autoSpaceDE w:val="0"/>
        <w:autoSpaceDN w:val="0"/>
        <w:adjustRightInd w:val="0"/>
        <w:spacing w:before="29" w:line="288" w:lineRule="auto"/>
        <w:jc w:val="left"/>
        <w:rPr>
          <w:b/>
          <w:color w:val="000000"/>
          <w:sz w:val="24"/>
        </w:rPr>
      </w:pPr>
      <w:r w:rsidRPr="00144883">
        <w:rPr>
          <w:b/>
          <w:sz w:val="24"/>
        </w:rPr>
        <w:t xml:space="preserve">7.2 </w:t>
      </w:r>
      <w:r w:rsidRPr="00144883">
        <w:rPr>
          <w:rFonts w:hint="eastAsia"/>
          <w:b/>
          <w:sz w:val="24"/>
        </w:rPr>
        <w:t>基金管理人运用固有资金投资本基金交易明细</w:t>
      </w:r>
    </w:p>
    <w:p w:rsidR="00982F6F" w:rsidRDefault="00982F6F" w:rsidP="00982F6F">
      <w:pPr>
        <w:autoSpaceDE w:val="0"/>
        <w:autoSpaceDN w:val="0"/>
        <w:adjustRightInd w:val="0"/>
        <w:spacing w:before="29" w:line="288" w:lineRule="auto"/>
        <w:jc w:val="left"/>
        <w:rPr>
          <w:rFonts w:eastAsiaTheme="minorEastAsia"/>
          <w:color w:val="000000"/>
          <w:sz w:val="24"/>
        </w:rPr>
      </w:pPr>
      <w:r w:rsidRPr="00144883">
        <w:rPr>
          <w:rFonts w:eastAsiaTheme="minorEastAsia" w:hint="eastAsia"/>
          <w:color w:val="000000"/>
          <w:sz w:val="24"/>
        </w:rPr>
        <w:t>本基金管理人本报告期内未进行本基金的申购、赎回、红利再投等。</w:t>
      </w:r>
    </w:p>
    <w:p w:rsidR="00F2646E" w:rsidRPr="002C55A0" w:rsidRDefault="00F2646E" w:rsidP="007C14DF">
      <w:pPr>
        <w:autoSpaceDE w:val="0"/>
        <w:autoSpaceDN w:val="0"/>
        <w:adjustRightInd w:val="0"/>
        <w:spacing w:before="29" w:line="288" w:lineRule="auto"/>
        <w:jc w:val="left"/>
        <w:rPr>
          <w:rFonts w:eastAsiaTheme="minorEastAsia"/>
          <w:color w:val="000000"/>
          <w:sz w:val="24"/>
        </w:rPr>
      </w:pPr>
    </w:p>
    <w:p w:rsidR="00ED0E09" w:rsidRPr="00144883" w:rsidRDefault="00ED0E09" w:rsidP="00144883">
      <w:pPr>
        <w:pStyle w:val="1"/>
        <w:tabs>
          <w:tab w:val="center" w:pos="4156"/>
          <w:tab w:val="right" w:pos="8312"/>
        </w:tabs>
        <w:spacing w:beforeLines="100" w:before="312" w:afterLines="100" w:after="312" w:line="288" w:lineRule="auto"/>
        <w:jc w:val="center"/>
        <w:rPr>
          <w:color w:val="000000"/>
          <w:kern w:val="0"/>
          <w:sz w:val="24"/>
          <w:szCs w:val="24"/>
        </w:rPr>
      </w:pPr>
      <w:r w:rsidRPr="00144883">
        <w:rPr>
          <w:color w:val="000000"/>
          <w:kern w:val="0"/>
          <w:sz w:val="24"/>
          <w:szCs w:val="24"/>
        </w:rPr>
        <w:t xml:space="preserve">§8 </w:t>
      </w:r>
      <w:r w:rsidRPr="00144883">
        <w:rPr>
          <w:rFonts w:hint="eastAsia"/>
          <w:color w:val="000000"/>
          <w:kern w:val="0"/>
          <w:sz w:val="24"/>
          <w:szCs w:val="24"/>
        </w:rPr>
        <w:t>影响投资者决策的其他重要信息</w:t>
      </w:r>
      <w:bookmarkStart w:id="0" w:name="_GoBack"/>
      <w:bookmarkEnd w:id="0"/>
    </w:p>
    <w:p w:rsidR="00ED0E09" w:rsidRPr="00144883" w:rsidRDefault="00ED0E09" w:rsidP="00144883">
      <w:pPr>
        <w:spacing w:line="288" w:lineRule="auto"/>
        <w:jc w:val="left"/>
        <w:rPr>
          <w:b/>
          <w:sz w:val="24"/>
        </w:rPr>
      </w:pPr>
      <w:r w:rsidRPr="00144883">
        <w:rPr>
          <w:b/>
          <w:sz w:val="24"/>
        </w:rPr>
        <w:t xml:space="preserve">8.1 </w:t>
      </w:r>
      <w:r w:rsidRPr="00144883">
        <w:rPr>
          <w:rFonts w:hint="eastAsia"/>
          <w:b/>
          <w:sz w:val="24"/>
        </w:rPr>
        <w:t>报告期内单一投资者持有基金份额比例达到或超过</w:t>
      </w:r>
      <w:r w:rsidRPr="00144883">
        <w:rPr>
          <w:b/>
          <w:sz w:val="24"/>
        </w:rPr>
        <w:t>20%</w:t>
      </w:r>
      <w:r w:rsidRPr="00144883">
        <w:rPr>
          <w:rFonts w:hint="eastAsia"/>
          <w:b/>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6164B">
        <w:tc>
          <w:tcPr>
            <w:tcW w:w="992" w:type="dxa"/>
            <w:vMerge w:val="restart"/>
          </w:tcPr>
          <w:p w:rsidR="0036164B" w:rsidRDefault="0036164B"/>
          <w:p w:rsidR="0036164B" w:rsidRDefault="00E463B4">
            <w:r>
              <w:rPr>
                <w:rFonts w:ascii="宋体" w:hAnsi="宋体" w:hint="eastAsia"/>
                <w:bCs/>
                <w:color w:val="000000"/>
                <w:kern w:val="0"/>
                <w:szCs w:val="21"/>
              </w:rPr>
              <w:t>机构</w:t>
            </w:r>
          </w:p>
        </w:tc>
        <w:tc>
          <w:tcPr>
            <w:tcW w:w="991" w:type="dxa"/>
            <w:vAlign w:val="center"/>
          </w:tcPr>
          <w:p w:rsidR="0036164B" w:rsidRDefault="00E463B4">
            <w:pPr>
              <w:jc w:val="center"/>
            </w:pPr>
            <w:r>
              <w:rPr>
                <w:rFonts w:ascii="宋体" w:hAnsi="宋体" w:hint="eastAsia"/>
                <w:color w:val="000000"/>
                <w:kern w:val="0"/>
                <w:szCs w:val="21"/>
              </w:rPr>
              <w:t>1</w:t>
            </w:r>
          </w:p>
        </w:tc>
        <w:tc>
          <w:tcPr>
            <w:tcW w:w="1843" w:type="dxa"/>
            <w:vAlign w:val="center"/>
          </w:tcPr>
          <w:p w:rsidR="0036164B" w:rsidRDefault="00E463B4">
            <w:pPr>
              <w:jc w:val="center"/>
            </w:pPr>
            <w:r>
              <w:rPr>
                <w:rFonts w:ascii="宋体" w:hAnsi="宋体" w:hint="eastAsia"/>
                <w:color w:val="000000"/>
                <w:kern w:val="0"/>
                <w:szCs w:val="21"/>
              </w:rPr>
              <w:t>2017/10/1-2017/12/31</w:t>
            </w:r>
          </w:p>
        </w:tc>
        <w:tc>
          <w:tcPr>
            <w:tcW w:w="851" w:type="dxa"/>
            <w:vAlign w:val="center"/>
          </w:tcPr>
          <w:p w:rsidR="0036164B" w:rsidRDefault="00E463B4">
            <w:pPr>
              <w:jc w:val="center"/>
            </w:pPr>
            <w:r>
              <w:rPr>
                <w:rFonts w:ascii="宋体" w:hAnsi="宋体" w:hint="eastAsia"/>
                <w:color w:val="000000"/>
                <w:kern w:val="0"/>
                <w:szCs w:val="21"/>
              </w:rPr>
              <w:t>524,334,266.68</w:t>
            </w:r>
          </w:p>
        </w:tc>
        <w:tc>
          <w:tcPr>
            <w:tcW w:w="850" w:type="dxa"/>
            <w:vAlign w:val="center"/>
          </w:tcPr>
          <w:p w:rsidR="0036164B" w:rsidRDefault="00E463B4">
            <w:pPr>
              <w:jc w:val="center"/>
            </w:pPr>
            <w:r>
              <w:rPr>
                <w:rFonts w:ascii="宋体" w:hAnsi="宋体" w:hint="eastAsia"/>
                <w:color w:val="000000"/>
                <w:kern w:val="0"/>
                <w:szCs w:val="21"/>
              </w:rPr>
              <w:t>-</w:t>
            </w:r>
          </w:p>
        </w:tc>
        <w:tc>
          <w:tcPr>
            <w:tcW w:w="1134" w:type="dxa"/>
            <w:vAlign w:val="center"/>
          </w:tcPr>
          <w:p w:rsidR="0036164B" w:rsidRDefault="00E463B4">
            <w:pPr>
              <w:jc w:val="center"/>
            </w:pPr>
            <w:r>
              <w:rPr>
                <w:rFonts w:ascii="宋体" w:hAnsi="宋体" w:hint="eastAsia"/>
                <w:color w:val="000000"/>
                <w:kern w:val="0"/>
                <w:szCs w:val="21"/>
              </w:rPr>
              <w:t>-</w:t>
            </w:r>
          </w:p>
        </w:tc>
        <w:tc>
          <w:tcPr>
            <w:tcW w:w="1419" w:type="dxa"/>
            <w:vAlign w:val="center"/>
          </w:tcPr>
          <w:p w:rsidR="0036164B" w:rsidRDefault="00E463B4">
            <w:pPr>
              <w:jc w:val="center"/>
            </w:pPr>
            <w:r>
              <w:rPr>
                <w:rFonts w:ascii="宋体" w:hAnsi="宋体" w:hint="eastAsia"/>
                <w:color w:val="000000"/>
                <w:kern w:val="0"/>
                <w:szCs w:val="21"/>
              </w:rPr>
              <w:t>524,334,266.68</w:t>
            </w:r>
          </w:p>
        </w:tc>
        <w:tc>
          <w:tcPr>
            <w:tcW w:w="1130" w:type="dxa"/>
            <w:vAlign w:val="center"/>
          </w:tcPr>
          <w:p w:rsidR="0036164B" w:rsidRDefault="00E463B4">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6164B" w:rsidRDefault="00E463B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CF" w:rsidRDefault="00A56FCF">
      <w:r>
        <w:separator/>
      </w:r>
    </w:p>
  </w:endnote>
  <w:endnote w:type="continuationSeparator" w:id="0">
    <w:p w:rsidR="00A56FCF" w:rsidRDefault="00A5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144883">
      <w:rPr>
        <w:noProof/>
        <w:kern w:val="0"/>
        <w:szCs w:val="21"/>
      </w:rPr>
      <w:t>14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144883">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CF" w:rsidRDefault="00A56FCF">
      <w:r>
        <w:separator/>
      </w:r>
    </w:p>
  </w:footnote>
  <w:footnote w:type="continuationSeparator" w:id="0">
    <w:p w:rsidR="00A56FCF" w:rsidRDefault="00A56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A56FC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4F56"/>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4883"/>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55A0"/>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164B"/>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2802"/>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2F6F"/>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6FCF"/>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46DF"/>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37"/>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463B4"/>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CD9CA7F-6C2A-4DD7-92A8-389F70C5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F837-0452-48A2-8F73-347F88E2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14</Pages>
  <Words>1093</Words>
  <Characters>6235</Characters>
  <Application>Microsoft Office Word</Application>
  <DocSecurity>0</DocSecurity>
  <Lines>51</Lines>
  <Paragraphs>14</Paragraphs>
  <ScaleCrop>false</ScaleCrop>
  <Company>TRT. Ltd. Co.</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374</cp:revision>
  <cp:lastPrinted>2007-07-19T00:46:00Z</cp:lastPrinted>
  <dcterms:created xsi:type="dcterms:W3CDTF">2014-01-17T06:19:00Z</dcterms:created>
  <dcterms:modified xsi:type="dcterms:W3CDTF">2018-01-18T01:40:00Z</dcterms:modified>
</cp:coreProperties>
</file>