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交银施罗德新生活力灵活配置混合型证券投资基金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B7CD6" w:rsidRDefault="0054563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B7CD6" w:rsidRDefault="00545633">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B7CD6" w:rsidRDefault="0054563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B7CD6" w:rsidRDefault="0054563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B7CD6" w:rsidRDefault="0054563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11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1,146,027,550.05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w:t>
            </w:r>
            <w:r w:rsidRPr="00414345">
              <w:rPr>
                <w:color w:val="000000"/>
                <w:kern w:val="0"/>
                <w:sz w:val="24"/>
                <w:szCs w:val="24"/>
              </w:rPr>
              <w:lastRenderedPageBreak/>
              <w:t>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45633" w:rsidRPr="00414345" w:rsidTr="0054563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45633" w:rsidRPr="00414345" w:rsidTr="005456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16,074,280.48</w:t>
            </w:r>
          </w:p>
        </w:tc>
      </w:tr>
      <w:tr w:rsidR="00545633" w:rsidRPr="00414345" w:rsidTr="005456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38,477,762.03</w:t>
            </w:r>
          </w:p>
        </w:tc>
      </w:tr>
      <w:tr w:rsidR="00545633" w:rsidRPr="00414345" w:rsidTr="005456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0.0501</w:t>
            </w:r>
          </w:p>
        </w:tc>
      </w:tr>
      <w:tr w:rsidR="00545633" w:rsidRPr="00414345" w:rsidTr="005456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1,640,447,911.03</w:t>
            </w:r>
          </w:p>
        </w:tc>
      </w:tr>
      <w:tr w:rsidR="00545633" w:rsidRPr="00414345" w:rsidTr="0054563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1.431</w:t>
            </w:r>
          </w:p>
        </w:tc>
      </w:tr>
    </w:tbl>
    <w:p w:rsidR="007B7CD6" w:rsidRDefault="0054563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B7CD6">
        <w:trPr>
          <w:jc w:val="center"/>
        </w:trPr>
        <w:tc>
          <w:tcPr>
            <w:tcW w:w="1701" w:type="dxa"/>
            <w:vAlign w:val="center"/>
          </w:tcPr>
          <w:p w:rsidR="007B7CD6" w:rsidRDefault="00545633">
            <w:pPr>
              <w:jc w:val="left"/>
            </w:pPr>
            <w:r>
              <w:rPr>
                <w:color w:val="000000"/>
                <w:sz w:val="24"/>
                <w:szCs w:val="24"/>
              </w:rPr>
              <w:lastRenderedPageBreak/>
              <w:t>过去三个月</w:t>
            </w:r>
          </w:p>
        </w:tc>
        <w:tc>
          <w:tcPr>
            <w:tcW w:w="1045" w:type="dxa"/>
            <w:vAlign w:val="center"/>
          </w:tcPr>
          <w:p w:rsidR="007B7CD6" w:rsidRDefault="00545633">
            <w:pPr>
              <w:jc w:val="center"/>
            </w:pPr>
            <w:r>
              <w:rPr>
                <w:color w:val="000000"/>
                <w:sz w:val="24"/>
                <w:szCs w:val="24"/>
              </w:rPr>
              <w:t>12.50%</w:t>
            </w:r>
          </w:p>
        </w:tc>
        <w:tc>
          <w:tcPr>
            <w:tcW w:w="1344" w:type="dxa"/>
            <w:vAlign w:val="center"/>
          </w:tcPr>
          <w:p w:rsidR="007B7CD6" w:rsidRDefault="00545633">
            <w:pPr>
              <w:jc w:val="center"/>
            </w:pPr>
            <w:r>
              <w:rPr>
                <w:color w:val="000000"/>
                <w:sz w:val="24"/>
                <w:szCs w:val="24"/>
              </w:rPr>
              <w:t>1.27%</w:t>
            </w:r>
          </w:p>
        </w:tc>
        <w:tc>
          <w:tcPr>
            <w:tcW w:w="1194" w:type="dxa"/>
            <w:vAlign w:val="center"/>
          </w:tcPr>
          <w:p w:rsidR="007B7CD6" w:rsidRDefault="00545633">
            <w:pPr>
              <w:jc w:val="center"/>
            </w:pPr>
            <w:r>
              <w:rPr>
                <w:color w:val="000000"/>
                <w:sz w:val="24"/>
                <w:szCs w:val="24"/>
              </w:rPr>
              <w:t>2.86%</w:t>
            </w:r>
          </w:p>
        </w:tc>
        <w:tc>
          <w:tcPr>
            <w:tcW w:w="1492" w:type="dxa"/>
            <w:vAlign w:val="center"/>
          </w:tcPr>
          <w:p w:rsidR="007B7CD6" w:rsidRDefault="00545633">
            <w:pPr>
              <w:jc w:val="center"/>
            </w:pPr>
            <w:r>
              <w:rPr>
                <w:color w:val="000000"/>
                <w:sz w:val="24"/>
                <w:szCs w:val="24"/>
              </w:rPr>
              <w:t>0.49%</w:t>
            </w:r>
          </w:p>
        </w:tc>
        <w:tc>
          <w:tcPr>
            <w:tcW w:w="1194" w:type="dxa"/>
            <w:vAlign w:val="center"/>
          </w:tcPr>
          <w:p w:rsidR="007B7CD6" w:rsidRDefault="00545633">
            <w:pPr>
              <w:jc w:val="center"/>
            </w:pPr>
            <w:r>
              <w:rPr>
                <w:color w:val="000000"/>
                <w:sz w:val="24"/>
                <w:szCs w:val="24"/>
              </w:rPr>
              <w:t>9.64%</w:t>
            </w:r>
          </w:p>
        </w:tc>
        <w:tc>
          <w:tcPr>
            <w:tcW w:w="898" w:type="dxa"/>
            <w:vAlign w:val="center"/>
          </w:tcPr>
          <w:p w:rsidR="007B7CD6" w:rsidRDefault="00545633">
            <w:pPr>
              <w:jc w:val="center"/>
            </w:pPr>
            <w:r>
              <w:rPr>
                <w:color w:val="000000"/>
                <w:sz w:val="24"/>
                <w:szCs w:val="24"/>
              </w:rPr>
              <w:t>0.78%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交银施罗德新生活力灵活配置混合型证券投资基金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11</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B7CD6">
        <w:trPr>
          <w:jc w:val="center"/>
        </w:trPr>
        <w:tc>
          <w:tcPr>
            <w:tcW w:w="846" w:type="dxa"/>
            <w:vAlign w:val="center"/>
          </w:tcPr>
          <w:p w:rsidR="007B7CD6" w:rsidRDefault="00545633">
            <w:pPr>
              <w:jc w:val="center"/>
            </w:pPr>
            <w:r>
              <w:rPr>
                <w:color w:val="000000"/>
                <w:sz w:val="24"/>
                <w:szCs w:val="24"/>
              </w:rPr>
              <w:t>杨浩</w:t>
            </w:r>
          </w:p>
        </w:tc>
        <w:tc>
          <w:tcPr>
            <w:tcW w:w="845" w:type="dxa"/>
            <w:vAlign w:val="center"/>
          </w:tcPr>
          <w:p w:rsidR="007B7CD6" w:rsidRDefault="00545633">
            <w:pPr>
              <w:jc w:val="center"/>
            </w:pPr>
            <w:r>
              <w:rPr>
                <w:color w:val="000000"/>
                <w:sz w:val="24"/>
                <w:szCs w:val="24"/>
              </w:rPr>
              <w:t>交银定期支付双息平衡混合、</w:t>
            </w:r>
            <w:r>
              <w:rPr>
                <w:color w:val="000000"/>
                <w:sz w:val="24"/>
                <w:szCs w:val="24"/>
              </w:rPr>
              <w:lastRenderedPageBreak/>
              <w:t>交银新生活力灵活配置混合的基金经理</w:t>
            </w:r>
          </w:p>
        </w:tc>
        <w:tc>
          <w:tcPr>
            <w:tcW w:w="1549" w:type="dxa"/>
            <w:vAlign w:val="center"/>
          </w:tcPr>
          <w:p w:rsidR="007B7CD6" w:rsidRDefault="00545633">
            <w:pPr>
              <w:jc w:val="center"/>
            </w:pPr>
            <w:r>
              <w:rPr>
                <w:color w:val="000000"/>
                <w:sz w:val="24"/>
                <w:szCs w:val="24"/>
              </w:rPr>
              <w:lastRenderedPageBreak/>
              <w:t>2016-11-11</w:t>
            </w:r>
          </w:p>
        </w:tc>
        <w:tc>
          <w:tcPr>
            <w:tcW w:w="1548" w:type="dxa"/>
            <w:vAlign w:val="center"/>
          </w:tcPr>
          <w:p w:rsidR="007B7CD6" w:rsidRDefault="00545633">
            <w:pPr>
              <w:jc w:val="center"/>
            </w:pPr>
            <w:r>
              <w:rPr>
                <w:color w:val="000000"/>
                <w:sz w:val="24"/>
                <w:szCs w:val="24"/>
              </w:rPr>
              <w:t>-</w:t>
            </w:r>
          </w:p>
        </w:tc>
        <w:tc>
          <w:tcPr>
            <w:tcW w:w="1407" w:type="dxa"/>
            <w:vAlign w:val="center"/>
          </w:tcPr>
          <w:p w:rsidR="007B7CD6" w:rsidRDefault="00545633">
            <w:pPr>
              <w:jc w:val="center"/>
            </w:pPr>
            <w:r>
              <w:rPr>
                <w:color w:val="000000"/>
                <w:sz w:val="24"/>
                <w:szCs w:val="24"/>
              </w:rPr>
              <w:t>7</w:t>
            </w:r>
            <w:r>
              <w:rPr>
                <w:color w:val="000000"/>
                <w:sz w:val="24"/>
                <w:szCs w:val="24"/>
              </w:rPr>
              <w:t>年</w:t>
            </w:r>
          </w:p>
        </w:tc>
        <w:tc>
          <w:tcPr>
            <w:tcW w:w="2673" w:type="dxa"/>
            <w:vAlign w:val="center"/>
          </w:tcPr>
          <w:p w:rsidR="007B7CD6" w:rsidRDefault="00545633">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B7CD6" w:rsidRDefault="0054563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B7CD6" w:rsidRDefault="0054563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B7CD6" w:rsidRDefault="0054563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B7CD6" w:rsidRDefault="00545633">
      <w:pPr>
        <w:spacing w:before="29" w:line="288" w:lineRule="auto"/>
        <w:ind w:firstLineChars="200" w:firstLine="480"/>
        <w:rPr>
          <w:color w:val="000000"/>
          <w:sz w:val="24"/>
          <w:szCs w:val="24"/>
        </w:rPr>
      </w:pPr>
      <w:r>
        <w:rPr>
          <w:color w:val="000000"/>
          <w:sz w:val="24"/>
          <w:szCs w:val="24"/>
        </w:rPr>
        <w:t>2017</w:t>
      </w:r>
      <w:r>
        <w:rPr>
          <w:color w:val="000000"/>
          <w:sz w:val="24"/>
          <w:szCs w:val="24"/>
        </w:rPr>
        <w:t>年第四季度，在资金收紧监管增强背景下，</w:t>
      </w:r>
      <w:r>
        <w:rPr>
          <w:color w:val="000000"/>
          <w:sz w:val="24"/>
          <w:szCs w:val="24"/>
        </w:rPr>
        <w:t>A</w:t>
      </w:r>
      <w:r>
        <w:rPr>
          <w:color w:val="000000"/>
          <w:sz w:val="24"/>
          <w:szCs w:val="24"/>
        </w:rPr>
        <w:t>股市场出现年内较大波动，但就整体而言，市场仍然延续着对行业龙头的偏好，行业结构与公司质地是非常重要的选股指标。</w:t>
      </w:r>
    </w:p>
    <w:p w:rsidR="007B7CD6" w:rsidRDefault="00545633">
      <w:pPr>
        <w:spacing w:before="29" w:line="288" w:lineRule="auto"/>
        <w:ind w:firstLineChars="200" w:firstLine="480"/>
        <w:rPr>
          <w:color w:val="000000"/>
          <w:sz w:val="24"/>
          <w:szCs w:val="24"/>
        </w:rPr>
      </w:pPr>
      <w:r>
        <w:rPr>
          <w:color w:val="000000"/>
          <w:sz w:val="24"/>
          <w:szCs w:val="24"/>
        </w:rPr>
        <w:t>本基金在第四季度超越业绩比较基准表现，主要是本基金</w:t>
      </w:r>
      <w:r>
        <w:rPr>
          <w:color w:val="000000"/>
          <w:sz w:val="24"/>
          <w:szCs w:val="24"/>
        </w:rPr>
        <w:t>2017</w:t>
      </w:r>
      <w:r>
        <w:rPr>
          <w:color w:val="000000"/>
          <w:sz w:val="24"/>
          <w:szCs w:val="24"/>
        </w:rPr>
        <w:t>年贯穿始终的精选成长股布局在本季度继续表现较好，一方面是以新能源汽车、新型通信网络、高端制造设备、泛半导体、新药研发等为代表的科技创新领域，另一方面是以图书阅读、便利超市、家装、旅行等为代表的消费升级领域。</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在人口红利、房地产红利、互联网用户红利逐步消逝的未来，我们愈发地感受到创新和改革的必要性和迫切性，</w:t>
      </w:r>
      <w:r w:rsidRPr="00414345">
        <w:rPr>
          <w:color w:val="000000"/>
          <w:sz w:val="24"/>
          <w:szCs w:val="24"/>
        </w:rPr>
        <w:t>“</w:t>
      </w:r>
      <w:r w:rsidRPr="00414345">
        <w:rPr>
          <w:color w:val="000000"/>
          <w:sz w:val="24"/>
          <w:szCs w:val="24"/>
        </w:rPr>
        <w:t>补短板</w:t>
      </w:r>
      <w:r w:rsidRPr="00414345">
        <w:rPr>
          <w:color w:val="000000"/>
          <w:sz w:val="24"/>
          <w:szCs w:val="24"/>
        </w:rPr>
        <w:t>”</w:t>
      </w:r>
      <w:r w:rsidRPr="00414345">
        <w:rPr>
          <w:color w:val="000000"/>
          <w:sz w:val="24"/>
          <w:szCs w:val="24"/>
        </w:rPr>
        <w:t>成为供给侧改革中更为重要的部分。而可喜的是，我们观测到经济中这一份创新的力量在越来越坚实和厚重，产业互联网、付费互联网、制造业系统升级都将会迎来突破，我们对成长股的未来保持乐观，始终努力挖掘创新成长领域为持有人精选标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1.431</w:t>
      </w:r>
      <w:r w:rsidRPr="00414345">
        <w:rPr>
          <w:color w:val="000000"/>
          <w:sz w:val="24"/>
          <w:szCs w:val="24"/>
        </w:rPr>
        <w:t>元，本报告期份额净值增长率为</w:t>
      </w:r>
      <w:r w:rsidRPr="00414345">
        <w:rPr>
          <w:color w:val="000000"/>
          <w:sz w:val="24"/>
          <w:szCs w:val="24"/>
        </w:rPr>
        <w:t>12.50%</w:t>
      </w:r>
      <w:r w:rsidRPr="00414345">
        <w:rPr>
          <w:color w:val="000000"/>
          <w:sz w:val="24"/>
          <w:szCs w:val="24"/>
        </w:rPr>
        <w:t>，同期业绩比较基准增长率为</w:t>
      </w:r>
      <w:r w:rsidRPr="00414345">
        <w:rPr>
          <w:color w:val="000000"/>
          <w:sz w:val="24"/>
          <w:szCs w:val="24"/>
        </w:rPr>
        <w:t>2.86%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1,485,887,637.18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1,485,887,637.18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193,758,108.64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11.50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5,329,667.68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1,684,975,413.50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637,183,632.56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106,481,966.40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162,306,612.50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BA690C"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BA690C" w:rsidRPr="00414345" w:rsidRDefault="00BA690C" w:rsidP="00BA690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BA690C" w:rsidRPr="00414345" w:rsidRDefault="00BA690C" w:rsidP="00BA690C">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BA690C" w:rsidRPr="00BA690C" w:rsidRDefault="00BA690C" w:rsidP="00BA690C">
            <w:pPr>
              <w:spacing w:before="29" w:line="288" w:lineRule="auto"/>
              <w:jc w:val="right"/>
              <w:rPr>
                <w:sz w:val="24"/>
                <w:szCs w:val="24"/>
              </w:rPr>
            </w:pPr>
            <w:r w:rsidRPr="00036E87">
              <w:rPr>
                <w:sz w:val="24"/>
                <w:szCs w:val="24"/>
              </w:rPr>
              <w:t>189,686,634.85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BA690C" w:rsidRPr="00BA690C" w:rsidRDefault="00BA690C" w:rsidP="00BA690C">
            <w:pPr>
              <w:spacing w:before="29" w:line="288" w:lineRule="auto"/>
              <w:jc w:val="right"/>
              <w:rPr>
                <w:sz w:val="24"/>
                <w:szCs w:val="24"/>
              </w:rPr>
            </w:pPr>
            <w:r w:rsidRPr="00036E87">
              <w:rPr>
                <w:sz w:val="24"/>
                <w:szCs w:val="24"/>
              </w:rPr>
              <w:t>11.56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40,729,095.14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36,035,780.10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97,733,349.12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BA690C"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BA690C" w:rsidRPr="00414345" w:rsidRDefault="00BA690C" w:rsidP="00BA690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BA690C" w:rsidRPr="00414345" w:rsidRDefault="00BA690C" w:rsidP="00BA690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BA690C" w:rsidRPr="00BA690C" w:rsidRDefault="00BA690C" w:rsidP="00BA690C">
            <w:pPr>
              <w:spacing w:before="29" w:line="288" w:lineRule="auto"/>
              <w:jc w:val="right"/>
              <w:rPr>
                <w:sz w:val="24"/>
                <w:szCs w:val="24"/>
              </w:rPr>
            </w:pPr>
            <w:r w:rsidRPr="00036E87">
              <w:rPr>
                <w:sz w:val="24"/>
                <w:szCs w:val="24"/>
              </w:rPr>
              <w:t>32,323.20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BA690C" w:rsidRPr="00BA690C" w:rsidRDefault="00BA690C" w:rsidP="00BA690C">
            <w:pPr>
              <w:spacing w:before="29" w:line="288" w:lineRule="auto"/>
              <w:jc w:val="right"/>
              <w:rPr>
                <w:sz w:val="24"/>
                <w:szCs w:val="24"/>
              </w:rPr>
            </w:pPr>
            <w:r w:rsidRPr="00036E87">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15,702,700.00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199,961,457.35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1,485,887,637.18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90.58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B7CD6">
        <w:trPr>
          <w:jc w:val="center"/>
        </w:trPr>
        <w:tc>
          <w:tcPr>
            <w:tcW w:w="855" w:type="dxa"/>
            <w:vAlign w:val="center"/>
          </w:tcPr>
          <w:p w:rsidR="007B7CD6" w:rsidRDefault="00545633">
            <w:pPr>
              <w:jc w:val="center"/>
            </w:pPr>
            <w:r>
              <w:rPr>
                <w:color w:val="000000"/>
                <w:sz w:val="24"/>
                <w:szCs w:val="24"/>
              </w:rPr>
              <w:t>1</w:t>
            </w:r>
          </w:p>
        </w:tc>
        <w:tc>
          <w:tcPr>
            <w:tcW w:w="1334" w:type="dxa"/>
            <w:vAlign w:val="center"/>
          </w:tcPr>
          <w:p w:rsidR="007B7CD6" w:rsidRDefault="00545633">
            <w:pPr>
              <w:jc w:val="center"/>
            </w:pPr>
            <w:r>
              <w:rPr>
                <w:color w:val="000000"/>
                <w:sz w:val="24"/>
                <w:szCs w:val="24"/>
              </w:rPr>
              <w:t>300413</w:t>
            </w:r>
          </w:p>
        </w:tc>
        <w:tc>
          <w:tcPr>
            <w:tcW w:w="1777" w:type="dxa"/>
            <w:vAlign w:val="center"/>
          </w:tcPr>
          <w:p w:rsidR="007B7CD6" w:rsidRDefault="00545633">
            <w:pPr>
              <w:jc w:val="center"/>
            </w:pPr>
            <w:r>
              <w:rPr>
                <w:color w:val="000000"/>
                <w:sz w:val="24"/>
                <w:szCs w:val="24"/>
              </w:rPr>
              <w:t>快乐购</w:t>
            </w:r>
          </w:p>
        </w:tc>
        <w:tc>
          <w:tcPr>
            <w:tcW w:w="1334" w:type="dxa"/>
            <w:vAlign w:val="center"/>
          </w:tcPr>
          <w:p w:rsidR="007B7CD6" w:rsidRDefault="00545633">
            <w:pPr>
              <w:jc w:val="right"/>
            </w:pPr>
            <w:r>
              <w:rPr>
                <w:color w:val="000000"/>
                <w:sz w:val="24"/>
                <w:szCs w:val="24"/>
              </w:rPr>
              <w:t>4,377,662</w:t>
            </w:r>
          </w:p>
        </w:tc>
        <w:tc>
          <w:tcPr>
            <w:tcW w:w="1924" w:type="dxa"/>
            <w:vAlign w:val="center"/>
          </w:tcPr>
          <w:p w:rsidR="007B7CD6" w:rsidRDefault="00545633">
            <w:pPr>
              <w:jc w:val="right"/>
            </w:pPr>
            <w:r>
              <w:rPr>
                <w:color w:val="000000"/>
                <w:sz w:val="24"/>
                <w:szCs w:val="24"/>
              </w:rPr>
              <w:t>130,673,210.70</w:t>
            </w:r>
          </w:p>
        </w:tc>
        <w:tc>
          <w:tcPr>
            <w:tcW w:w="1644" w:type="dxa"/>
            <w:vAlign w:val="center"/>
          </w:tcPr>
          <w:p w:rsidR="007B7CD6" w:rsidRDefault="00545633">
            <w:pPr>
              <w:jc w:val="right"/>
            </w:pPr>
            <w:r>
              <w:rPr>
                <w:color w:val="000000"/>
                <w:sz w:val="24"/>
                <w:szCs w:val="24"/>
              </w:rPr>
              <w:t>7.97</w:t>
            </w:r>
          </w:p>
        </w:tc>
      </w:tr>
      <w:tr w:rsidR="007B7CD6">
        <w:trPr>
          <w:jc w:val="center"/>
        </w:trPr>
        <w:tc>
          <w:tcPr>
            <w:tcW w:w="855" w:type="dxa"/>
            <w:vAlign w:val="center"/>
          </w:tcPr>
          <w:p w:rsidR="007B7CD6" w:rsidRDefault="00545633">
            <w:pPr>
              <w:jc w:val="center"/>
            </w:pPr>
            <w:r>
              <w:rPr>
                <w:color w:val="000000"/>
                <w:sz w:val="24"/>
                <w:szCs w:val="24"/>
              </w:rPr>
              <w:t>2</w:t>
            </w:r>
          </w:p>
        </w:tc>
        <w:tc>
          <w:tcPr>
            <w:tcW w:w="1334" w:type="dxa"/>
            <w:vAlign w:val="center"/>
          </w:tcPr>
          <w:p w:rsidR="007B7CD6" w:rsidRDefault="00545633">
            <w:pPr>
              <w:jc w:val="center"/>
            </w:pPr>
            <w:r>
              <w:rPr>
                <w:color w:val="000000"/>
                <w:sz w:val="24"/>
                <w:szCs w:val="24"/>
              </w:rPr>
              <w:t>300251</w:t>
            </w:r>
          </w:p>
        </w:tc>
        <w:tc>
          <w:tcPr>
            <w:tcW w:w="1777" w:type="dxa"/>
            <w:vAlign w:val="center"/>
          </w:tcPr>
          <w:p w:rsidR="007B7CD6" w:rsidRDefault="00545633">
            <w:pPr>
              <w:jc w:val="center"/>
            </w:pPr>
            <w:r>
              <w:rPr>
                <w:color w:val="000000"/>
                <w:sz w:val="24"/>
                <w:szCs w:val="24"/>
              </w:rPr>
              <w:t>光线传媒</w:t>
            </w:r>
          </w:p>
        </w:tc>
        <w:tc>
          <w:tcPr>
            <w:tcW w:w="1334" w:type="dxa"/>
            <w:vAlign w:val="center"/>
          </w:tcPr>
          <w:p w:rsidR="007B7CD6" w:rsidRDefault="00545633">
            <w:pPr>
              <w:jc w:val="right"/>
            </w:pPr>
            <w:r>
              <w:rPr>
                <w:color w:val="000000"/>
                <w:sz w:val="24"/>
                <w:szCs w:val="24"/>
              </w:rPr>
              <w:t>10,851,942</w:t>
            </w:r>
          </w:p>
        </w:tc>
        <w:tc>
          <w:tcPr>
            <w:tcW w:w="1924" w:type="dxa"/>
            <w:vAlign w:val="center"/>
          </w:tcPr>
          <w:p w:rsidR="007B7CD6" w:rsidRDefault="00545633">
            <w:pPr>
              <w:jc w:val="right"/>
            </w:pPr>
            <w:r>
              <w:rPr>
                <w:color w:val="000000"/>
                <w:sz w:val="24"/>
                <w:szCs w:val="24"/>
              </w:rPr>
              <w:t>113,402,793.90</w:t>
            </w:r>
          </w:p>
        </w:tc>
        <w:tc>
          <w:tcPr>
            <w:tcW w:w="1644" w:type="dxa"/>
            <w:vAlign w:val="center"/>
          </w:tcPr>
          <w:p w:rsidR="007B7CD6" w:rsidRDefault="00545633">
            <w:pPr>
              <w:jc w:val="right"/>
            </w:pPr>
            <w:r>
              <w:rPr>
                <w:color w:val="000000"/>
                <w:sz w:val="24"/>
                <w:szCs w:val="24"/>
              </w:rPr>
              <w:t>6.91</w:t>
            </w:r>
          </w:p>
        </w:tc>
      </w:tr>
      <w:tr w:rsidR="007B7CD6">
        <w:trPr>
          <w:jc w:val="center"/>
        </w:trPr>
        <w:tc>
          <w:tcPr>
            <w:tcW w:w="855" w:type="dxa"/>
            <w:vAlign w:val="center"/>
          </w:tcPr>
          <w:p w:rsidR="007B7CD6" w:rsidRDefault="00545633">
            <w:pPr>
              <w:jc w:val="center"/>
            </w:pPr>
            <w:r>
              <w:rPr>
                <w:color w:val="000000"/>
                <w:sz w:val="24"/>
                <w:szCs w:val="24"/>
              </w:rPr>
              <w:t>3</w:t>
            </w:r>
          </w:p>
        </w:tc>
        <w:tc>
          <w:tcPr>
            <w:tcW w:w="1334" w:type="dxa"/>
            <w:vAlign w:val="center"/>
          </w:tcPr>
          <w:p w:rsidR="007B7CD6" w:rsidRDefault="00545633">
            <w:pPr>
              <w:jc w:val="center"/>
            </w:pPr>
            <w:r>
              <w:rPr>
                <w:color w:val="000000"/>
                <w:sz w:val="24"/>
                <w:szCs w:val="24"/>
              </w:rPr>
              <w:t>002081</w:t>
            </w:r>
          </w:p>
        </w:tc>
        <w:tc>
          <w:tcPr>
            <w:tcW w:w="1777" w:type="dxa"/>
            <w:vAlign w:val="center"/>
          </w:tcPr>
          <w:p w:rsidR="007B7CD6" w:rsidRDefault="00545633">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7B7CD6" w:rsidRDefault="00545633">
            <w:pPr>
              <w:jc w:val="right"/>
            </w:pPr>
            <w:r>
              <w:rPr>
                <w:color w:val="000000"/>
                <w:sz w:val="24"/>
                <w:szCs w:val="24"/>
              </w:rPr>
              <w:t>6,950,520</w:t>
            </w:r>
          </w:p>
        </w:tc>
        <w:tc>
          <w:tcPr>
            <w:tcW w:w="1924" w:type="dxa"/>
            <w:vAlign w:val="center"/>
          </w:tcPr>
          <w:p w:rsidR="007B7CD6" w:rsidRDefault="00545633">
            <w:pPr>
              <w:jc w:val="right"/>
            </w:pPr>
            <w:r>
              <w:rPr>
                <w:color w:val="000000"/>
                <w:sz w:val="24"/>
                <w:szCs w:val="24"/>
              </w:rPr>
              <w:t>106,481,966.40</w:t>
            </w:r>
          </w:p>
        </w:tc>
        <w:tc>
          <w:tcPr>
            <w:tcW w:w="1644" w:type="dxa"/>
            <w:vAlign w:val="center"/>
          </w:tcPr>
          <w:p w:rsidR="007B7CD6" w:rsidRDefault="00545633">
            <w:pPr>
              <w:jc w:val="right"/>
            </w:pPr>
            <w:r>
              <w:rPr>
                <w:color w:val="000000"/>
                <w:sz w:val="24"/>
                <w:szCs w:val="24"/>
              </w:rPr>
              <w:t>6.49</w:t>
            </w:r>
          </w:p>
        </w:tc>
      </w:tr>
      <w:tr w:rsidR="007B7CD6">
        <w:trPr>
          <w:jc w:val="center"/>
        </w:trPr>
        <w:tc>
          <w:tcPr>
            <w:tcW w:w="855" w:type="dxa"/>
            <w:vAlign w:val="center"/>
          </w:tcPr>
          <w:p w:rsidR="007B7CD6" w:rsidRDefault="00545633">
            <w:pPr>
              <w:jc w:val="center"/>
            </w:pPr>
            <w:r>
              <w:rPr>
                <w:color w:val="000000"/>
                <w:sz w:val="24"/>
                <w:szCs w:val="24"/>
              </w:rPr>
              <w:t>4</w:t>
            </w:r>
          </w:p>
        </w:tc>
        <w:tc>
          <w:tcPr>
            <w:tcW w:w="1334" w:type="dxa"/>
            <w:vAlign w:val="center"/>
          </w:tcPr>
          <w:p w:rsidR="007B7CD6" w:rsidRDefault="00545633">
            <w:pPr>
              <w:jc w:val="center"/>
            </w:pPr>
            <w:r>
              <w:rPr>
                <w:color w:val="000000"/>
                <w:sz w:val="24"/>
                <w:szCs w:val="24"/>
              </w:rPr>
              <w:t>002027</w:t>
            </w:r>
          </w:p>
        </w:tc>
        <w:tc>
          <w:tcPr>
            <w:tcW w:w="1777" w:type="dxa"/>
            <w:vAlign w:val="center"/>
          </w:tcPr>
          <w:p w:rsidR="007B7CD6" w:rsidRDefault="00545633">
            <w:pPr>
              <w:jc w:val="center"/>
            </w:pPr>
            <w:r>
              <w:rPr>
                <w:color w:val="000000"/>
                <w:sz w:val="24"/>
                <w:szCs w:val="24"/>
              </w:rPr>
              <w:t>分众传媒</w:t>
            </w:r>
          </w:p>
        </w:tc>
        <w:tc>
          <w:tcPr>
            <w:tcW w:w="1334" w:type="dxa"/>
            <w:vAlign w:val="center"/>
          </w:tcPr>
          <w:p w:rsidR="007B7CD6" w:rsidRDefault="00545633">
            <w:pPr>
              <w:jc w:val="right"/>
            </w:pPr>
            <w:r>
              <w:rPr>
                <w:color w:val="000000"/>
                <w:sz w:val="24"/>
                <w:szCs w:val="24"/>
              </w:rPr>
              <w:t>7,003,164</w:t>
            </w:r>
          </w:p>
        </w:tc>
        <w:tc>
          <w:tcPr>
            <w:tcW w:w="1924" w:type="dxa"/>
            <w:vAlign w:val="center"/>
          </w:tcPr>
          <w:p w:rsidR="007B7CD6" w:rsidRDefault="00545633">
            <w:pPr>
              <w:jc w:val="right"/>
            </w:pPr>
            <w:r>
              <w:rPr>
                <w:color w:val="000000"/>
                <w:sz w:val="24"/>
                <w:szCs w:val="24"/>
              </w:rPr>
              <w:t>97,733,349.12</w:t>
            </w:r>
          </w:p>
        </w:tc>
        <w:tc>
          <w:tcPr>
            <w:tcW w:w="1644" w:type="dxa"/>
            <w:vAlign w:val="center"/>
          </w:tcPr>
          <w:p w:rsidR="007B7CD6" w:rsidRDefault="00545633">
            <w:pPr>
              <w:jc w:val="right"/>
            </w:pPr>
            <w:r>
              <w:rPr>
                <w:color w:val="000000"/>
                <w:sz w:val="24"/>
                <w:szCs w:val="24"/>
              </w:rPr>
              <w:t>5.96</w:t>
            </w:r>
          </w:p>
        </w:tc>
      </w:tr>
      <w:tr w:rsidR="007B7CD6">
        <w:trPr>
          <w:jc w:val="center"/>
        </w:trPr>
        <w:tc>
          <w:tcPr>
            <w:tcW w:w="855" w:type="dxa"/>
            <w:vAlign w:val="center"/>
          </w:tcPr>
          <w:p w:rsidR="007B7CD6" w:rsidRDefault="00545633">
            <w:pPr>
              <w:jc w:val="center"/>
            </w:pPr>
            <w:r>
              <w:rPr>
                <w:color w:val="000000"/>
                <w:sz w:val="24"/>
                <w:szCs w:val="24"/>
              </w:rPr>
              <w:t>5</w:t>
            </w:r>
          </w:p>
        </w:tc>
        <w:tc>
          <w:tcPr>
            <w:tcW w:w="1334" w:type="dxa"/>
            <w:vAlign w:val="center"/>
          </w:tcPr>
          <w:p w:rsidR="007B7CD6" w:rsidRDefault="00545633">
            <w:pPr>
              <w:jc w:val="center"/>
            </w:pPr>
            <w:r>
              <w:rPr>
                <w:color w:val="000000"/>
                <w:sz w:val="24"/>
                <w:szCs w:val="24"/>
              </w:rPr>
              <w:t>603096</w:t>
            </w:r>
          </w:p>
        </w:tc>
        <w:tc>
          <w:tcPr>
            <w:tcW w:w="1777" w:type="dxa"/>
            <w:vAlign w:val="center"/>
          </w:tcPr>
          <w:p w:rsidR="007B7CD6" w:rsidRDefault="00545633">
            <w:pPr>
              <w:jc w:val="center"/>
            </w:pPr>
            <w:r>
              <w:rPr>
                <w:color w:val="000000"/>
                <w:sz w:val="24"/>
                <w:szCs w:val="24"/>
              </w:rPr>
              <w:t>新经典</w:t>
            </w:r>
          </w:p>
        </w:tc>
        <w:tc>
          <w:tcPr>
            <w:tcW w:w="1334" w:type="dxa"/>
            <w:vAlign w:val="center"/>
          </w:tcPr>
          <w:p w:rsidR="007B7CD6" w:rsidRDefault="00545633">
            <w:pPr>
              <w:jc w:val="right"/>
            </w:pPr>
            <w:r>
              <w:rPr>
                <w:color w:val="000000"/>
                <w:sz w:val="24"/>
                <w:szCs w:val="24"/>
              </w:rPr>
              <w:t>1,286,735</w:t>
            </w:r>
          </w:p>
        </w:tc>
        <w:tc>
          <w:tcPr>
            <w:tcW w:w="1924" w:type="dxa"/>
            <w:vAlign w:val="center"/>
          </w:tcPr>
          <w:p w:rsidR="007B7CD6" w:rsidRDefault="00545633">
            <w:pPr>
              <w:jc w:val="right"/>
            </w:pPr>
            <w:r>
              <w:rPr>
                <w:color w:val="000000"/>
                <w:sz w:val="24"/>
                <w:szCs w:val="24"/>
              </w:rPr>
              <w:t>86,558,663.45</w:t>
            </w:r>
          </w:p>
        </w:tc>
        <w:tc>
          <w:tcPr>
            <w:tcW w:w="1644" w:type="dxa"/>
            <w:vAlign w:val="center"/>
          </w:tcPr>
          <w:p w:rsidR="007B7CD6" w:rsidRDefault="00545633">
            <w:pPr>
              <w:jc w:val="right"/>
            </w:pPr>
            <w:r>
              <w:rPr>
                <w:color w:val="000000"/>
                <w:sz w:val="24"/>
                <w:szCs w:val="24"/>
              </w:rPr>
              <w:t>5.28</w:t>
            </w:r>
          </w:p>
        </w:tc>
      </w:tr>
      <w:tr w:rsidR="007B7CD6">
        <w:trPr>
          <w:jc w:val="center"/>
        </w:trPr>
        <w:tc>
          <w:tcPr>
            <w:tcW w:w="855" w:type="dxa"/>
            <w:vAlign w:val="center"/>
          </w:tcPr>
          <w:p w:rsidR="007B7CD6" w:rsidRDefault="00545633">
            <w:pPr>
              <w:jc w:val="center"/>
            </w:pPr>
            <w:r>
              <w:rPr>
                <w:color w:val="000000"/>
                <w:sz w:val="24"/>
                <w:szCs w:val="24"/>
              </w:rPr>
              <w:t>6</w:t>
            </w:r>
          </w:p>
        </w:tc>
        <w:tc>
          <w:tcPr>
            <w:tcW w:w="1334" w:type="dxa"/>
            <w:vAlign w:val="center"/>
          </w:tcPr>
          <w:p w:rsidR="007B7CD6" w:rsidRDefault="00545633">
            <w:pPr>
              <w:jc w:val="center"/>
            </w:pPr>
            <w:r>
              <w:rPr>
                <w:color w:val="000000"/>
                <w:sz w:val="24"/>
                <w:szCs w:val="24"/>
              </w:rPr>
              <w:t>300308</w:t>
            </w:r>
          </w:p>
        </w:tc>
        <w:tc>
          <w:tcPr>
            <w:tcW w:w="1777" w:type="dxa"/>
            <w:vAlign w:val="center"/>
          </w:tcPr>
          <w:p w:rsidR="007B7CD6" w:rsidRDefault="00545633">
            <w:pPr>
              <w:jc w:val="center"/>
            </w:pPr>
            <w:r>
              <w:rPr>
                <w:color w:val="000000"/>
                <w:sz w:val="24"/>
                <w:szCs w:val="24"/>
              </w:rPr>
              <w:t>中际装备</w:t>
            </w:r>
          </w:p>
        </w:tc>
        <w:tc>
          <w:tcPr>
            <w:tcW w:w="1334" w:type="dxa"/>
            <w:vAlign w:val="center"/>
          </w:tcPr>
          <w:p w:rsidR="007B7CD6" w:rsidRDefault="00545633">
            <w:pPr>
              <w:jc w:val="right"/>
            </w:pPr>
            <w:r>
              <w:rPr>
                <w:color w:val="000000"/>
                <w:sz w:val="24"/>
                <w:szCs w:val="24"/>
              </w:rPr>
              <w:t>1,474,372</w:t>
            </w:r>
          </w:p>
        </w:tc>
        <w:tc>
          <w:tcPr>
            <w:tcW w:w="1924" w:type="dxa"/>
            <w:vAlign w:val="center"/>
          </w:tcPr>
          <w:p w:rsidR="007B7CD6" w:rsidRDefault="00545633">
            <w:pPr>
              <w:jc w:val="right"/>
            </w:pPr>
            <w:r>
              <w:rPr>
                <w:color w:val="000000"/>
                <w:sz w:val="24"/>
                <w:szCs w:val="24"/>
              </w:rPr>
              <w:t>86,250,762.00</w:t>
            </w:r>
          </w:p>
        </w:tc>
        <w:tc>
          <w:tcPr>
            <w:tcW w:w="1644" w:type="dxa"/>
            <w:vAlign w:val="center"/>
          </w:tcPr>
          <w:p w:rsidR="007B7CD6" w:rsidRDefault="00545633">
            <w:pPr>
              <w:jc w:val="right"/>
            </w:pPr>
            <w:r>
              <w:rPr>
                <w:color w:val="000000"/>
                <w:sz w:val="24"/>
                <w:szCs w:val="24"/>
              </w:rPr>
              <w:t>5.26</w:t>
            </w:r>
          </w:p>
        </w:tc>
      </w:tr>
      <w:tr w:rsidR="007B7CD6">
        <w:trPr>
          <w:jc w:val="center"/>
        </w:trPr>
        <w:tc>
          <w:tcPr>
            <w:tcW w:w="855" w:type="dxa"/>
            <w:vAlign w:val="center"/>
          </w:tcPr>
          <w:p w:rsidR="007B7CD6" w:rsidRDefault="00545633">
            <w:pPr>
              <w:jc w:val="center"/>
            </w:pPr>
            <w:r>
              <w:rPr>
                <w:color w:val="000000"/>
                <w:sz w:val="24"/>
                <w:szCs w:val="24"/>
              </w:rPr>
              <w:t>7</w:t>
            </w:r>
          </w:p>
        </w:tc>
        <w:tc>
          <w:tcPr>
            <w:tcW w:w="1334" w:type="dxa"/>
            <w:vAlign w:val="center"/>
          </w:tcPr>
          <w:p w:rsidR="007B7CD6" w:rsidRDefault="00545633">
            <w:pPr>
              <w:jc w:val="center"/>
            </w:pPr>
            <w:r>
              <w:rPr>
                <w:color w:val="000000"/>
                <w:sz w:val="24"/>
                <w:szCs w:val="24"/>
              </w:rPr>
              <w:t>601100</w:t>
            </w:r>
          </w:p>
        </w:tc>
        <w:tc>
          <w:tcPr>
            <w:tcW w:w="1777" w:type="dxa"/>
            <w:vAlign w:val="center"/>
          </w:tcPr>
          <w:p w:rsidR="007B7CD6" w:rsidRDefault="00545633">
            <w:pPr>
              <w:jc w:val="center"/>
            </w:pPr>
            <w:r>
              <w:rPr>
                <w:color w:val="000000"/>
                <w:sz w:val="24"/>
                <w:szCs w:val="24"/>
              </w:rPr>
              <w:t>恒立液压</w:t>
            </w:r>
          </w:p>
        </w:tc>
        <w:tc>
          <w:tcPr>
            <w:tcW w:w="1334" w:type="dxa"/>
            <w:vAlign w:val="center"/>
          </w:tcPr>
          <w:p w:rsidR="007B7CD6" w:rsidRDefault="00545633">
            <w:pPr>
              <w:jc w:val="right"/>
            </w:pPr>
            <w:r>
              <w:rPr>
                <w:color w:val="000000"/>
                <w:sz w:val="24"/>
                <w:szCs w:val="24"/>
              </w:rPr>
              <w:t>2,790,331</w:t>
            </w:r>
          </w:p>
        </w:tc>
        <w:tc>
          <w:tcPr>
            <w:tcW w:w="1924" w:type="dxa"/>
            <w:vAlign w:val="center"/>
          </w:tcPr>
          <w:p w:rsidR="007B7CD6" w:rsidRDefault="00545633">
            <w:pPr>
              <w:jc w:val="right"/>
            </w:pPr>
            <w:r>
              <w:rPr>
                <w:color w:val="000000"/>
                <w:sz w:val="24"/>
                <w:szCs w:val="24"/>
              </w:rPr>
              <w:t>76,566,682.64</w:t>
            </w:r>
          </w:p>
        </w:tc>
        <w:tc>
          <w:tcPr>
            <w:tcW w:w="1644" w:type="dxa"/>
            <w:vAlign w:val="center"/>
          </w:tcPr>
          <w:p w:rsidR="007B7CD6" w:rsidRDefault="00545633">
            <w:pPr>
              <w:jc w:val="right"/>
            </w:pPr>
            <w:r>
              <w:rPr>
                <w:color w:val="000000"/>
                <w:sz w:val="24"/>
                <w:szCs w:val="24"/>
              </w:rPr>
              <w:t>4.67</w:t>
            </w:r>
          </w:p>
        </w:tc>
      </w:tr>
      <w:tr w:rsidR="007B7CD6">
        <w:trPr>
          <w:jc w:val="center"/>
        </w:trPr>
        <w:tc>
          <w:tcPr>
            <w:tcW w:w="855" w:type="dxa"/>
            <w:vAlign w:val="center"/>
          </w:tcPr>
          <w:p w:rsidR="007B7CD6" w:rsidRDefault="00545633">
            <w:pPr>
              <w:jc w:val="center"/>
            </w:pPr>
            <w:r>
              <w:rPr>
                <w:color w:val="000000"/>
                <w:sz w:val="24"/>
                <w:szCs w:val="24"/>
              </w:rPr>
              <w:t>8</w:t>
            </w:r>
          </w:p>
        </w:tc>
        <w:tc>
          <w:tcPr>
            <w:tcW w:w="1334" w:type="dxa"/>
            <w:vAlign w:val="center"/>
          </w:tcPr>
          <w:p w:rsidR="007B7CD6" w:rsidRDefault="00545633">
            <w:pPr>
              <w:jc w:val="center"/>
            </w:pPr>
            <w:r>
              <w:rPr>
                <w:color w:val="000000"/>
                <w:sz w:val="24"/>
                <w:szCs w:val="24"/>
              </w:rPr>
              <w:t>002008</w:t>
            </w:r>
          </w:p>
        </w:tc>
        <w:tc>
          <w:tcPr>
            <w:tcW w:w="1777" w:type="dxa"/>
            <w:vAlign w:val="center"/>
          </w:tcPr>
          <w:p w:rsidR="007B7CD6" w:rsidRDefault="00545633">
            <w:pPr>
              <w:jc w:val="center"/>
            </w:pPr>
            <w:r>
              <w:rPr>
                <w:color w:val="000000"/>
                <w:sz w:val="24"/>
                <w:szCs w:val="24"/>
              </w:rPr>
              <w:t>大族激光</w:t>
            </w:r>
          </w:p>
        </w:tc>
        <w:tc>
          <w:tcPr>
            <w:tcW w:w="1334" w:type="dxa"/>
            <w:vAlign w:val="center"/>
          </w:tcPr>
          <w:p w:rsidR="007B7CD6" w:rsidRDefault="00545633">
            <w:pPr>
              <w:jc w:val="right"/>
            </w:pPr>
            <w:r>
              <w:rPr>
                <w:color w:val="000000"/>
                <w:sz w:val="24"/>
                <w:szCs w:val="24"/>
              </w:rPr>
              <w:t>1,273,090</w:t>
            </w:r>
          </w:p>
        </w:tc>
        <w:tc>
          <w:tcPr>
            <w:tcW w:w="1924" w:type="dxa"/>
            <w:vAlign w:val="center"/>
          </w:tcPr>
          <w:p w:rsidR="007B7CD6" w:rsidRDefault="00545633">
            <w:pPr>
              <w:jc w:val="right"/>
            </w:pPr>
            <w:r>
              <w:rPr>
                <w:color w:val="000000"/>
                <w:sz w:val="24"/>
                <w:szCs w:val="24"/>
              </w:rPr>
              <w:t>62,890,646.00</w:t>
            </w:r>
          </w:p>
        </w:tc>
        <w:tc>
          <w:tcPr>
            <w:tcW w:w="1644" w:type="dxa"/>
            <w:vAlign w:val="center"/>
          </w:tcPr>
          <w:p w:rsidR="007B7CD6" w:rsidRDefault="00545633">
            <w:pPr>
              <w:jc w:val="right"/>
            </w:pPr>
            <w:r>
              <w:rPr>
                <w:color w:val="000000"/>
                <w:sz w:val="24"/>
                <w:szCs w:val="24"/>
              </w:rPr>
              <w:t>3.83</w:t>
            </w:r>
          </w:p>
        </w:tc>
      </w:tr>
      <w:tr w:rsidR="007B7CD6">
        <w:trPr>
          <w:jc w:val="center"/>
        </w:trPr>
        <w:tc>
          <w:tcPr>
            <w:tcW w:w="855" w:type="dxa"/>
            <w:vAlign w:val="center"/>
          </w:tcPr>
          <w:p w:rsidR="007B7CD6" w:rsidRDefault="00545633">
            <w:pPr>
              <w:jc w:val="center"/>
            </w:pPr>
            <w:r>
              <w:rPr>
                <w:color w:val="000000"/>
                <w:sz w:val="24"/>
                <w:szCs w:val="24"/>
              </w:rPr>
              <w:t>9</w:t>
            </w:r>
          </w:p>
        </w:tc>
        <w:tc>
          <w:tcPr>
            <w:tcW w:w="1334" w:type="dxa"/>
            <w:vAlign w:val="center"/>
          </w:tcPr>
          <w:p w:rsidR="007B7CD6" w:rsidRDefault="00545633">
            <w:pPr>
              <w:jc w:val="center"/>
            </w:pPr>
            <w:r>
              <w:rPr>
                <w:color w:val="000000"/>
                <w:sz w:val="24"/>
                <w:szCs w:val="24"/>
              </w:rPr>
              <w:t>600183</w:t>
            </w:r>
          </w:p>
        </w:tc>
        <w:tc>
          <w:tcPr>
            <w:tcW w:w="1777" w:type="dxa"/>
            <w:vAlign w:val="center"/>
          </w:tcPr>
          <w:p w:rsidR="007B7CD6" w:rsidRDefault="00545633">
            <w:pPr>
              <w:jc w:val="center"/>
            </w:pPr>
            <w:r>
              <w:rPr>
                <w:color w:val="000000"/>
                <w:sz w:val="24"/>
                <w:szCs w:val="24"/>
              </w:rPr>
              <w:t>生益科技</w:t>
            </w:r>
          </w:p>
        </w:tc>
        <w:tc>
          <w:tcPr>
            <w:tcW w:w="1334" w:type="dxa"/>
            <w:vAlign w:val="center"/>
          </w:tcPr>
          <w:p w:rsidR="007B7CD6" w:rsidRDefault="00545633">
            <w:pPr>
              <w:jc w:val="right"/>
            </w:pPr>
            <w:r>
              <w:rPr>
                <w:color w:val="000000"/>
                <w:sz w:val="24"/>
                <w:szCs w:val="24"/>
              </w:rPr>
              <w:t>3,224,764</w:t>
            </w:r>
          </w:p>
        </w:tc>
        <w:tc>
          <w:tcPr>
            <w:tcW w:w="1924" w:type="dxa"/>
            <w:vAlign w:val="center"/>
          </w:tcPr>
          <w:p w:rsidR="007B7CD6" w:rsidRDefault="00545633">
            <w:pPr>
              <w:jc w:val="right"/>
            </w:pPr>
            <w:r>
              <w:rPr>
                <w:color w:val="000000"/>
                <w:sz w:val="24"/>
                <w:szCs w:val="24"/>
              </w:rPr>
              <w:t>55,659,426.64</w:t>
            </w:r>
          </w:p>
        </w:tc>
        <w:tc>
          <w:tcPr>
            <w:tcW w:w="1644" w:type="dxa"/>
            <w:vAlign w:val="center"/>
          </w:tcPr>
          <w:p w:rsidR="007B7CD6" w:rsidRDefault="00545633">
            <w:pPr>
              <w:jc w:val="right"/>
            </w:pPr>
            <w:r>
              <w:rPr>
                <w:color w:val="000000"/>
                <w:sz w:val="24"/>
                <w:szCs w:val="24"/>
              </w:rPr>
              <w:t>3.39</w:t>
            </w:r>
          </w:p>
        </w:tc>
      </w:tr>
      <w:tr w:rsidR="007B7CD6">
        <w:trPr>
          <w:jc w:val="center"/>
        </w:trPr>
        <w:tc>
          <w:tcPr>
            <w:tcW w:w="855" w:type="dxa"/>
            <w:vAlign w:val="center"/>
          </w:tcPr>
          <w:p w:rsidR="007B7CD6" w:rsidRDefault="00545633">
            <w:pPr>
              <w:jc w:val="center"/>
            </w:pPr>
            <w:r>
              <w:rPr>
                <w:color w:val="000000"/>
                <w:sz w:val="24"/>
                <w:szCs w:val="24"/>
              </w:rPr>
              <w:t>10</w:t>
            </w:r>
          </w:p>
        </w:tc>
        <w:tc>
          <w:tcPr>
            <w:tcW w:w="1334" w:type="dxa"/>
            <w:vAlign w:val="center"/>
          </w:tcPr>
          <w:p w:rsidR="007B7CD6" w:rsidRDefault="00545633">
            <w:pPr>
              <w:jc w:val="center"/>
            </w:pPr>
            <w:r>
              <w:rPr>
                <w:color w:val="000000"/>
                <w:sz w:val="24"/>
                <w:szCs w:val="24"/>
              </w:rPr>
              <w:t>002050</w:t>
            </w:r>
          </w:p>
        </w:tc>
        <w:tc>
          <w:tcPr>
            <w:tcW w:w="1777" w:type="dxa"/>
            <w:vAlign w:val="center"/>
          </w:tcPr>
          <w:p w:rsidR="007B7CD6" w:rsidRDefault="00545633">
            <w:pPr>
              <w:jc w:val="center"/>
            </w:pPr>
            <w:r>
              <w:rPr>
                <w:color w:val="000000"/>
                <w:sz w:val="24"/>
                <w:szCs w:val="24"/>
              </w:rPr>
              <w:t>三花智控</w:t>
            </w:r>
          </w:p>
        </w:tc>
        <w:tc>
          <w:tcPr>
            <w:tcW w:w="1334" w:type="dxa"/>
            <w:vAlign w:val="center"/>
          </w:tcPr>
          <w:p w:rsidR="007B7CD6" w:rsidRDefault="00545633">
            <w:pPr>
              <w:jc w:val="right"/>
            </w:pPr>
            <w:r>
              <w:rPr>
                <w:color w:val="000000"/>
                <w:sz w:val="24"/>
                <w:szCs w:val="24"/>
              </w:rPr>
              <w:t>3,013,877</w:t>
            </w:r>
          </w:p>
        </w:tc>
        <w:tc>
          <w:tcPr>
            <w:tcW w:w="1924" w:type="dxa"/>
            <w:vAlign w:val="center"/>
          </w:tcPr>
          <w:p w:rsidR="007B7CD6" w:rsidRDefault="00545633">
            <w:pPr>
              <w:jc w:val="right"/>
            </w:pPr>
            <w:r>
              <w:rPr>
                <w:color w:val="000000"/>
                <w:sz w:val="24"/>
                <w:szCs w:val="24"/>
              </w:rPr>
              <w:t>55,274,504.18</w:t>
            </w:r>
          </w:p>
        </w:tc>
        <w:tc>
          <w:tcPr>
            <w:tcW w:w="1644" w:type="dxa"/>
            <w:vAlign w:val="center"/>
          </w:tcPr>
          <w:p w:rsidR="007B7CD6" w:rsidRDefault="00545633">
            <w:pPr>
              <w:jc w:val="right"/>
            </w:pPr>
            <w:r>
              <w:rPr>
                <w:color w:val="000000"/>
                <w:sz w:val="24"/>
                <w:szCs w:val="24"/>
              </w:rPr>
              <w:t>3.37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737,320.73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53,594.32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4,538,752.63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5,329,667.68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B7CD6">
        <w:trPr>
          <w:jc w:val="center"/>
        </w:trPr>
        <w:tc>
          <w:tcPr>
            <w:tcW w:w="1129" w:type="dxa"/>
            <w:vAlign w:val="center"/>
          </w:tcPr>
          <w:p w:rsidR="007B7CD6" w:rsidRDefault="00545633">
            <w:pPr>
              <w:jc w:val="center"/>
            </w:pPr>
            <w:r>
              <w:rPr>
                <w:color w:val="000000"/>
                <w:sz w:val="24"/>
                <w:szCs w:val="24"/>
              </w:rPr>
              <w:t>1</w:t>
            </w:r>
          </w:p>
        </w:tc>
        <w:tc>
          <w:tcPr>
            <w:tcW w:w="1356" w:type="dxa"/>
            <w:vAlign w:val="center"/>
          </w:tcPr>
          <w:p w:rsidR="007B7CD6" w:rsidRDefault="00545633">
            <w:pPr>
              <w:jc w:val="center"/>
            </w:pPr>
            <w:r>
              <w:rPr>
                <w:color w:val="000000"/>
                <w:sz w:val="24"/>
                <w:szCs w:val="24"/>
              </w:rPr>
              <w:t>002027</w:t>
            </w:r>
          </w:p>
        </w:tc>
        <w:tc>
          <w:tcPr>
            <w:tcW w:w="1355" w:type="dxa"/>
            <w:vAlign w:val="center"/>
          </w:tcPr>
          <w:p w:rsidR="007B7CD6" w:rsidRDefault="00545633">
            <w:pPr>
              <w:jc w:val="center"/>
            </w:pPr>
            <w:r>
              <w:rPr>
                <w:color w:val="000000"/>
                <w:sz w:val="24"/>
                <w:szCs w:val="24"/>
              </w:rPr>
              <w:t>分众传媒</w:t>
            </w:r>
          </w:p>
        </w:tc>
        <w:tc>
          <w:tcPr>
            <w:tcW w:w="1880" w:type="dxa"/>
            <w:vAlign w:val="center"/>
          </w:tcPr>
          <w:p w:rsidR="007B7CD6" w:rsidRDefault="00545633">
            <w:pPr>
              <w:jc w:val="right"/>
            </w:pPr>
            <w:r>
              <w:rPr>
                <w:color w:val="000000"/>
                <w:sz w:val="24"/>
                <w:szCs w:val="24"/>
              </w:rPr>
              <w:t>16,165,600.00</w:t>
            </w:r>
          </w:p>
        </w:tc>
        <w:tc>
          <w:tcPr>
            <w:tcW w:w="1724" w:type="dxa"/>
            <w:vAlign w:val="center"/>
          </w:tcPr>
          <w:p w:rsidR="007B7CD6" w:rsidRDefault="00545633">
            <w:pPr>
              <w:jc w:val="right"/>
            </w:pPr>
            <w:r>
              <w:rPr>
                <w:color w:val="000000"/>
                <w:sz w:val="24"/>
                <w:szCs w:val="24"/>
              </w:rPr>
              <w:t>0.99</w:t>
            </w:r>
          </w:p>
        </w:tc>
        <w:tc>
          <w:tcPr>
            <w:tcW w:w="1424" w:type="dxa"/>
            <w:vAlign w:val="center"/>
          </w:tcPr>
          <w:p w:rsidR="007B7CD6" w:rsidRDefault="00545633">
            <w:pPr>
              <w:jc w:val="right"/>
            </w:pPr>
            <w:r>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251,820,771.89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1,367,574,919.48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473,368,141.32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1,146,027,550.05</w:t>
            </w:r>
          </w:p>
        </w:tc>
      </w:tr>
    </w:tbl>
    <w:p w:rsidR="007B7CD6" w:rsidRDefault="0054563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036E87">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B7CD6" w:rsidRDefault="0054563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、中国证监会准予交银施罗德新生活力灵活配置混合型证券投资基金募集注册的文件；</w:t>
      </w:r>
      <w:r>
        <w:rPr>
          <w:color w:val="000000"/>
          <w:sz w:val="24"/>
          <w:szCs w:val="24"/>
        </w:rPr>
        <w:t xml:space="preserve"> </w:t>
      </w:r>
    </w:p>
    <w:p w:rsidR="007B7CD6" w:rsidRDefault="0054563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、《交银施罗德新生活力灵活配置混合型证券投资基金基金合同》；</w:t>
      </w:r>
      <w:r>
        <w:rPr>
          <w:color w:val="000000"/>
          <w:sz w:val="24"/>
          <w:szCs w:val="24"/>
        </w:rPr>
        <w:t xml:space="preserve"> </w:t>
      </w:r>
    </w:p>
    <w:p w:rsidR="007B7CD6" w:rsidRDefault="0054563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、《交银施罗德新生活力灵活配置混合型证券投资基金招募说明书》；</w:t>
      </w:r>
      <w:r>
        <w:rPr>
          <w:color w:val="000000"/>
          <w:sz w:val="24"/>
          <w:szCs w:val="24"/>
        </w:rPr>
        <w:t xml:space="preserve"> </w:t>
      </w:r>
    </w:p>
    <w:p w:rsidR="007B7CD6" w:rsidRDefault="0054563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、《交银施罗德新生活力灵活配置混合型证券投资基金托管协议》；</w:t>
      </w:r>
      <w:r>
        <w:rPr>
          <w:color w:val="000000"/>
          <w:sz w:val="24"/>
          <w:szCs w:val="24"/>
        </w:rPr>
        <w:t xml:space="preserve"> </w:t>
      </w:r>
    </w:p>
    <w:p w:rsidR="007B7CD6" w:rsidRDefault="0054563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、关于申请募集注册交银施罗德新生活力灵活配置混合型证券投资基金的法律意见书；</w:t>
      </w:r>
      <w:r>
        <w:rPr>
          <w:color w:val="000000"/>
          <w:sz w:val="24"/>
          <w:szCs w:val="24"/>
        </w:rPr>
        <w:t xml:space="preserve"> </w:t>
      </w:r>
    </w:p>
    <w:p w:rsidR="007B7CD6" w:rsidRDefault="0054563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B7CD6" w:rsidRDefault="00545633">
      <w:pPr>
        <w:spacing w:before="29" w:line="288" w:lineRule="auto"/>
        <w:ind w:firstLineChars="200" w:firstLine="480"/>
        <w:rPr>
          <w:color w:val="000000"/>
          <w:sz w:val="24"/>
          <w:szCs w:val="24"/>
        </w:rPr>
      </w:pPr>
      <w:r>
        <w:rPr>
          <w:color w:val="000000"/>
          <w:sz w:val="24"/>
          <w:szCs w:val="24"/>
        </w:rPr>
        <w:lastRenderedPageBreak/>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、报告期内交银施罗德新生活力灵活配置混合型证券投资基金在指定报刊上各项公告的原稿。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B7CD6" w:rsidRDefault="0054563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7B7CD6" w:rsidRDefault="00545633">
      <w:pPr>
        <w:spacing w:before="29" w:line="288" w:lineRule="auto"/>
        <w:ind w:firstLineChars="200" w:firstLine="480"/>
        <w:rPr>
          <w:color w:val="000000"/>
          <w:sz w:val="24"/>
          <w:szCs w:val="24"/>
        </w:rPr>
      </w:pPr>
      <w:r>
        <w:rPr>
          <w:color w:val="000000"/>
          <w:sz w:val="24"/>
          <w:szCs w:val="24"/>
        </w:rPr>
        <w:t>投资者对本报告书如有疑问，可咨询本基金管理人交银施罗德基金管理有限公司。本公司客户服务中心电话：</w:t>
      </w:r>
      <w:r>
        <w:rPr>
          <w:color w:val="000000"/>
          <w:sz w:val="24"/>
          <w:szCs w:val="24"/>
        </w:rPr>
        <w:t>400-700-5000</w:t>
      </w:r>
      <w:r>
        <w:rPr>
          <w:color w:val="000000"/>
          <w:sz w:val="24"/>
          <w:szCs w:val="24"/>
        </w:rPr>
        <w:t>（免长途话费），</w:t>
      </w:r>
      <w:r>
        <w:rPr>
          <w:color w:val="000000"/>
          <w:sz w:val="24"/>
          <w:szCs w:val="24"/>
        </w:rPr>
        <w:t>021-61055000</w:t>
      </w:r>
      <w:r>
        <w:rPr>
          <w:color w:val="000000"/>
          <w:sz w:val="24"/>
          <w:szCs w:val="24"/>
        </w:rPr>
        <w:t>，电子邮件：</w:t>
      </w:r>
      <w:r>
        <w:rPr>
          <w:color w:val="000000"/>
          <w:sz w:val="24"/>
          <w:szCs w:val="24"/>
        </w:rPr>
        <w:t>services@jysld.com</w:t>
      </w:r>
      <w:r>
        <w:rPr>
          <w:color w:val="000000"/>
          <w:sz w:val="24"/>
          <w:szCs w:val="24"/>
        </w:rPr>
        <w:t>。</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 xml:space="preserve">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21F" w:rsidRDefault="00A0021F" w:rsidP="00876D65">
      <w:r>
        <w:separator/>
      </w:r>
    </w:p>
  </w:endnote>
  <w:endnote w:type="continuationSeparator" w:id="0">
    <w:p w:rsidR="00A0021F" w:rsidRDefault="00A0021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036E87">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036E87">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21F" w:rsidRDefault="00A0021F" w:rsidP="00876D65">
      <w:r>
        <w:separator/>
      </w:r>
    </w:p>
  </w:footnote>
  <w:footnote w:type="continuationSeparator" w:id="0">
    <w:p w:rsidR="00A0021F" w:rsidRDefault="00A0021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36E87"/>
    <w:rsid w:val="0004308C"/>
    <w:rsid w:val="00043852"/>
    <w:rsid w:val="00044860"/>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45633"/>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7CD6"/>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206B"/>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2B91"/>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021F"/>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A690C"/>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C9C805-B8C1-4E91-AB66-21B373FC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7D29-5D03-4542-BA09-1128F4B3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571</cp:revision>
  <dcterms:created xsi:type="dcterms:W3CDTF">2012-10-16T06:07:00Z</dcterms:created>
  <dcterms:modified xsi:type="dcterms:W3CDTF">2018-01-18T03:21:00Z</dcterms:modified>
</cp:coreProperties>
</file>