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交银施罗德沪港深价值精选灵活配置混合型证券投资基金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B3138" w:rsidRDefault="00933F1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B3138" w:rsidRDefault="00933F12">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B3138" w:rsidRDefault="00933F1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B3138" w:rsidRDefault="00933F1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B3138" w:rsidRDefault="00933F1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交银沪港深价值精选混合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182,263,775.44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本基金通过优化资产配置和灵活运用多种投资策略，把握沪港通及后续资本市场开放政策带来的投资机会，力争实现基金资产的长期稳定增值。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恒生指数收益率</w:t>
            </w:r>
            <w:r w:rsidRPr="00414345">
              <w:rPr>
                <w:color w:val="000000"/>
                <w:kern w:val="0"/>
                <w:sz w:val="24"/>
                <w:szCs w:val="24"/>
              </w:rPr>
              <w:t>×40%+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DB3138" w:rsidRDefault="00933F12">
            <w:pPr>
              <w:adjustRightInd w:val="0"/>
              <w:spacing w:before="29" w:line="288" w:lineRule="auto"/>
              <w:ind w:left="17"/>
              <w:jc w:val="left"/>
              <w:rPr>
                <w:color w:val="000000"/>
                <w:sz w:val="24"/>
                <w:szCs w:val="24"/>
              </w:rPr>
            </w:pPr>
            <w:r>
              <w:rPr>
                <w:color w:val="000000"/>
                <w:kern w:val="0"/>
                <w:sz w:val="24"/>
                <w:szCs w:val="24"/>
              </w:rPr>
              <w:t>本基金是一只混合型基金，其风险和预期收益高于债</w:t>
            </w:r>
            <w:r>
              <w:rPr>
                <w:color w:val="000000"/>
                <w:kern w:val="0"/>
                <w:sz w:val="24"/>
                <w:szCs w:val="24"/>
              </w:rPr>
              <w:lastRenderedPageBreak/>
              <w:t>券型基金和货币市场基金，低于股票型基金。属于承担较高风险、预期收益较高的证券投资基金品种。</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C4003" w:rsidRPr="00414345" w:rsidTr="00FC400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FC4003" w:rsidRPr="00414345" w:rsidTr="00FC400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7,849,181.17</w:t>
            </w:r>
          </w:p>
        </w:tc>
      </w:tr>
      <w:tr w:rsidR="00FC4003" w:rsidRPr="00414345" w:rsidTr="00FC400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13,446,302.83</w:t>
            </w:r>
          </w:p>
        </w:tc>
      </w:tr>
      <w:tr w:rsidR="00FC4003" w:rsidRPr="00414345" w:rsidTr="00FC400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0.0859</w:t>
            </w:r>
          </w:p>
        </w:tc>
      </w:tr>
      <w:tr w:rsidR="00FC4003" w:rsidRPr="00414345" w:rsidTr="00FC400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240,043,235.75</w:t>
            </w:r>
          </w:p>
        </w:tc>
      </w:tr>
      <w:tr w:rsidR="00FC4003" w:rsidRPr="00414345" w:rsidTr="00FC400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1.317</w:t>
            </w:r>
          </w:p>
        </w:tc>
      </w:tr>
    </w:tbl>
    <w:p w:rsidR="00DB3138" w:rsidRDefault="00933F1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B3138">
        <w:trPr>
          <w:jc w:val="center"/>
        </w:trPr>
        <w:tc>
          <w:tcPr>
            <w:tcW w:w="1701" w:type="dxa"/>
            <w:vAlign w:val="center"/>
          </w:tcPr>
          <w:p w:rsidR="00DB3138" w:rsidRDefault="00933F12">
            <w:pPr>
              <w:jc w:val="left"/>
            </w:pPr>
            <w:r>
              <w:rPr>
                <w:color w:val="000000"/>
                <w:sz w:val="24"/>
                <w:szCs w:val="24"/>
              </w:rPr>
              <w:t>过去三个月</w:t>
            </w:r>
          </w:p>
        </w:tc>
        <w:tc>
          <w:tcPr>
            <w:tcW w:w="1045" w:type="dxa"/>
            <w:vAlign w:val="center"/>
          </w:tcPr>
          <w:p w:rsidR="00DB3138" w:rsidRDefault="00933F12">
            <w:pPr>
              <w:jc w:val="center"/>
            </w:pPr>
            <w:r>
              <w:rPr>
                <w:color w:val="000000"/>
                <w:sz w:val="24"/>
                <w:szCs w:val="24"/>
              </w:rPr>
              <w:t>8.93%</w:t>
            </w:r>
          </w:p>
        </w:tc>
        <w:tc>
          <w:tcPr>
            <w:tcW w:w="1344" w:type="dxa"/>
            <w:vAlign w:val="center"/>
          </w:tcPr>
          <w:p w:rsidR="00DB3138" w:rsidRDefault="00933F12">
            <w:pPr>
              <w:jc w:val="center"/>
            </w:pPr>
            <w:r>
              <w:rPr>
                <w:color w:val="000000"/>
                <w:sz w:val="24"/>
                <w:szCs w:val="24"/>
              </w:rPr>
              <w:t>0.95%</w:t>
            </w:r>
          </w:p>
        </w:tc>
        <w:tc>
          <w:tcPr>
            <w:tcW w:w="1194" w:type="dxa"/>
            <w:vAlign w:val="center"/>
          </w:tcPr>
          <w:p w:rsidR="00DB3138" w:rsidRDefault="00933F12">
            <w:pPr>
              <w:jc w:val="center"/>
            </w:pPr>
            <w:r>
              <w:rPr>
                <w:color w:val="000000"/>
                <w:sz w:val="24"/>
                <w:szCs w:val="24"/>
              </w:rPr>
              <w:t>5.38%</w:t>
            </w:r>
          </w:p>
        </w:tc>
        <w:tc>
          <w:tcPr>
            <w:tcW w:w="1492" w:type="dxa"/>
            <w:vAlign w:val="center"/>
          </w:tcPr>
          <w:p w:rsidR="00DB3138" w:rsidRDefault="00933F12">
            <w:pPr>
              <w:jc w:val="center"/>
            </w:pPr>
            <w:r>
              <w:rPr>
                <w:color w:val="000000"/>
                <w:sz w:val="24"/>
                <w:szCs w:val="24"/>
              </w:rPr>
              <w:t>0.59%</w:t>
            </w:r>
          </w:p>
        </w:tc>
        <w:tc>
          <w:tcPr>
            <w:tcW w:w="1194" w:type="dxa"/>
            <w:vAlign w:val="center"/>
          </w:tcPr>
          <w:p w:rsidR="00DB3138" w:rsidRDefault="00933F12">
            <w:pPr>
              <w:jc w:val="center"/>
            </w:pPr>
            <w:r>
              <w:rPr>
                <w:color w:val="000000"/>
                <w:sz w:val="24"/>
                <w:szCs w:val="24"/>
              </w:rPr>
              <w:t>3.55%</w:t>
            </w:r>
          </w:p>
        </w:tc>
        <w:tc>
          <w:tcPr>
            <w:tcW w:w="898" w:type="dxa"/>
            <w:vAlign w:val="center"/>
          </w:tcPr>
          <w:p w:rsidR="00DB3138" w:rsidRDefault="00933F12">
            <w:pPr>
              <w:jc w:val="center"/>
            </w:pPr>
            <w:r>
              <w:rPr>
                <w:color w:val="000000"/>
                <w:sz w:val="24"/>
                <w:szCs w:val="24"/>
              </w:rPr>
              <w:t>0.36%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交银施罗德沪港深价值精选灵活配置混合型证券投资基金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F3505D" w:rsidP="00C15CAC">
      <w:pPr>
        <w:pStyle w:val="a5"/>
        <w:snapToGrid w:val="0"/>
        <w:spacing w:before="29" w:line="288" w:lineRule="auto"/>
        <w:jc w:val="center"/>
        <w:rPr>
          <w:rFonts w:ascii="Times New Roman" w:hAnsi="Times New Roman" w:cs="Times New Roman"/>
          <w:color w:val="000000"/>
          <w:sz w:val="24"/>
          <w:szCs w:val="24"/>
        </w:rPr>
      </w:pPr>
      <w:r>
        <w:rPr>
          <w:noProof/>
        </w:rPr>
        <w:drawing>
          <wp:inline distT="0" distB="0" distL="0" distR="0" wp14:anchorId="061551ED" wp14:editId="7AF4B6B4">
            <wp:extent cx="5633049" cy="3272790"/>
            <wp:effectExtent l="0" t="0" r="0" b="0"/>
            <wp:docPr id="4"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走势图1.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652310" cy="3283981"/>
                    </a:xfrm>
                    <a:prstGeom prst="rect">
                      <a:avLst/>
                    </a:prstGeom>
                    <a:noFill/>
                    <a:ln>
                      <a:noFill/>
                    </a:ln>
                  </pic:spPr>
                </pic:pic>
              </a:graphicData>
            </a:graphic>
          </wp:inline>
        </w:drawing>
      </w:r>
      <w:bookmarkStart w:id="0" w:name="_GoBack"/>
      <w:bookmarkEnd w:id="0"/>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7</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B3138">
        <w:trPr>
          <w:jc w:val="center"/>
        </w:trPr>
        <w:tc>
          <w:tcPr>
            <w:tcW w:w="846" w:type="dxa"/>
            <w:vAlign w:val="center"/>
          </w:tcPr>
          <w:p w:rsidR="00DB3138" w:rsidRDefault="00933F12">
            <w:pPr>
              <w:jc w:val="center"/>
            </w:pPr>
            <w:r>
              <w:rPr>
                <w:color w:val="000000"/>
                <w:sz w:val="24"/>
                <w:szCs w:val="24"/>
              </w:rPr>
              <w:t>陈俊华</w:t>
            </w:r>
          </w:p>
        </w:tc>
        <w:tc>
          <w:tcPr>
            <w:tcW w:w="845" w:type="dxa"/>
            <w:vAlign w:val="center"/>
          </w:tcPr>
          <w:p w:rsidR="00DB3138" w:rsidRDefault="00933F12">
            <w:pPr>
              <w:jc w:val="center"/>
            </w:pPr>
            <w:r>
              <w:rPr>
                <w:color w:val="000000"/>
                <w:sz w:val="24"/>
                <w:szCs w:val="24"/>
              </w:rPr>
              <w:t>交银环球精选混合</w:t>
            </w:r>
            <w:r>
              <w:rPr>
                <w:color w:val="000000"/>
                <w:sz w:val="24"/>
                <w:szCs w:val="24"/>
              </w:rPr>
              <w:t>(QDII)</w:t>
            </w:r>
            <w:r>
              <w:rPr>
                <w:color w:val="000000"/>
                <w:sz w:val="24"/>
                <w:szCs w:val="24"/>
              </w:rPr>
              <w:t>、交银全球资源混合</w:t>
            </w:r>
            <w:r>
              <w:rPr>
                <w:color w:val="000000"/>
                <w:sz w:val="24"/>
                <w:szCs w:val="24"/>
              </w:rPr>
              <w:t>(QDII)</w:t>
            </w:r>
            <w:r>
              <w:rPr>
                <w:color w:val="000000"/>
                <w:sz w:val="24"/>
                <w:szCs w:val="24"/>
              </w:rPr>
              <w:t>、交</w:t>
            </w:r>
            <w:r>
              <w:rPr>
                <w:color w:val="000000"/>
                <w:sz w:val="24"/>
                <w:szCs w:val="24"/>
              </w:rPr>
              <w:lastRenderedPageBreak/>
              <w:t>银沪港深价值精选混合的基金经理</w:t>
            </w:r>
          </w:p>
        </w:tc>
        <w:tc>
          <w:tcPr>
            <w:tcW w:w="1549" w:type="dxa"/>
            <w:vAlign w:val="center"/>
          </w:tcPr>
          <w:p w:rsidR="00DB3138" w:rsidRDefault="00933F12">
            <w:pPr>
              <w:jc w:val="center"/>
            </w:pPr>
            <w:r>
              <w:rPr>
                <w:color w:val="000000"/>
                <w:sz w:val="24"/>
                <w:szCs w:val="24"/>
              </w:rPr>
              <w:lastRenderedPageBreak/>
              <w:t>2016-11-07</w:t>
            </w:r>
          </w:p>
        </w:tc>
        <w:tc>
          <w:tcPr>
            <w:tcW w:w="1548" w:type="dxa"/>
            <w:vAlign w:val="center"/>
          </w:tcPr>
          <w:p w:rsidR="00DB3138" w:rsidRDefault="00933F12">
            <w:pPr>
              <w:jc w:val="center"/>
            </w:pPr>
            <w:r>
              <w:rPr>
                <w:color w:val="000000"/>
                <w:sz w:val="24"/>
                <w:szCs w:val="24"/>
              </w:rPr>
              <w:t>-</w:t>
            </w:r>
          </w:p>
        </w:tc>
        <w:tc>
          <w:tcPr>
            <w:tcW w:w="1407" w:type="dxa"/>
            <w:vAlign w:val="center"/>
          </w:tcPr>
          <w:p w:rsidR="00DB3138" w:rsidRDefault="00933F12">
            <w:pPr>
              <w:jc w:val="center"/>
            </w:pPr>
            <w:r>
              <w:rPr>
                <w:color w:val="000000"/>
                <w:sz w:val="24"/>
                <w:szCs w:val="24"/>
              </w:rPr>
              <w:t>12</w:t>
            </w:r>
            <w:r>
              <w:rPr>
                <w:color w:val="000000"/>
                <w:sz w:val="24"/>
                <w:szCs w:val="24"/>
              </w:rPr>
              <w:t>年</w:t>
            </w:r>
          </w:p>
        </w:tc>
        <w:tc>
          <w:tcPr>
            <w:tcW w:w="2673" w:type="dxa"/>
            <w:vAlign w:val="center"/>
          </w:tcPr>
          <w:p w:rsidR="00DB3138" w:rsidRDefault="00933F12">
            <w:r>
              <w:rPr>
                <w:color w:val="000000"/>
                <w:sz w:val="24"/>
                <w:szCs w:val="24"/>
              </w:rPr>
              <w:t>陈俊华女士，中国国籍，上海交通大学金融学硕士。历任国泰君安证券研究部研究员、中国国际金融有限公司研究部公用事业组负责人。</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B3138" w:rsidRDefault="00933F1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B3138" w:rsidRDefault="00933F1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B3138" w:rsidRDefault="00933F1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lastRenderedPageBreak/>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B3138" w:rsidRDefault="00933F12">
      <w:pPr>
        <w:spacing w:before="29" w:line="288" w:lineRule="auto"/>
        <w:ind w:firstLineChars="200" w:firstLine="480"/>
        <w:rPr>
          <w:color w:val="000000"/>
          <w:sz w:val="24"/>
          <w:szCs w:val="24"/>
        </w:rPr>
      </w:pPr>
      <w:r>
        <w:rPr>
          <w:color w:val="000000"/>
          <w:sz w:val="24"/>
          <w:szCs w:val="24"/>
        </w:rPr>
        <w:t>2017</w:t>
      </w:r>
      <w:r>
        <w:rPr>
          <w:color w:val="000000"/>
          <w:sz w:val="24"/>
          <w:szCs w:val="24"/>
        </w:rPr>
        <w:t>年四季度，</w:t>
      </w:r>
      <w:r>
        <w:rPr>
          <w:color w:val="000000"/>
          <w:sz w:val="24"/>
          <w:szCs w:val="24"/>
        </w:rPr>
        <w:t>A</w:t>
      </w:r>
      <w:r>
        <w:rPr>
          <w:color w:val="000000"/>
          <w:sz w:val="24"/>
          <w:szCs w:val="24"/>
        </w:rPr>
        <w:t>股、港股市场指数上涨，但板块热点发生较大变动。港股方面叠加获利了结因素，市场波动进一步扩大。四季度，本基金跑赢业绩比较基准并取得正收益，我们认为主要源自优化持仓结构，通过选股获取超额收益。</w:t>
      </w:r>
    </w:p>
    <w:p w:rsidR="00DB3138" w:rsidRDefault="00933F12">
      <w:pPr>
        <w:spacing w:before="29" w:line="288" w:lineRule="auto"/>
        <w:ind w:firstLineChars="200" w:firstLine="480"/>
        <w:rPr>
          <w:color w:val="000000"/>
          <w:sz w:val="24"/>
          <w:szCs w:val="24"/>
        </w:rPr>
      </w:pPr>
      <w:r>
        <w:rPr>
          <w:color w:val="000000"/>
          <w:sz w:val="24"/>
          <w:szCs w:val="24"/>
        </w:rPr>
        <w:t>四季度，本基金持续中高仓位配置，维持以港股配置为主的操作策略，主要进行了结构调整。我们减持了前期获利较多的家电、汽车和周期个股，增配金融和必选消费板块，调整了科技板块配置。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我们谨慎乐观，我们认为自下而上优选个股的重要性更加突出。我们对港股整体呈乐观态度：全球范围内，港股预计仍具估值优势，且国内和海外投资者都有增加港股配置的需求，然而短期的资金波动和获利了结需求，增加了港股市场的震荡，这为中长期投资者提供了好的机会。</w:t>
      </w:r>
      <w:r w:rsidRPr="00414345">
        <w:rPr>
          <w:color w:val="000000"/>
          <w:sz w:val="24"/>
          <w:szCs w:val="24"/>
        </w:rPr>
        <w:t>A</w:t>
      </w:r>
      <w:r w:rsidRPr="00414345">
        <w:rPr>
          <w:color w:val="000000"/>
          <w:sz w:val="24"/>
          <w:szCs w:val="24"/>
        </w:rPr>
        <w:t>股方面，我们仍坚持从产业链研究角度，以绝对思路为主要的选股标准，精选个股。我们依然聚焦于两个筛选视角：</w:t>
      </w:r>
      <w:r w:rsidRPr="00414345">
        <w:rPr>
          <w:color w:val="000000"/>
          <w:sz w:val="24"/>
          <w:szCs w:val="24"/>
        </w:rPr>
        <w:t>1</w:t>
      </w:r>
      <w:r w:rsidRPr="00414345">
        <w:rPr>
          <w:color w:val="000000"/>
          <w:sz w:val="24"/>
          <w:szCs w:val="24"/>
        </w:rPr>
        <w:t>）消费升级，其趋势和内在需求将长期存在；</w:t>
      </w:r>
      <w:r w:rsidRPr="00414345">
        <w:rPr>
          <w:color w:val="000000"/>
          <w:sz w:val="24"/>
          <w:szCs w:val="24"/>
        </w:rPr>
        <w:t>2</w:t>
      </w:r>
      <w:r w:rsidRPr="00414345">
        <w:rPr>
          <w:color w:val="000000"/>
          <w:sz w:val="24"/>
          <w:szCs w:val="24"/>
        </w:rPr>
        <w:t>）进入工业产品的全球供应链的中国企业，即体现其制造能力由</w:t>
      </w:r>
      <w:r w:rsidRPr="00414345">
        <w:rPr>
          <w:color w:val="000000"/>
          <w:sz w:val="24"/>
          <w:szCs w:val="24"/>
        </w:rPr>
        <w:t>“</w:t>
      </w:r>
      <w:r w:rsidRPr="00414345">
        <w:rPr>
          <w:color w:val="000000"/>
          <w:sz w:val="24"/>
          <w:szCs w:val="24"/>
        </w:rPr>
        <w:t>大</w:t>
      </w:r>
      <w:r w:rsidRPr="00414345">
        <w:rPr>
          <w:color w:val="000000"/>
          <w:sz w:val="24"/>
          <w:szCs w:val="24"/>
        </w:rPr>
        <w:t>”</w:t>
      </w:r>
      <w:r w:rsidRPr="00414345">
        <w:rPr>
          <w:color w:val="000000"/>
          <w:sz w:val="24"/>
          <w:szCs w:val="24"/>
        </w:rPr>
        <w:t>向</w:t>
      </w:r>
      <w:r w:rsidRPr="00414345">
        <w:rPr>
          <w:color w:val="000000"/>
          <w:sz w:val="24"/>
          <w:szCs w:val="24"/>
        </w:rPr>
        <w:t>“</w:t>
      </w:r>
      <w:r w:rsidRPr="00414345">
        <w:rPr>
          <w:color w:val="000000"/>
          <w:sz w:val="24"/>
          <w:szCs w:val="24"/>
        </w:rPr>
        <w:t>强</w:t>
      </w:r>
      <w:r w:rsidRPr="00414345">
        <w:rPr>
          <w:color w:val="000000"/>
          <w:sz w:val="24"/>
          <w:szCs w:val="24"/>
        </w:rPr>
        <w:t>”</w:t>
      </w:r>
      <w:r w:rsidRPr="00414345">
        <w:rPr>
          <w:color w:val="000000"/>
          <w:sz w:val="24"/>
          <w:szCs w:val="24"/>
        </w:rPr>
        <w:t>阶段发展的企业。我们将继续勤勉尽责地积极调研，自下而上挖掘相关标的，努力为投资人赚取稳健的回报。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本报告期末，本基金份额净值为</w:t>
      </w:r>
      <w:r w:rsidRPr="00414345">
        <w:rPr>
          <w:color w:val="000000"/>
          <w:sz w:val="24"/>
          <w:szCs w:val="24"/>
        </w:rPr>
        <w:t>1.317</w:t>
      </w:r>
      <w:r w:rsidRPr="00414345">
        <w:rPr>
          <w:color w:val="000000"/>
          <w:sz w:val="24"/>
          <w:szCs w:val="24"/>
        </w:rPr>
        <w:t>元，本报告期份额净值增长率为</w:t>
      </w:r>
      <w:r w:rsidRPr="00414345">
        <w:rPr>
          <w:color w:val="000000"/>
          <w:sz w:val="24"/>
          <w:szCs w:val="24"/>
        </w:rPr>
        <w:t>8.93%</w:t>
      </w:r>
      <w:r w:rsidRPr="00414345">
        <w:rPr>
          <w:color w:val="000000"/>
          <w:sz w:val="24"/>
          <w:szCs w:val="24"/>
        </w:rPr>
        <w:t>，同期业绩比较基准增长率为</w:t>
      </w:r>
      <w:r w:rsidRPr="00414345">
        <w:rPr>
          <w:color w:val="000000"/>
          <w:sz w:val="24"/>
          <w:szCs w:val="24"/>
        </w:rPr>
        <w:t>5.38%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190,109,026.50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190,109,026.50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52,462,480.30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21.52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1,172,837.52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0.48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243,744,344.32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67,142,678.28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15,994,200.00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84,544,878.28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35.22</w:t>
            </w:r>
          </w:p>
        </w:tc>
      </w:tr>
    </w:tbl>
    <w:p w:rsidR="00FC4003" w:rsidRDefault="00FC4003"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DB3138">
        <w:trPr>
          <w:jc w:val="center"/>
        </w:trPr>
        <w:tc>
          <w:tcPr>
            <w:tcW w:w="2397" w:type="dxa"/>
            <w:vAlign w:val="center"/>
          </w:tcPr>
          <w:p w:rsidR="00DB3138" w:rsidRDefault="00933F12" w:rsidP="00941D76">
            <w:pPr>
              <w:jc w:val="left"/>
            </w:pPr>
            <w:r>
              <w:rPr>
                <w:color w:val="000000"/>
                <w:sz w:val="24"/>
              </w:rPr>
              <w:t>非必需消费品</w:t>
            </w:r>
          </w:p>
        </w:tc>
        <w:tc>
          <w:tcPr>
            <w:tcW w:w="3119" w:type="dxa"/>
            <w:vAlign w:val="center"/>
          </w:tcPr>
          <w:p w:rsidR="00DB3138" w:rsidRDefault="00933F12" w:rsidP="00941D76">
            <w:pPr>
              <w:jc w:val="right"/>
            </w:pPr>
            <w:r>
              <w:rPr>
                <w:color w:val="000000"/>
                <w:sz w:val="24"/>
              </w:rPr>
              <w:t>30,565,885.06</w:t>
            </w:r>
          </w:p>
        </w:tc>
        <w:tc>
          <w:tcPr>
            <w:tcW w:w="3118" w:type="dxa"/>
            <w:vAlign w:val="center"/>
          </w:tcPr>
          <w:p w:rsidR="00DB3138" w:rsidRDefault="00933F12" w:rsidP="00941D76">
            <w:pPr>
              <w:jc w:val="right"/>
            </w:pPr>
            <w:r>
              <w:rPr>
                <w:color w:val="000000"/>
                <w:sz w:val="24"/>
              </w:rPr>
              <w:t>12.73</w:t>
            </w:r>
          </w:p>
        </w:tc>
      </w:tr>
      <w:tr w:rsidR="00DB3138">
        <w:trPr>
          <w:jc w:val="center"/>
        </w:trPr>
        <w:tc>
          <w:tcPr>
            <w:tcW w:w="2397" w:type="dxa"/>
            <w:vAlign w:val="center"/>
          </w:tcPr>
          <w:p w:rsidR="00DB3138" w:rsidRDefault="00933F12" w:rsidP="00941D76">
            <w:pPr>
              <w:jc w:val="left"/>
            </w:pPr>
            <w:r>
              <w:rPr>
                <w:color w:val="000000"/>
                <w:sz w:val="24"/>
              </w:rPr>
              <w:t>必需消费品</w:t>
            </w:r>
          </w:p>
        </w:tc>
        <w:tc>
          <w:tcPr>
            <w:tcW w:w="3119" w:type="dxa"/>
            <w:vAlign w:val="center"/>
          </w:tcPr>
          <w:p w:rsidR="00DB3138" w:rsidRDefault="00933F12" w:rsidP="00941D76">
            <w:pPr>
              <w:jc w:val="right"/>
            </w:pPr>
            <w:r>
              <w:rPr>
                <w:color w:val="000000"/>
                <w:sz w:val="24"/>
              </w:rPr>
              <w:t>-</w:t>
            </w:r>
          </w:p>
        </w:tc>
        <w:tc>
          <w:tcPr>
            <w:tcW w:w="3118" w:type="dxa"/>
            <w:vAlign w:val="center"/>
          </w:tcPr>
          <w:p w:rsidR="00DB3138" w:rsidRDefault="00933F12" w:rsidP="00941D76">
            <w:pPr>
              <w:jc w:val="right"/>
            </w:pPr>
            <w:r>
              <w:rPr>
                <w:color w:val="000000"/>
                <w:sz w:val="24"/>
              </w:rPr>
              <w:t>-</w:t>
            </w:r>
          </w:p>
        </w:tc>
      </w:tr>
      <w:tr w:rsidR="00DB3138">
        <w:trPr>
          <w:jc w:val="center"/>
        </w:trPr>
        <w:tc>
          <w:tcPr>
            <w:tcW w:w="2397" w:type="dxa"/>
            <w:vAlign w:val="center"/>
          </w:tcPr>
          <w:p w:rsidR="00DB3138" w:rsidRDefault="00933F12" w:rsidP="00941D76">
            <w:pPr>
              <w:jc w:val="left"/>
            </w:pPr>
            <w:r>
              <w:rPr>
                <w:color w:val="000000"/>
                <w:sz w:val="24"/>
              </w:rPr>
              <w:t>能源</w:t>
            </w:r>
          </w:p>
        </w:tc>
        <w:tc>
          <w:tcPr>
            <w:tcW w:w="3119" w:type="dxa"/>
            <w:vAlign w:val="center"/>
          </w:tcPr>
          <w:p w:rsidR="00DB3138" w:rsidRDefault="00933F12" w:rsidP="00941D76">
            <w:pPr>
              <w:jc w:val="right"/>
            </w:pPr>
            <w:r>
              <w:rPr>
                <w:color w:val="000000"/>
                <w:sz w:val="24"/>
              </w:rPr>
              <w:t>-</w:t>
            </w:r>
          </w:p>
        </w:tc>
        <w:tc>
          <w:tcPr>
            <w:tcW w:w="3118" w:type="dxa"/>
            <w:vAlign w:val="center"/>
          </w:tcPr>
          <w:p w:rsidR="00DB3138" w:rsidRDefault="00933F12" w:rsidP="00941D76">
            <w:pPr>
              <w:jc w:val="right"/>
            </w:pPr>
            <w:r>
              <w:rPr>
                <w:color w:val="000000"/>
                <w:sz w:val="24"/>
              </w:rPr>
              <w:t>-</w:t>
            </w:r>
          </w:p>
        </w:tc>
      </w:tr>
      <w:tr w:rsidR="00DB3138">
        <w:trPr>
          <w:jc w:val="center"/>
        </w:trPr>
        <w:tc>
          <w:tcPr>
            <w:tcW w:w="2397" w:type="dxa"/>
            <w:vAlign w:val="center"/>
          </w:tcPr>
          <w:p w:rsidR="00DB3138" w:rsidRDefault="00933F12" w:rsidP="00941D76">
            <w:pPr>
              <w:jc w:val="left"/>
            </w:pPr>
            <w:r>
              <w:rPr>
                <w:color w:val="000000"/>
                <w:sz w:val="24"/>
              </w:rPr>
              <w:t>金融</w:t>
            </w:r>
          </w:p>
        </w:tc>
        <w:tc>
          <w:tcPr>
            <w:tcW w:w="3119" w:type="dxa"/>
            <w:vAlign w:val="center"/>
          </w:tcPr>
          <w:p w:rsidR="00DB3138" w:rsidRDefault="00933F12" w:rsidP="00941D76">
            <w:pPr>
              <w:jc w:val="right"/>
            </w:pPr>
            <w:r>
              <w:rPr>
                <w:color w:val="000000"/>
                <w:sz w:val="24"/>
              </w:rPr>
              <w:t>26,329,493.18</w:t>
            </w:r>
          </w:p>
        </w:tc>
        <w:tc>
          <w:tcPr>
            <w:tcW w:w="3118" w:type="dxa"/>
            <w:vAlign w:val="center"/>
          </w:tcPr>
          <w:p w:rsidR="00DB3138" w:rsidRDefault="00933F12" w:rsidP="00941D76">
            <w:pPr>
              <w:jc w:val="right"/>
            </w:pPr>
            <w:r>
              <w:rPr>
                <w:color w:val="000000"/>
                <w:sz w:val="24"/>
              </w:rPr>
              <w:t>10.97</w:t>
            </w:r>
          </w:p>
        </w:tc>
      </w:tr>
      <w:tr w:rsidR="00DB3138">
        <w:trPr>
          <w:jc w:val="center"/>
        </w:trPr>
        <w:tc>
          <w:tcPr>
            <w:tcW w:w="2397" w:type="dxa"/>
            <w:vAlign w:val="center"/>
          </w:tcPr>
          <w:p w:rsidR="00DB3138" w:rsidRDefault="00933F12" w:rsidP="00941D76">
            <w:pPr>
              <w:jc w:val="left"/>
            </w:pPr>
            <w:r>
              <w:rPr>
                <w:color w:val="000000"/>
                <w:sz w:val="24"/>
              </w:rPr>
              <w:t>医疗保健</w:t>
            </w:r>
          </w:p>
        </w:tc>
        <w:tc>
          <w:tcPr>
            <w:tcW w:w="3119" w:type="dxa"/>
            <w:vAlign w:val="center"/>
          </w:tcPr>
          <w:p w:rsidR="00DB3138" w:rsidRDefault="00933F12" w:rsidP="00941D76">
            <w:pPr>
              <w:jc w:val="right"/>
            </w:pPr>
            <w:r>
              <w:rPr>
                <w:color w:val="000000"/>
                <w:sz w:val="24"/>
              </w:rPr>
              <w:t>-</w:t>
            </w:r>
          </w:p>
        </w:tc>
        <w:tc>
          <w:tcPr>
            <w:tcW w:w="3118" w:type="dxa"/>
            <w:vAlign w:val="center"/>
          </w:tcPr>
          <w:p w:rsidR="00DB3138" w:rsidRDefault="00933F12" w:rsidP="00941D76">
            <w:pPr>
              <w:jc w:val="right"/>
            </w:pPr>
            <w:r>
              <w:rPr>
                <w:color w:val="000000"/>
                <w:sz w:val="24"/>
              </w:rPr>
              <w:t>-</w:t>
            </w:r>
          </w:p>
        </w:tc>
      </w:tr>
      <w:tr w:rsidR="00DB3138">
        <w:trPr>
          <w:jc w:val="center"/>
        </w:trPr>
        <w:tc>
          <w:tcPr>
            <w:tcW w:w="2397" w:type="dxa"/>
            <w:vAlign w:val="center"/>
          </w:tcPr>
          <w:p w:rsidR="00DB3138" w:rsidRDefault="00933F12" w:rsidP="00941D76">
            <w:pPr>
              <w:jc w:val="left"/>
            </w:pPr>
            <w:r>
              <w:rPr>
                <w:color w:val="000000"/>
                <w:sz w:val="24"/>
              </w:rPr>
              <w:t>工业</w:t>
            </w:r>
          </w:p>
        </w:tc>
        <w:tc>
          <w:tcPr>
            <w:tcW w:w="3119" w:type="dxa"/>
            <w:vAlign w:val="center"/>
          </w:tcPr>
          <w:p w:rsidR="00DB3138" w:rsidRDefault="00933F12" w:rsidP="00941D76">
            <w:pPr>
              <w:jc w:val="right"/>
            </w:pPr>
            <w:r>
              <w:rPr>
                <w:color w:val="000000"/>
                <w:sz w:val="24"/>
              </w:rPr>
              <w:t>-</w:t>
            </w:r>
          </w:p>
        </w:tc>
        <w:tc>
          <w:tcPr>
            <w:tcW w:w="3118" w:type="dxa"/>
            <w:vAlign w:val="center"/>
          </w:tcPr>
          <w:p w:rsidR="00DB3138" w:rsidRDefault="00933F12" w:rsidP="00941D76">
            <w:pPr>
              <w:jc w:val="right"/>
            </w:pPr>
            <w:r>
              <w:rPr>
                <w:color w:val="000000"/>
                <w:sz w:val="24"/>
              </w:rPr>
              <w:t>-</w:t>
            </w:r>
          </w:p>
        </w:tc>
      </w:tr>
      <w:tr w:rsidR="00DB3138">
        <w:trPr>
          <w:jc w:val="center"/>
        </w:trPr>
        <w:tc>
          <w:tcPr>
            <w:tcW w:w="2397" w:type="dxa"/>
            <w:vAlign w:val="center"/>
          </w:tcPr>
          <w:p w:rsidR="00DB3138" w:rsidRDefault="00933F12" w:rsidP="00941D76">
            <w:pPr>
              <w:jc w:val="left"/>
            </w:pPr>
            <w:r>
              <w:rPr>
                <w:color w:val="000000"/>
                <w:sz w:val="24"/>
              </w:rPr>
              <w:t>信息技术</w:t>
            </w:r>
          </w:p>
        </w:tc>
        <w:tc>
          <w:tcPr>
            <w:tcW w:w="3119" w:type="dxa"/>
            <w:vAlign w:val="center"/>
          </w:tcPr>
          <w:p w:rsidR="00DB3138" w:rsidRDefault="00933F12" w:rsidP="00941D76">
            <w:pPr>
              <w:jc w:val="right"/>
            </w:pPr>
            <w:r>
              <w:rPr>
                <w:color w:val="000000"/>
                <w:sz w:val="24"/>
              </w:rPr>
              <w:t>35,571,732.10</w:t>
            </w:r>
          </w:p>
        </w:tc>
        <w:tc>
          <w:tcPr>
            <w:tcW w:w="3118" w:type="dxa"/>
            <w:vAlign w:val="center"/>
          </w:tcPr>
          <w:p w:rsidR="00DB3138" w:rsidRDefault="00933F12" w:rsidP="00941D76">
            <w:pPr>
              <w:jc w:val="right"/>
            </w:pPr>
            <w:r>
              <w:rPr>
                <w:color w:val="000000"/>
                <w:sz w:val="24"/>
              </w:rPr>
              <w:t>14.82</w:t>
            </w:r>
          </w:p>
        </w:tc>
      </w:tr>
      <w:tr w:rsidR="00DB3138">
        <w:trPr>
          <w:jc w:val="center"/>
        </w:trPr>
        <w:tc>
          <w:tcPr>
            <w:tcW w:w="2397" w:type="dxa"/>
            <w:vAlign w:val="center"/>
          </w:tcPr>
          <w:p w:rsidR="00DB3138" w:rsidRDefault="00933F12" w:rsidP="00941D76">
            <w:pPr>
              <w:jc w:val="left"/>
            </w:pPr>
            <w:r>
              <w:rPr>
                <w:color w:val="000000"/>
                <w:sz w:val="24"/>
              </w:rPr>
              <w:t>材料</w:t>
            </w:r>
          </w:p>
        </w:tc>
        <w:tc>
          <w:tcPr>
            <w:tcW w:w="3119" w:type="dxa"/>
            <w:vAlign w:val="center"/>
          </w:tcPr>
          <w:p w:rsidR="00DB3138" w:rsidRDefault="00933F12" w:rsidP="00941D76">
            <w:pPr>
              <w:jc w:val="right"/>
            </w:pPr>
            <w:r>
              <w:rPr>
                <w:color w:val="000000"/>
                <w:sz w:val="24"/>
              </w:rPr>
              <w:t>-</w:t>
            </w:r>
          </w:p>
        </w:tc>
        <w:tc>
          <w:tcPr>
            <w:tcW w:w="3118" w:type="dxa"/>
            <w:vAlign w:val="center"/>
          </w:tcPr>
          <w:p w:rsidR="00DB3138" w:rsidRDefault="00933F12" w:rsidP="00941D76">
            <w:pPr>
              <w:jc w:val="right"/>
            </w:pPr>
            <w:r>
              <w:rPr>
                <w:color w:val="000000"/>
                <w:sz w:val="24"/>
              </w:rPr>
              <w:t>-</w:t>
            </w:r>
          </w:p>
        </w:tc>
      </w:tr>
      <w:tr w:rsidR="00DB3138">
        <w:trPr>
          <w:jc w:val="center"/>
        </w:trPr>
        <w:tc>
          <w:tcPr>
            <w:tcW w:w="2397" w:type="dxa"/>
            <w:vAlign w:val="center"/>
          </w:tcPr>
          <w:p w:rsidR="00DB3138" w:rsidRDefault="00933F12" w:rsidP="00941D76">
            <w:pPr>
              <w:jc w:val="left"/>
            </w:pPr>
            <w:r>
              <w:rPr>
                <w:color w:val="000000"/>
                <w:sz w:val="24"/>
              </w:rPr>
              <w:t>房地产</w:t>
            </w:r>
          </w:p>
        </w:tc>
        <w:tc>
          <w:tcPr>
            <w:tcW w:w="3119" w:type="dxa"/>
            <w:vAlign w:val="center"/>
          </w:tcPr>
          <w:p w:rsidR="00DB3138" w:rsidRDefault="00933F12" w:rsidP="00941D76">
            <w:pPr>
              <w:jc w:val="right"/>
            </w:pPr>
            <w:r>
              <w:rPr>
                <w:color w:val="000000"/>
                <w:sz w:val="24"/>
              </w:rPr>
              <w:t>9,378,910.20</w:t>
            </w:r>
          </w:p>
        </w:tc>
        <w:tc>
          <w:tcPr>
            <w:tcW w:w="3118" w:type="dxa"/>
            <w:vAlign w:val="center"/>
          </w:tcPr>
          <w:p w:rsidR="00DB3138" w:rsidRDefault="00933F12" w:rsidP="00941D76">
            <w:pPr>
              <w:jc w:val="right"/>
            </w:pPr>
            <w:r>
              <w:rPr>
                <w:color w:val="000000"/>
                <w:sz w:val="24"/>
              </w:rPr>
              <w:t>3.91</w:t>
            </w:r>
          </w:p>
        </w:tc>
      </w:tr>
      <w:tr w:rsidR="00DB3138">
        <w:trPr>
          <w:jc w:val="center"/>
        </w:trPr>
        <w:tc>
          <w:tcPr>
            <w:tcW w:w="2397" w:type="dxa"/>
            <w:vAlign w:val="center"/>
          </w:tcPr>
          <w:p w:rsidR="00DB3138" w:rsidRDefault="00933F12" w:rsidP="00941D76">
            <w:pPr>
              <w:jc w:val="left"/>
            </w:pPr>
            <w:r>
              <w:rPr>
                <w:color w:val="000000"/>
                <w:sz w:val="24"/>
              </w:rPr>
              <w:t>电信业务</w:t>
            </w:r>
          </w:p>
        </w:tc>
        <w:tc>
          <w:tcPr>
            <w:tcW w:w="3119" w:type="dxa"/>
            <w:vAlign w:val="center"/>
          </w:tcPr>
          <w:p w:rsidR="00DB3138" w:rsidRDefault="00933F12" w:rsidP="00941D76">
            <w:pPr>
              <w:jc w:val="right"/>
            </w:pPr>
            <w:r>
              <w:rPr>
                <w:color w:val="000000"/>
                <w:sz w:val="24"/>
              </w:rPr>
              <w:t>-</w:t>
            </w:r>
          </w:p>
        </w:tc>
        <w:tc>
          <w:tcPr>
            <w:tcW w:w="3118" w:type="dxa"/>
            <w:vAlign w:val="center"/>
          </w:tcPr>
          <w:p w:rsidR="00DB3138" w:rsidRDefault="00933F12" w:rsidP="00941D76">
            <w:pPr>
              <w:jc w:val="right"/>
            </w:pPr>
            <w:r>
              <w:rPr>
                <w:color w:val="000000"/>
                <w:sz w:val="24"/>
              </w:rPr>
              <w:t>0.00</w:t>
            </w:r>
          </w:p>
        </w:tc>
      </w:tr>
      <w:tr w:rsidR="00DB3138">
        <w:trPr>
          <w:jc w:val="center"/>
        </w:trPr>
        <w:tc>
          <w:tcPr>
            <w:tcW w:w="2397" w:type="dxa"/>
            <w:vAlign w:val="center"/>
          </w:tcPr>
          <w:p w:rsidR="00DB3138" w:rsidRDefault="00933F12" w:rsidP="00941D76">
            <w:pPr>
              <w:jc w:val="left"/>
            </w:pPr>
            <w:r>
              <w:rPr>
                <w:color w:val="000000"/>
                <w:sz w:val="24"/>
              </w:rPr>
              <w:t>公用事业</w:t>
            </w:r>
          </w:p>
        </w:tc>
        <w:tc>
          <w:tcPr>
            <w:tcW w:w="3119" w:type="dxa"/>
            <w:vAlign w:val="center"/>
          </w:tcPr>
          <w:p w:rsidR="00DB3138" w:rsidRDefault="00933F12" w:rsidP="00941D76">
            <w:pPr>
              <w:jc w:val="right"/>
            </w:pPr>
            <w:r>
              <w:rPr>
                <w:color w:val="000000"/>
                <w:sz w:val="24"/>
              </w:rPr>
              <w:t>3,718,127.68</w:t>
            </w:r>
          </w:p>
        </w:tc>
        <w:tc>
          <w:tcPr>
            <w:tcW w:w="3118" w:type="dxa"/>
            <w:vAlign w:val="center"/>
          </w:tcPr>
          <w:p w:rsidR="00DB3138" w:rsidRDefault="00933F12" w:rsidP="00941D76">
            <w:pPr>
              <w:jc w:val="right"/>
            </w:pPr>
            <w:r>
              <w:rPr>
                <w:color w:val="000000"/>
                <w:sz w:val="24"/>
              </w:rPr>
              <w:t>1.55</w:t>
            </w:r>
          </w:p>
        </w:tc>
      </w:tr>
      <w:tr w:rsidR="00F51C4E" w:rsidRPr="00FF0BBF" w:rsidTr="00AD114B">
        <w:trPr>
          <w:jc w:val="center"/>
        </w:trPr>
        <w:tc>
          <w:tcPr>
            <w:tcW w:w="2397" w:type="dxa"/>
            <w:vAlign w:val="center"/>
          </w:tcPr>
          <w:p w:rsidR="00F51C4E" w:rsidRPr="00FF0BBF" w:rsidRDefault="00F51C4E" w:rsidP="00941D76">
            <w:pPr>
              <w:spacing w:before="29" w:line="360" w:lineRule="auto"/>
              <w:ind w:left="17"/>
              <w:jc w:val="left"/>
              <w:rPr>
                <w:color w:val="000000"/>
                <w:sz w:val="24"/>
              </w:rPr>
            </w:pPr>
            <w:r w:rsidRPr="00FF0BBF">
              <w:rPr>
                <w:rFonts w:hint="eastAsia"/>
                <w:color w:val="000000"/>
                <w:sz w:val="24"/>
              </w:rPr>
              <w:t>合计</w:t>
            </w:r>
          </w:p>
        </w:tc>
        <w:tc>
          <w:tcPr>
            <w:tcW w:w="3119" w:type="dxa"/>
            <w:vAlign w:val="center"/>
          </w:tcPr>
          <w:p w:rsidR="00F51C4E" w:rsidRPr="00FF0BBF" w:rsidRDefault="00F51C4E" w:rsidP="00941D76">
            <w:pPr>
              <w:spacing w:before="29" w:line="360" w:lineRule="auto"/>
              <w:ind w:left="17"/>
              <w:jc w:val="right"/>
              <w:rPr>
                <w:color w:val="000000"/>
                <w:sz w:val="24"/>
              </w:rPr>
            </w:pPr>
            <w:r w:rsidRPr="00FF0BBF">
              <w:rPr>
                <w:rFonts w:hint="eastAsia"/>
                <w:color w:val="000000"/>
                <w:sz w:val="24"/>
              </w:rPr>
              <w:t>105,564,148.22</w:t>
            </w:r>
          </w:p>
        </w:tc>
        <w:tc>
          <w:tcPr>
            <w:tcW w:w="3118" w:type="dxa"/>
            <w:vAlign w:val="center"/>
          </w:tcPr>
          <w:p w:rsidR="00F51C4E" w:rsidRPr="00FF0BBF" w:rsidRDefault="00F51C4E" w:rsidP="00941D76">
            <w:pPr>
              <w:spacing w:before="29" w:line="360" w:lineRule="auto"/>
              <w:ind w:left="17"/>
              <w:jc w:val="right"/>
              <w:rPr>
                <w:color w:val="000000"/>
                <w:sz w:val="24"/>
              </w:rPr>
            </w:pPr>
            <w:r w:rsidRPr="00FF0BBF">
              <w:rPr>
                <w:rFonts w:hint="eastAsia"/>
                <w:color w:val="000000"/>
                <w:sz w:val="24"/>
              </w:rPr>
              <w:t>43.98</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B3138">
        <w:trPr>
          <w:jc w:val="center"/>
        </w:trPr>
        <w:tc>
          <w:tcPr>
            <w:tcW w:w="855" w:type="dxa"/>
            <w:vAlign w:val="center"/>
          </w:tcPr>
          <w:p w:rsidR="00DB3138" w:rsidRDefault="00933F12">
            <w:pPr>
              <w:jc w:val="center"/>
            </w:pPr>
            <w:r>
              <w:rPr>
                <w:color w:val="000000"/>
                <w:sz w:val="24"/>
                <w:szCs w:val="24"/>
              </w:rPr>
              <w:t>1</w:t>
            </w:r>
          </w:p>
        </w:tc>
        <w:tc>
          <w:tcPr>
            <w:tcW w:w="1334" w:type="dxa"/>
            <w:vAlign w:val="center"/>
          </w:tcPr>
          <w:p w:rsidR="00DB3138" w:rsidRDefault="00933F12">
            <w:pPr>
              <w:jc w:val="center"/>
            </w:pPr>
            <w:r>
              <w:rPr>
                <w:color w:val="000000"/>
                <w:sz w:val="24"/>
                <w:szCs w:val="24"/>
              </w:rPr>
              <w:t>H00700</w:t>
            </w:r>
          </w:p>
        </w:tc>
        <w:tc>
          <w:tcPr>
            <w:tcW w:w="1777" w:type="dxa"/>
            <w:vAlign w:val="center"/>
          </w:tcPr>
          <w:p w:rsidR="00DB3138" w:rsidRDefault="00933F12">
            <w:pPr>
              <w:jc w:val="center"/>
            </w:pPr>
            <w:r>
              <w:rPr>
                <w:color w:val="000000"/>
                <w:sz w:val="24"/>
                <w:szCs w:val="24"/>
              </w:rPr>
              <w:t>腾讯控股</w:t>
            </w:r>
          </w:p>
        </w:tc>
        <w:tc>
          <w:tcPr>
            <w:tcW w:w="1334" w:type="dxa"/>
            <w:vAlign w:val="center"/>
          </w:tcPr>
          <w:p w:rsidR="00DB3138" w:rsidRDefault="00933F12">
            <w:pPr>
              <w:jc w:val="right"/>
            </w:pPr>
            <w:r>
              <w:rPr>
                <w:color w:val="000000"/>
                <w:sz w:val="24"/>
                <w:szCs w:val="24"/>
              </w:rPr>
              <w:t>58,000</w:t>
            </w:r>
          </w:p>
        </w:tc>
        <w:tc>
          <w:tcPr>
            <w:tcW w:w="1924" w:type="dxa"/>
            <w:vAlign w:val="center"/>
          </w:tcPr>
          <w:p w:rsidR="00DB3138" w:rsidRDefault="00933F12">
            <w:pPr>
              <w:jc w:val="right"/>
            </w:pPr>
            <w:r>
              <w:rPr>
                <w:color w:val="000000"/>
                <w:sz w:val="24"/>
                <w:szCs w:val="24"/>
              </w:rPr>
              <w:t>19,684,008.68</w:t>
            </w:r>
          </w:p>
        </w:tc>
        <w:tc>
          <w:tcPr>
            <w:tcW w:w="1644" w:type="dxa"/>
            <w:vAlign w:val="center"/>
          </w:tcPr>
          <w:p w:rsidR="00DB3138" w:rsidRDefault="00933F12">
            <w:pPr>
              <w:jc w:val="right"/>
            </w:pPr>
            <w:r>
              <w:rPr>
                <w:color w:val="000000"/>
                <w:sz w:val="24"/>
                <w:szCs w:val="24"/>
              </w:rPr>
              <w:t>8.20</w:t>
            </w:r>
          </w:p>
        </w:tc>
      </w:tr>
      <w:tr w:rsidR="00DB3138">
        <w:trPr>
          <w:jc w:val="center"/>
        </w:trPr>
        <w:tc>
          <w:tcPr>
            <w:tcW w:w="855" w:type="dxa"/>
            <w:vAlign w:val="center"/>
          </w:tcPr>
          <w:p w:rsidR="00DB3138" w:rsidRDefault="00933F12">
            <w:pPr>
              <w:jc w:val="center"/>
            </w:pPr>
            <w:r>
              <w:rPr>
                <w:color w:val="000000"/>
                <w:sz w:val="24"/>
                <w:szCs w:val="24"/>
              </w:rPr>
              <w:t>2</w:t>
            </w:r>
          </w:p>
        </w:tc>
        <w:tc>
          <w:tcPr>
            <w:tcW w:w="1334" w:type="dxa"/>
            <w:vAlign w:val="center"/>
          </w:tcPr>
          <w:p w:rsidR="00DB3138" w:rsidRDefault="00933F12">
            <w:pPr>
              <w:jc w:val="center"/>
            </w:pPr>
            <w:r>
              <w:rPr>
                <w:color w:val="000000"/>
                <w:sz w:val="24"/>
                <w:szCs w:val="24"/>
              </w:rPr>
              <w:t>H00881</w:t>
            </w:r>
          </w:p>
        </w:tc>
        <w:tc>
          <w:tcPr>
            <w:tcW w:w="1777" w:type="dxa"/>
            <w:vAlign w:val="center"/>
          </w:tcPr>
          <w:p w:rsidR="00DB3138" w:rsidRDefault="00933F12">
            <w:pPr>
              <w:jc w:val="center"/>
            </w:pPr>
            <w:r>
              <w:rPr>
                <w:color w:val="000000"/>
                <w:sz w:val="24"/>
                <w:szCs w:val="24"/>
              </w:rPr>
              <w:t>中升控股</w:t>
            </w:r>
          </w:p>
        </w:tc>
        <w:tc>
          <w:tcPr>
            <w:tcW w:w="1334" w:type="dxa"/>
            <w:vAlign w:val="center"/>
          </w:tcPr>
          <w:p w:rsidR="00DB3138" w:rsidRDefault="00933F12">
            <w:pPr>
              <w:jc w:val="right"/>
            </w:pPr>
            <w:r>
              <w:rPr>
                <w:color w:val="000000"/>
                <w:sz w:val="24"/>
                <w:szCs w:val="24"/>
              </w:rPr>
              <w:t>650,000</w:t>
            </w:r>
          </w:p>
        </w:tc>
        <w:tc>
          <w:tcPr>
            <w:tcW w:w="1924" w:type="dxa"/>
            <w:vAlign w:val="center"/>
          </w:tcPr>
          <w:p w:rsidR="00DB3138" w:rsidRDefault="00933F12">
            <w:pPr>
              <w:jc w:val="right"/>
            </w:pPr>
            <w:r>
              <w:rPr>
                <w:color w:val="000000"/>
                <w:sz w:val="24"/>
                <w:szCs w:val="24"/>
              </w:rPr>
              <w:t>9,693,212.36</w:t>
            </w:r>
          </w:p>
        </w:tc>
        <w:tc>
          <w:tcPr>
            <w:tcW w:w="1644" w:type="dxa"/>
            <w:vAlign w:val="center"/>
          </w:tcPr>
          <w:p w:rsidR="00DB3138" w:rsidRDefault="00933F12">
            <w:pPr>
              <w:jc w:val="right"/>
            </w:pPr>
            <w:r>
              <w:rPr>
                <w:color w:val="000000"/>
                <w:sz w:val="24"/>
                <w:szCs w:val="24"/>
              </w:rPr>
              <w:t>4.04</w:t>
            </w:r>
          </w:p>
        </w:tc>
      </w:tr>
      <w:tr w:rsidR="00DB3138">
        <w:trPr>
          <w:jc w:val="center"/>
        </w:trPr>
        <w:tc>
          <w:tcPr>
            <w:tcW w:w="855" w:type="dxa"/>
            <w:vAlign w:val="center"/>
          </w:tcPr>
          <w:p w:rsidR="00DB3138" w:rsidRDefault="00933F12">
            <w:pPr>
              <w:jc w:val="center"/>
            </w:pPr>
            <w:r>
              <w:rPr>
                <w:color w:val="000000"/>
                <w:sz w:val="24"/>
                <w:szCs w:val="24"/>
              </w:rPr>
              <w:t>3</w:t>
            </w:r>
          </w:p>
        </w:tc>
        <w:tc>
          <w:tcPr>
            <w:tcW w:w="1334" w:type="dxa"/>
            <w:vAlign w:val="center"/>
          </w:tcPr>
          <w:p w:rsidR="00DB3138" w:rsidRDefault="00933F12">
            <w:pPr>
              <w:jc w:val="center"/>
            </w:pPr>
            <w:r>
              <w:rPr>
                <w:color w:val="000000"/>
                <w:sz w:val="24"/>
                <w:szCs w:val="24"/>
              </w:rPr>
              <w:t>000858</w:t>
            </w:r>
          </w:p>
        </w:tc>
        <w:tc>
          <w:tcPr>
            <w:tcW w:w="1777" w:type="dxa"/>
            <w:vAlign w:val="center"/>
          </w:tcPr>
          <w:p w:rsidR="00DB3138" w:rsidRDefault="00933F12">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DB3138" w:rsidRDefault="00933F12">
            <w:pPr>
              <w:jc w:val="right"/>
            </w:pPr>
            <w:r>
              <w:rPr>
                <w:color w:val="000000"/>
                <w:sz w:val="24"/>
                <w:szCs w:val="24"/>
              </w:rPr>
              <w:t>120,000</w:t>
            </w:r>
          </w:p>
        </w:tc>
        <w:tc>
          <w:tcPr>
            <w:tcW w:w="1924" w:type="dxa"/>
            <w:vAlign w:val="center"/>
          </w:tcPr>
          <w:p w:rsidR="00DB3138" w:rsidRDefault="00933F12">
            <w:pPr>
              <w:jc w:val="right"/>
            </w:pPr>
            <w:r>
              <w:rPr>
                <w:color w:val="000000"/>
                <w:sz w:val="24"/>
                <w:szCs w:val="24"/>
              </w:rPr>
              <w:t>9,585,600.00</w:t>
            </w:r>
          </w:p>
        </w:tc>
        <w:tc>
          <w:tcPr>
            <w:tcW w:w="1644" w:type="dxa"/>
            <w:vAlign w:val="center"/>
          </w:tcPr>
          <w:p w:rsidR="00DB3138" w:rsidRDefault="00933F12">
            <w:pPr>
              <w:jc w:val="right"/>
            </w:pPr>
            <w:r>
              <w:rPr>
                <w:color w:val="000000"/>
                <w:sz w:val="24"/>
                <w:szCs w:val="24"/>
              </w:rPr>
              <w:t>3.99</w:t>
            </w:r>
          </w:p>
        </w:tc>
      </w:tr>
      <w:tr w:rsidR="00DB3138">
        <w:trPr>
          <w:jc w:val="center"/>
        </w:trPr>
        <w:tc>
          <w:tcPr>
            <w:tcW w:w="855" w:type="dxa"/>
            <w:vAlign w:val="center"/>
          </w:tcPr>
          <w:p w:rsidR="00DB3138" w:rsidRDefault="00933F12">
            <w:pPr>
              <w:jc w:val="center"/>
            </w:pPr>
            <w:r>
              <w:rPr>
                <w:color w:val="000000"/>
                <w:sz w:val="24"/>
                <w:szCs w:val="24"/>
              </w:rPr>
              <w:t>4</w:t>
            </w:r>
          </w:p>
        </w:tc>
        <w:tc>
          <w:tcPr>
            <w:tcW w:w="1334" w:type="dxa"/>
            <w:vAlign w:val="center"/>
          </w:tcPr>
          <w:p w:rsidR="00DB3138" w:rsidRDefault="00933F12">
            <w:pPr>
              <w:jc w:val="center"/>
            </w:pPr>
            <w:r>
              <w:rPr>
                <w:color w:val="000000"/>
                <w:sz w:val="24"/>
                <w:szCs w:val="24"/>
              </w:rPr>
              <w:t>H02313</w:t>
            </w:r>
          </w:p>
        </w:tc>
        <w:tc>
          <w:tcPr>
            <w:tcW w:w="1777" w:type="dxa"/>
            <w:vAlign w:val="center"/>
          </w:tcPr>
          <w:p w:rsidR="00DB3138" w:rsidRDefault="00933F12">
            <w:pPr>
              <w:jc w:val="center"/>
            </w:pPr>
            <w:r>
              <w:rPr>
                <w:color w:val="000000"/>
                <w:sz w:val="24"/>
                <w:szCs w:val="24"/>
              </w:rPr>
              <w:t>申洲国际</w:t>
            </w:r>
          </w:p>
        </w:tc>
        <w:tc>
          <w:tcPr>
            <w:tcW w:w="1334" w:type="dxa"/>
            <w:vAlign w:val="center"/>
          </w:tcPr>
          <w:p w:rsidR="00DB3138" w:rsidRDefault="00933F12">
            <w:pPr>
              <w:jc w:val="right"/>
            </w:pPr>
            <w:r>
              <w:rPr>
                <w:color w:val="000000"/>
                <w:sz w:val="24"/>
                <w:szCs w:val="24"/>
              </w:rPr>
              <w:t>150,000</w:t>
            </w:r>
          </w:p>
        </w:tc>
        <w:tc>
          <w:tcPr>
            <w:tcW w:w="1924" w:type="dxa"/>
            <w:vAlign w:val="center"/>
          </w:tcPr>
          <w:p w:rsidR="00DB3138" w:rsidRDefault="00933F12">
            <w:pPr>
              <w:jc w:val="right"/>
            </w:pPr>
            <w:r>
              <w:rPr>
                <w:color w:val="000000"/>
                <w:sz w:val="24"/>
                <w:szCs w:val="24"/>
              </w:rPr>
              <w:t>9,328,755.60</w:t>
            </w:r>
          </w:p>
        </w:tc>
        <w:tc>
          <w:tcPr>
            <w:tcW w:w="1644" w:type="dxa"/>
            <w:vAlign w:val="center"/>
          </w:tcPr>
          <w:p w:rsidR="00DB3138" w:rsidRDefault="00933F12">
            <w:pPr>
              <w:jc w:val="right"/>
            </w:pPr>
            <w:r>
              <w:rPr>
                <w:color w:val="000000"/>
                <w:sz w:val="24"/>
                <w:szCs w:val="24"/>
              </w:rPr>
              <w:t>3.89</w:t>
            </w:r>
          </w:p>
        </w:tc>
      </w:tr>
      <w:tr w:rsidR="00DB3138">
        <w:trPr>
          <w:jc w:val="center"/>
        </w:trPr>
        <w:tc>
          <w:tcPr>
            <w:tcW w:w="855" w:type="dxa"/>
            <w:vAlign w:val="center"/>
          </w:tcPr>
          <w:p w:rsidR="00DB3138" w:rsidRDefault="00933F12">
            <w:pPr>
              <w:jc w:val="center"/>
            </w:pPr>
            <w:r>
              <w:rPr>
                <w:color w:val="000000"/>
                <w:sz w:val="24"/>
                <w:szCs w:val="24"/>
              </w:rPr>
              <w:t>5</w:t>
            </w:r>
          </w:p>
        </w:tc>
        <w:tc>
          <w:tcPr>
            <w:tcW w:w="1334" w:type="dxa"/>
            <w:vAlign w:val="center"/>
          </w:tcPr>
          <w:p w:rsidR="00DB3138" w:rsidRDefault="00933F12">
            <w:pPr>
              <w:jc w:val="center"/>
            </w:pPr>
            <w:r>
              <w:rPr>
                <w:color w:val="000000"/>
                <w:sz w:val="24"/>
                <w:szCs w:val="24"/>
              </w:rPr>
              <w:t>600036</w:t>
            </w:r>
          </w:p>
        </w:tc>
        <w:tc>
          <w:tcPr>
            <w:tcW w:w="1777" w:type="dxa"/>
            <w:vAlign w:val="center"/>
          </w:tcPr>
          <w:p w:rsidR="00DB3138" w:rsidRDefault="00933F12">
            <w:pPr>
              <w:jc w:val="center"/>
            </w:pPr>
            <w:r>
              <w:rPr>
                <w:color w:val="000000"/>
                <w:sz w:val="24"/>
                <w:szCs w:val="24"/>
              </w:rPr>
              <w:t>招商银行</w:t>
            </w:r>
          </w:p>
        </w:tc>
        <w:tc>
          <w:tcPr>
            <w:tcW w:w="1334" w:type="dxa"/>
            <w:vAlign w:val="center"/>
          </w:tcPr>
          <w:p w:rsidR="00DB3138" w:rsidRDefault="00933F12">
            <w:pPr>
              <w:jc w:val="right"/>
            </w:pPr>
            <w:r>
              <w:rPr>
                <w:color w:val="000000"/>
                <w:sz w:val="24"/>
                <w:szCs w:val="24"/>
              </w:rPr>
              <w:t>310,000</w:t>
            </w:r>
          </w:p>
        </w:tc>
        <w:tc>
          <w:tcPr>
            <w:tcW w:w="1924" w:type="dxa"/>
            <w:vAlign w:val="center"/>
          </w:tcPr>
          <w:p w:rsidR="00DB3138" w:rsidRDefault="00933F12">
            <w:pPr>
              <w:jc w:val="right"/>
            </w:pPr>
            <w:r>
              <w:rPr>
                <w:color w:val="000000"/>
                <w:sz w:val="24"/>
                <w:szCs w:val="24"/>
              </w:rPr>
              <w:t>8,996,200.00</w:t>
            </w:r>
          </w:p>
        </w:tc>
        <w:tc>
          <w:tcPr>
            <w:tcW w:w="1644" w:type="dxa"/>
            <w:vAlign w:val="center"/>
          </w:tcPr>
          <w:p w:rsidR="00DB3138" w:rsidRDefault="00933F12">
            <w:pPr>
              <w:jc w:val="right"/>
            </w:pPr>
            <w:r>
              <w:rPr>
                <w:color w:val="000000"/>
                <w:sz w:val="24"/>
                <w:szCs w:val="24"/>
              </w:rPr>
              <w:t>3.75</w:t>
            </w:r>
          </w:p>
        </w:tc>
      </w:tr>
      <w:tr w:rsidR="00DB3138">
        <w:trPr>
          <w:jc w:val="center"/>
        </w:trPr>
        <w:tc>
          <w:tcPr>
            <w:tcW w:w="855" w:type="dxa"/>
            <w:vAlign w:val="center"/>
          </w:tcPr>
          <w:p w:rsidR="00DB3138" w:rsidRDefault="00933F12">
            <w:pPr>
              <w:jc w:val="center"/>
            </w:pPr>
            <w:r>
              <w:rPr>
                <w:color w:val="000000"/>
                <w:sz w:val="24"/>
                <w:szCs w:val="24"/>
              </w:rPr>
              <w:t>6</w:t>
            </w:r>
          </w:p>
        </w:tc>
        <w:tc>
          <w:tcPr>
            <w:tcW w:w="1334" w:type="dxa"/>
            <w:vAlign w:val="center"/>
          </w:tcPr>
          <w:p w:rsidR="00DB3138" w:rsidRDefault="00933F12">
            <w:pPr>
              <w:jc w:val="center"/>
            </w:pPr>
            <w:r>
              <w:rPr>
                <w:color w:val="000000"/>
                <w:sz w:val="24"/>
                <w:szCs w:val="24"/>
              </w:rPr>
              <w:t>H01336</w:t>
            </w:r>
          </w:p>
        </w:tc>
        <w:tc>
          <w:tcPr>
            <w:tcW w:w="1777" w:type="dxa"/>
            <w:vAlign w:val="center"/>
          </w:tcPr>
          <w:p w:rsidR="00DB3138" w:rsidRDefault="00933F12">
            <w:pPr>
              <w:jc w:val="center"/>
            </w:pPr>
            <w:r>
              <w:rPr>
                <w:color w:val="000000"/>
                <w:sz w:val="24"/>
                <w:szCs w:val="24"/>
              </w:rPr>
              <w:t>新华保险</w:t>
            </w:r>
          </w:p>
        </w:tc>
        <w:tc>
          <w:tcPr>
            <w:tcW w:w="1334" w:type="dxa"/>
            <w:vAlign w:val="center"/>
          </w:tcPr>
          <w:p w:rsidR="00DB3138" w:rsidRDefault="00933F12">
            <w:pPr>
              <w:jc w:val="right"/>
            </w:pPr>
            <w:r>
              <w:rPr>
                <w:color w:val="000000"/>
                <w:sz w:val="24"/>
                <w:szCs w:val="24"/>
              </w:rPr>
              <w:t>200,000</w:t>
            </w:r>
          </w:p>
        </w:tc>
        <w:tc>
          <w:tcPr>
            <w:tcW w:w="1924" w:type="dxa"/>
            <w:vAlign w:val="center"/>
          </w:tcPr>
          <w:p w:rsidR="00DB3138" w:rsidRDefault="00933F12">
            <w:pPr>
              <w:jc w:val="right"/>
            </w:pPr>
            <w:r>
              <w:rPr>
                <w:color w:val="000000"/>
                <w:sz w:val="24"/>
                <w:szCs w:val="24"/>
              </w:rPr>
              <w:t>8,927,518.80</w:t>
            </w:r>
          </w:p>
        </w:tc>
        <w:tc>
          <w:tcPr>
            <w:tcW w:w="1644" w:type="dxa"/>
            <w:vAlign w:val="center"/>
          </w:tcPr>
          <w:p w:rsidR="00DB3138" w:rsidRDefault="00933F12">
            <w:pPr>
              <w:jc w:val="right"/>
            </w:pPr>
            <w:r>
              <w:rPr>
                <w:color w:val="000000"/>
                <w:sz w:val="24"/>
                <w:szCs w:val="24"/>
              </w:rPr>
              <w:t>3.72</w:t>
            </w:r>
          </w:p>
        </w:tc>
      </w:tr>
      <w:tr w:rsidR="00DB3138">
        <w:trPr>
          <w:jc w:val="center"/>
        </w:trPr>
        <w:tc>
          <w:tcPr>
            <w:tcW w:w="855" w:type="dxa"/>
            <w:vAlign w:val="center"/>
          </w:tcPr>
          <w:p w:rsidR="00DB3138" w:rsidRDefault="00933F12">
            <w:pPr>
              <w:jc w:val="center"/>
            </w:pPr>
            <w:r>
              <w:rPr>
                <w:color w:val="000000"/>
                <w:sz w:val="24"/>
                <w:szCs w:val="24"/>
              </w:rPr>
              <w:t>7</w:t>
            </w:r>
          </w:p>
        </w:tc>
        <w:tc>
          <w:tcPr>
            <w:tcW w:w="1334" w:type="dxa"/>
            <w:vAlign w:val="center"/>
          </w:tcPr>
          <w:p w:rsidR="00DB3138" w:rsidRDefault="00933F12">
            <w:pPr>
              <w:jc w:val="center"/>
            </w:pPr>
            <w:r>
              <w:rPr>
                <w:color w:val="000000"/>
                <w:sz w:val="24"/>
                <w:szCs w:val="24"/>
              </w:rPr>
              <w:t>H02018</w:t>
            </w:r>
          </w:p>
        </w:tc>
        <w:tc>
          <w:tcPr>
            <w:tcW w:w="1777" w:type="dxa"/>
            <w:vAlign w:val="center"/>
          </w:tcPr>
          <w:p w:rsidR="00DB3138" w:rsidRDefault="00933F12">
            <w:pPr>
              <w:jc w:val="center"/>
            </w:pPr>
            <w:r>
              <w:rPr>
                <w:color w:val="000000"/>
                <w:sz w:val="24"/>
                <w:szCs w:val="24"/>
              </w:rPr>
              <w:t>瑞声科技</w:t>
            </w:r>
          </w:p>
        </w:tc>
        <w:tc>
          <w:tcPr>
            <w:tcW w:w="1334" w:type="dxa"/>
            <w:vAlign w:val="center"/>
          </w:tcPr>
          <w:p w:rsidR="00DB3138" w:rsidRDefault="00933F12">
            <w:pPr>
              <w:jc w:val="right"/>
            </w:pPr>
            <w:r>
              <w:rPr>
                <w:color w:val="000000"/>
                <w:sz w:val="24"/>
                <w:szCs w:val="24"/>
              </w:rPr>
              <w:t>75,000</w:t>
            </w:r>
          </w:p>
        </w:tc>
        <w:tc>
          <w:tcPr>
            <w:tcW w:w="1924" w:type="dxa"/>
            <w:vAlign w:val="center"/>
          </w:tcPr>
          <w:p w:rsidR="00DB3138" w:rsidRDefault="00933F12">
            <w:pPr>
              <w:jc w:val="right"/>
            </w:pPr>
            <w:r>
              <w:rPr>
                <w:color w:val="000000"/>
                <w:sz w:val="24"/>
                <w:szCs w:val="24"/>
              </w:rPr>
              <w:t>8,739,439.05</w:t>
            </w:r>
          </w:p>
        </w:tc>
        <w:tc>
          <w:tcPr>
            <w:tcW w:w="1644" w:type="dxa"/>
            <w:vAlign w:val="center"/>
          </w:tcPr>
          <w:p w:rsidR="00DB3138" w:rsidRDefault="00933F12">
            <w:pPr>
              <w:jc w:val="right"/>
            </w:pPr>
            <w:r>
              <w:rPr>
                <w:color w:val="000000"/>
                <w:sz w:val="24"/>
                <w:szCs w:val="24"/>
              </w:rPr>
              <w:t>3.64</w:t>
            </w:r>
          </w:p>
        </w:tc>
      </w:tr>
      <w:tr w:rsidR="00DB3138">
        <w:trPr>
          <w:jc w:val="center"/>
        </w:trPr>
        <w:tc>
          <w:tcPr>
            <w:tcW w:w="855" w:type="dxa"/>
            <w:vAlign w:val="center"/>
          </w:tcPr>
          <w:p w:rsidR="00DB3138" w:rsidRDefault="00933F12">
            <w:pPr>
              <w:jc w:val="center"/>
            </w:pPr>
            <w:r>
              <w:rPr>
                <w:color w:val="000000"/>
                <w:sz w:val="24"/>
                <w:szCs w:val="24"/>
              </w:rPr>
              <w:t>8</w:t>
            </w:r>
          </w:p>
        </w:tc>
        <w:tc>
          <w:tcPr>
            <w:tcW w:w="1334" w:type="dxa"/>
            <w:vAlign w:val="center"/>
          </w:tcPr>
          <w:p w:rsidR="00DB3138" w:rsidRDefault="00933F12">
            <w:pPr>
              <w:jc w:val="center"/>
            </w:pPr>
            <w:r>
              <w:rPr>
                <w:color w:val="000000"/>
                <w:sz w:val="24"/>
                <w:szCs w:val="24"/>
              </w:rPr>
              <w:t>H00939</w:t>
            </w:r>
          </w:p>
        </w:tc>
        <w:tc>
          <w:tcPr>
            <w:tcW w:w="1777" w:type="dxa"/>
            <w:vAlign w:val="center"/>
          </w:tcPr>
          <w:p w:rsidR="00DB3138" w:rsidRDefault="00933F12">
            <w:pPr>
              <w:jc w:val="center"/>
            </w:pPr>
            <w:r>
              <w:rPr>
                <w:color w:val="000000"/>
                <w:sz w:val="24"/>
                <w:szCs w:val="24"/>
              </w:rPr>
              <w:t>建设银行</w:t>
            </w:r>
          </w:p>
        </w:tc>
        <w:tc>
          <w:tcPr>
            <w:tcW w:w="1334" w:type="dxa"/>
            <w:vAlign w:val="center"/>
          </w:tcPr>
          <w:p w:rsidR="00DB3138" w:rsidRDefault="00933F12">
            <w:pPr>
              <w:jc w:val="right"/>
            </w:pPr>
            <w:r>
              <w:rPr>
                <w:color w:val="000000"/>
                <w:sz w:val="24"/>
                <w:szCs w:val="24"/>
              </w:rPr>
              <w:t>1,400,000</w:t>
            </w:r>
          </w:p>
        </w:tc>
        <w:tc>
          <w:tcPr>
            <w:tcW w:w="1924" w:type="dxa"/>
            <w:vAlign w:val="center"/>
          </w:tcPr>
          <w:p w:rsidR="00DB3138" w:rsidRDefault="00933F12">
            <w:pPr>
              <w:jc w:val="right"/>
            </w:pPr>
            <w:r>
              <w:rPr>
                <w:color w:val="000000"/>
                <w:sz w:val="24"/>
                <w:szCs w:val="24"/>
              </w:rPr>
              <w:t>8,425,972.80</w:t>
            </w:r>
          </w:p>
        </w:tc>
        <w:tc>
          <w:tcPr>
            <w:tcW w:w="1644" w:type="dxa"/>
            <w:vAlign w:val="center"/>
          </w:tcPr>
          <w:p w:rsidR="00DB3138" w:rsidRDefault="00933F12">
            <w:pPr>
              <w:jc w:val="right"/>
            </w:pPr>
            <w:r>
              <w:rPr>
                <w:color w:val="000000"/>
                <w:sz w:val="24"/>
                <w:szCs w:val="24"/>
              </w:rPr>
              <w:t>3.51</w:t>
            </w:r>
          </w:p>
        </w:tc>
      </w:tr>
      <w:tr w:rsidR="00DB3138">
        <w:trPr>
          <w:jc w:val="center"/>
        </w:trPr>
        <w:tc>
          <w:tcPr>
            <w:tcW w:w="855" w:type="dxa"/>
            <w:vAlign w:val="center"/>
          </w:tcPr>
          <w:p w:rsidR="00DB3138" w:rsidRDefault="00933F12">
            <w:pPr>
              <w:jc w:val="center"/>
            </w:pPr>
            <w:r>
              <w:rPr>
                <w:color w:val="000000"/>
                <w:sz w:val="24"/>
                <w:szCs w:val="24"/>
              </w:rPr>
              <w:t>9</w:t>
            </w:r>
          </w:p>
        </w:tc>
        <w:tc>
          <w:tcPr>
            <w:tcW w:w="1334" w:type="dxa"/>
            <w:vAlign w:val="center"/>
          </w:tcPr>
          <w:p w:rsidR="00DB3138" w:rsidRDefault="00933F12">
            <w:pPr>
              <w:jc w:val="center"/>
            </w:pPr>
            <w:r>
              <w:rPr>
                <w:color w:val="000000"/>
                <w:sz w:val="24"/>
                <w:szCs w:val="24"/>
              </w:rPr>
              <w:t>600066</w:t>
            </w:r>
          </w:p>
        </w:tc>
        <w:tc>
          <w:tcPr>
            <w:tcW w:w="1777" w:type="dxa"/>
            <w:vAlign w:val="center"/>
          </w:tcPr>
          <w:p w:rsidR="00DB3138" w:rsidRDefault="00933F12">
            <w:pPr>
              <w:jc w:val="center"/>
            </w:pPr>
            <w:r>
              <w:rPr>
                <w:color w:val="000000"/>
                <w:sz w:val="24"/>
                <w:szCs w:val="24"/>
              </w:rPr>
              <w:t>宇通客车</w:t>
            </w:r>
          </w:p>
        </w:tc>
        <w:tc>
          <w:tcPr>
            <w:tcW w:w="1334" w:type="dxa"/>
            <w:vAlign w:val="center"/>
          </w:tcPr>
          <w:p w:rsidR="00DB3138" w:rsidRDefault="00933F12">
            <w:pPr>
              <w:jc w:val="right"/>
            </w:pPr>
            <w:r>
              <w:rPr>
                <w:color w:val="000000"/>
                <w:sz w:val="24"/>
                <w:szCs w:val="24"/>
              </w:rPr>
              <w:t>350,000</w:t>
            </w:r>
          </w:p>
        </w:tc>
        <w:tc>
          <w:tcPr>
            <w:tcW w:w="1924" w:type="dxa"/>
            <w:vAlign w:val="center"/>
          </w:tcPr>
          <w:p w:rsidR="00DB3138" w:rsidRDefault="00933F12">
            <w:pPr>
              <w:jc w:val="right"/>
            </w:pPr>
            <w:r>
              <w:rPr>
                <w:color w:val="000000"/>
                <w:sz w:val="24"/>
                <w:szCs w:val="24"/>
              </w:rPr>
              <w:t>8,424,500.00</w:t>
            </w:r>
          </w:p>
        </w:tc>
        <w:tc>
          <w:tcPr>
            <w:tcW w:w="1644" w:type="dxa"/>
            <w:vAlign w:val="center"/>
          </w:tcPr>
          <w:p w:rsidR="00DB3138" w:rsidRDefault="00933F12">
            <w:pPr>
              <w:jc w:val="right"/>
            </w:pPr>
            <w:r>
              <w:rPr>
                <w:color w:val="000000"/>
                <w:sz w:val="24"/>
                <w:szCs w:val="24"/>
              </w:rPr>
              <w:t>3.51</w:t>
            </w:r>
          </w:p>
        </w:tc>
      </w:tr>
      <w:tr w:rsidR="00DB3138">
        <w:trPr>
          <w:jc w:val="center"/>
        </w:trPr>
        <w:tc>
          <w:tcPr>
            <w:tcW w:w="855" w:type="dxa"/>
            <w:vAlign w:val="center"/>
          </w:tcPr>
          <w:p w:rsidR="00DB3138" w:rsidRDefault="00933F12">
            <w:pPr>
              <w:jc w:val="center"/>
            </w:pPr>
            <w:r>
              <w:rPr>
                <w:color w:val="000000"/>
                <w:sz w:val="24"/>
                <w:szCs w:val="24"/>
              </w:rPr>
              <w:t>10</w:t>
            </w:r>
          </w:p>
        </w:tc>
        <w:tc>
          <w:tcPr>
            <w:tcW w:w="1334" w:type="dxa"/>
            <w:vAlign w:val="center"/>
          </w:tcPr>
          <w:p w:rsidR="00DB3138" w:rsidRDefault="00933F12">
            <w:pPr>
              <w:jc w:val="center"/>
            </w:pPr>
            <w:r>
              <w:rPr>
                <w:color w:val="000000"/>
                <w:sz w:val="24"/>
                <w:szCs w:val="24"/>
              </w:rPr>
              <w:t>H01169</w:t>
            </w:r>
          </w:p>
        </w:tc>
        <w:tc>
          <w:tcPr>
            <w:tcW w:w="1777" w:type="dxa"/>
            <w:vAlign w:val="center"/>
          </w:tcPr>
          <w:p w:rsidR="00DB3138" w:rsidRDefault="00933F12">
            <w:pPr>
              <w:jc w:val="center"/>
            </w:pPr>
            <w:r>
              <w:rPr>
                <w:color w:val="000000"/>
                <w:sz w:val="24"/>
                <w:szCs w:val="24"/>
              </w:rPr>
              <w:t>海尔电器</w:t>
            </w:r>
          </w:p>
        </w:tc>
        <w:tc>
          <w:tcPr>
            <w:tcW w:w="1334" w:type="dxa"/>
            <w:vAlign w:val="center"/>
          </w:tcPr>
          <w:p w:rsidR="00DB3138" w:rsidRDefault="00933F12">
            <w:pPr>
              <w:jc w:val="right"/>
            </w:pPr>
            <w:r>
              <w:rPr>
                <w:color w:val="000000"/>
                <w:sz w:val="24"/>
                <w:szCs w:val="24"/>
              </w:rPr>
              <w:t>450,000</w:t>
            </w:r>
          </w:p>
        </w:tc>
        <w:tc>
          <w:tcPr>
            <w:tcW w:w="1924" w:type="dxa"/>
            <w:vAlign w:val="center"/>
          </w:tcPr>
          <w:p w:rsidR="00DB3138" w:rsidRDefault="00933F12">
            <w:pPr>
              <w:jc w:val="right"/>
            </w:pPr>
            <w:r>
              <w:rPr>
                <w:color w:val="000000"/>
                <w:sz w:val="24"/>
                <w:szCs w:val="24"/>
              </w:rPr>
              <w:t>8,049,813.30</w:t>
            </w:r>
          </w:p>
        </w:tc>
        <w:tc>
          <w:tcPr>
            <w:tcW w:w="1644" w:type="dxa"/>
            <w:vAlign w:val="center"/>
          </w:tcPr>
          <w:p w:rsidR="00DB3138" w:rsidRDefault="00933F12">
            <w:pPr>
              <w:jc w:val="right"/>
            </w:pPr>
            <w:r>
              <w:rPr>
                <w:color w:val="000000"/>
                <w:sz w:val="24"/>
                <w:szCs w:val="24"/>
              </w:rPr>
              <w:t>3.35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39,252.28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96,000.00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14,940.42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1,022,644.82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1,172,837.52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118,773,817.88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110,525,028.46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47,035,070.90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182,263,775.44</w:t>
            </w:r>
          </w:p>
        </w:tc>
      </w:tr>
    </w:tbl>
    <w:p w:rsidR="00DB3138" w:rsidRDefault="00933F1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B3138" w:rsidRDefault="00933F1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、中国证监会准予交银施罗德沪港深价值精选灵活配置混合型证券投资基金募集注册的文件；</w:t>
      </w:r>
      <w:r>
        <w:rPr>
          <w:color w:val="000000"/>
          <w:sz w:val="24"/>
          <w:szCs w:val="24"/>
        </w:rPr>
        <w:t xml:space="preserve"> </w:t>
      </w:r>
    </w:p>
    <w:p w:rsidR="00DB3138" w:rsidRDefault="00933F1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、《交银施罗德沪港深价值精选灵活配置混合型证券投资基金基金合同》；</w:t>
      </w:r>
      <w:r>
        <w:rPr>
          <w:color w:val="000000"/>
          <w:sz w:val="24"/>
          <w:szCs w:val="24"/>
        </w:rPr>
        <w:t xml:space="preserve"> </w:t>
      </w:r>
    </w:p>
    <w:p w:rsidR="00DB3138" w:rsidRDefault="00933F1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、《交银施罗德沪港深价值精选灵活配置混合型证券投资基金招募说明书》；</w:t>
      </w:r>
      <w:r>
        <w:rPr>
          <w:color w:val="000000"/>
          <w:sz w:val="24"/>
          <w:szCs w:val="24"/>
        </w:rPr>
        <w:t xml:space="preserve"> </w:t>
      </w:r>
    </w:p>
    <w:p w:rsidR="00DB3138" w:rsidRDefault="00933F1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、《交银施罗德沪港深价值精选灵活配置混合型证券投资基金托管协议》；</w:t>
      </w:r>
      <w:r>
        <w:rPr>
          <w:color w:val="000000"/>
          <w:sz w:val="24"/>
          <w:szCs w:val="24"/>
        </w:rPr>
        <w:t xml:space="preserve"> </w:t>
      </w:r>
    </w:p>
    <w:p w:rsidR="00DB3138" w:rsidRDefault="00933F1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、关于申请募集注册交银施罗德沪港深价值精选灵活配置混合型证券投资基金的法律意见书；</w:t>
      </w:r>
      <w:r>
        <w:rPr>
          <w:color w:val="000000"/>
          <w:sz w:val="24"/>
          <w:szCs w:val="24"/>
        </w:rPr>
        <w:t xml:space="preserve"> </w:t>
      </w:r>
    </w:p>
    <w:p w:rsidR="00DB3138" w:rsidRDefault="00933F1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B3138" w:rsidRDefault="00933F1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、报告期内交银施罗德沪港深价值精选灵活配置混合型证券投资基金在指定报刊上各项公告的原稿。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B3138" w:rsidRDefault="00933F1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8FA" w:rsidRDefault="001D78FA" w:rsidP="00876D65">
      <w:r>
        <w:separator/>
      </w:r>
    </w:p>
  </w:endnote>
  <w:endnote w:type="continuationSeparator" w:id="0">
    <w:p w:rsidR="001D78FA" w:rsidRDefault="001D78F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941D76">
      <w:rPr>
        <w:noProof/>
        <w:kern w:val="0"/>
        <w:szCs w:val="21"/>
      </w:rPr>
      <w:t>4</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941D76">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8FA" w:rsidRDefault="001D78FA" w:rsidP="00876D65">
      <w:r>
        <w:separator/>
      </w:r>
    </w:p>
  </w:footnote>
  <w:footnote w:type="continuationSeparator" w:id="0">
    <w:p w:rsidR="001D78FA" w:rsidRDefault="001D78F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D78FA"/>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33F12"/>
    <w:rsid w:val="00941D76"/>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B3138"/>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C738C"/>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505D"/>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4003"/>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812910-D97F-4CD0-8D77-65FA24A7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38EFB.43248A4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61EF-10A3-47C1-93F0-88197E9D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569</cp:revision>
  <dcterms:created xsi:type="dcterms:W3CDTF">2012-10-16T06:07:00Z</dcterms:created>
  <dcterms:modified xsi:type="dcterms:W3CDTF">2018-01-17T02:45:00Z</dcterms:modified>
</cp:coreProperties>
</file>