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D6ADC" w:rsidRDefault="000E71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637,011,368.90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5351B" w:rsidRPr="00414345" w:rsidTr="0035351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5351B" w:rsidRPr="00414345" w:rsidTr="003535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37,610,064.22</w:t>
            </w:r>
          </w:p>
        </w:tc>
      </w:tr>
      <w:tr w:rsidR="0035351B" w:rsidRPr="00414345" w:rsidTr="003535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17,885,291.22</w:t>
            </w:r>
          </w:p>
        </w:tc>
      </w:tr>
      <w:tr w:rsidR="0035351B" w:rsidRPr="00414345" w:rsidTr="003535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0.0293</w:t>
            </w:r>
          </w:p>
        </w:tc>
      </w:tr>
      <w:tr w:rsidR="0035351B" w:rsidRPr="00414345" w:rsidTr="0035351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742,425,715.59</w:t>
            </w:r>
          </w:p>
        </w:tc>
      </w:tr>
      <w:tr w:rsidR="0035351B" w:rsidRPr="00414345" w:rsidTr="0035351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1.1655</w:t>
            </w:r>
          </w:p>
        </w:tc>
      </w:tr>
    </w:tbl>
    <w:p w:rsidR="000D6ADC" w:rsidRDefault="000E71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0D6ADC" w:rsidRDefault="000E71AE">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D6ADC">
        <w:trPr>
          <w:jc w:val="center"/>
        </w:trPr>
        <w:tc>
          <w:tcPr>
            <w:tcW w:w="1701" w:type="dxa"/>
            <w:vAlign w:val="center"/>
          </w:tcPr>
          <w:p w:rsidR="000D6ADC" w:rsidRDefault="000E71AE">
            <w:pPr>
              <w:jc w:val="left"/>
            </w:pPr>
            <w:r>
              <w:rPr>
                <w:color w:val="000000"/>
                <w:sz w:val="24"/>
                <w:szCs w:val="24"/>
              </w:rPr>
              <w:t>过去三个月</w:t>
            </w:r>
          </w:p>
        </w:tc>
        <w:tc>
          <w:tcPr>
            <w:tcW w:w="1045" w:type="dxa"/>
            <w:vAlign w:val="center"/>
          </w:tcPr>
          <w:p w:rsidR="000D6ADC" w:rsidRDefault="000E71AE">
            <w:pPr>
              <w:jc w:val="center"/>
            </w:pPr>
            <w:r>
              <w:rPr>
                <w:color w:val="000000"/>
                <w:sz w:val="24"/>
                <w:szCs w:val="24"/>
              </w:rPr>
              <w:t>2.70%</w:t>
            </w:r>
          </w:p>
        </w:tc>
        <w:tc>
          <w:tcPr>
            <w:tcW w:w="1344" w:type="dxa"/>
            <w:vAlign w:val="center"/>
          </w:tcPr>
          <w:p w:rsidR="000D6ADC" w:rsidRDefault="000E71AE">
            <w:pPr>
              <w:jc w:val="center"/>
            </w:pPr>
            <w:r>
              <w:rPr>
                <w:color w:val="000000"/>
                <w:sz w:val="24"/>
                <w:szCs w:val="24"/>
              </w:rPr>
              <w:t>0.75%</w:t>
            </w:r>
          </w:p>
        </w:tc>
        <w:tc>
          <w:tcPr>
            <w:tcW w:w="1194" w:type="dxa"/>
            <w:vAlign w:val="center"/>
          </w:tcPr>
          <w:p w:rsidR="000D6ADC" w:rsidRDefault="000E71AE">
            <w:pPr>
              <w:jc w:val="center"/>
            </w:pPr>
            <w:r>
              <w:rPr>
                <w:color w:val="000000"/>
                <w:sz w:val="24"/>
                <w:szCs w:val="24"/>
              </w:rPr>
              <w:t>2.86%</w:t>
            </w:r>
          </w:p>
        </w:tc>
        <w:tc>
          <w:tcPr>
            <w:tcW w:w="1492" w:type="dxa"/>
            <w:vAlign w:val="center"/>
          </w:tcPr>
          <w:p w:rsidR="000D6ADC" w:rsidRDefault="000E71AE">
            <w:pPr>
              <w:jc w:val="center"/>
            </w:pPr>
            <w:r>
              <w:rPr>
                <w:color w:val="000000"/>
                <w:sz w:val="24"/>
                <w:szCs w:val="24"/>
              </w:rPr>
              <w:t>0.49%</w:t>
            </w:r>
          </w:p>
        </w:tc>
        <w:tc>
          <w:tcPr>
            <w:tcW w:w="1194" w:type="dxa"/>
            <w:vAlign w:val="center"/>
          </w:tcPr>
          <w:p w:rsidR="000D6ADC" w:rsidRDefault="000E71AE">
            <w:pPr>
              <w:jc w:val="center"/>
            </w:pPr>
            <w:r>
              <w:rPr>
                <w:color w:val="000000"/>
                <w:sz w:val="24"/>
                <w:szCs w:val="24"/>
              </w:rPr>
              <w:t>-0.16%</w:t>
            </w:r>
          </w:p>
        </w:tc>
        <w:tc>
          <w:tcPr>
            <w:tcW w:w="898" w:type="dxa"/>
            <w:vAlign w:val="center"/>
          </w:tcPr>
          <w:p w:rsidR="000D6ADC" w:rsidRDefault="000E71AE">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D6ADC">
        <w:trPr>
          <w:jc w:val="center"/>
        </w:trPr>
        <w:tc>
          <w:tcPr>
            <w:tcW w:w="846" w:type="dxa"/>
            <w:vAlign w:val="center"/>
          </w:tcPr>
          <w:p w:rsidR="000D6ADC" w:rsidRDefault="000E71AE">
            <w:pPr>
              <w:jc w:val="center"/>
            </w:pPr>
            <w:r>
              <w:rPr>
                <w:color w:val="000000"/>
                <w:sz w:val="24"/>
                <w:szCs w:val="24"/>
              </w:rPr>
              <w:t>任相栋</w:t>
            </w:r>
          </w:p>
        </w:tc>
        <w:tc>
          <w:tcPr>
            <w:tcW w:w="845" w:type="dxa"/>
            <w:vAlign w:val="center"/>
          </w:tcPr>
          <w:p w:rsidR="000D6ADC" w:rsidRDefault="000E71AE">
            <w:pPr>
              <w:jc w:val="center"/>
            </w:pPr>
            <w:r>
              <w:rPr>
                <w:color w:val="000000"/>
                <w:sz w:val="24"/>
                <w:szCs w:val="24"/>
              </w:rPr>
              <w:t>交银先进制造混合、交银经济</w:t>
            </w:r>
            <w:r>
              <w:rPr>
                <w:color w:val="000000"/>
                <w:sz w:val="24"/>
                <w:szCs w:val="24"/>
              </w:rPr>
              <w:lastRenderedPageBreak/>
              <w:t>新动力混合的基金经理</w:t>
            </w:r>
          </w:p>
        </w:tc>
        <w:tc>
          <w:tcPr>
            <w:tcW w:w="1549" w:type="dxa"/>
            <w:vAlign w:val="center"/>
          </w:tcPr>
          <w:p w:rsidR="000D6ADC" w:rsidRDefault="000E71AE">
            <w:pPr>
              <w:jc w:val="center"/>
            </w:pPr>
            <w:r>
              <w:rPr>
                <w:color w:val="000000"/>
                <w:sz w:val="24"/>
                <w:szCs w:val="24"/>
              </w:rPr>
              <w:lastRenderedPageBreak/>
              <w:t>2016-10-20</w:t>
            </w:r>
          </w:p>
        </w:tc>
        <w:tc>
          <w:tcPr>
            <w:tcW w:w="1548" w:type="dxa"/>
            <w:vAlign w:val="center"/>
          </w:tcPr>
          <w:p w:rsidR="000D6ADC" w:rsidRDefault="000E71AE">
            <w:pPr>
              <w:jc w:val="center"/>
            </w:pPr>
            <w:r>
              <w:rPr>
                <w:color w:val="000000"/>
                <w:sz w:val="24"/>
                <w:szCs w:val="24"/>
              </w:rPr>
              <w:t>-</w:t>
            </w:r>
          </w:p>
        </w:tc>
        <w:tc>
          <w:tcPr>
            <w:tcW w:w="1407" w:type="dxa"/>
            <w:vAlign w:val="center"/>
          </w:tcPr>
          <w:p w:rsidR="000D6ADC" w:rsidRDefault="000E71AE">
            <w:pPr>
              <w:jc w:val="center"/>
            </w:pPr>
            <w:r>
              <w:rPr>
                <w:color w:val="000000"/>
                <w:sz w:val="24"/>
                <w:szCs w:val="24"/>
              </w:rPr>
              <w:t>7</w:t>
            </w:r>
            <w:r>
              <w:rPr>
                <w:color w:val="000000"/>
                <w:sz w:val="24"/>
                <w:szCs w:val="24"/>
              </w:rPr>
              <w:t>年</w:t>
            </w:r>
          </w:p>
        </w:tc>
        <w:tc>
          <w:tcPr>
            <w:tcW w:w="2673" w:type="dxa"/>
            <w:vAlign w:val="center"/>
          </w:tcPr>
          <w:p w:rsidR="000D6ADC" w:rsidRDefault="000E71AE">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D6ADC" w:rsidRDefault="000E71A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D6ADC" w:rsidRDefault="000E71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D6ADC" w:rsidRDefault="000E71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0D6ADC" w:rsidRDefault="000E71AE">
      <w:pPr>
        <w:spacing w:before="29" w:line="288" w:lineRule="auto"/>
        <w:ind w:firstLineChars="200" w:firstLine="480"/>
        <w:rPr>
          <w:color w:val="000000"/>
          <w:sz w:val="24"/>
          <w:szCs w:val="24"/>
        </w:rPr>
      </w:pPr>
      <w:r>
        <w:rPr>
          <w:color w:val="000000"/>
          <w:sz w:val="24"/>
          <w:szCs w:val="24"/>
        </w:rPr>
        <w:t>四季度市场总体保持平稳，上证综指表现强于创业板，市场依然维持以白酒、家电为代表的白马股行情。</w:t>
      </w:r>
    </w:p>
    <w:p w:rsidR="000D6ADC" w:rsidRDefault="000E71AE">
      <w:pPr>
        <w:spacing w:before="29" w:line="288" w:lineRule="auto"/>
        <w:ind w:firstLineChars="200" w:firstLine="480"/>
        <w:rPr>
          <w:color w:val="000000"/>
          <w:sz w:val="24"/>
          <w:szCs w:val="24"/>
        </w:rPr>
      </w:pPr>
      <w:r>
        <w:rPr>
          <w:color w:val="000000"/>
          <w:sz w:val="24"/>
          <w:szCs w:val="24"/>
        </w:rPr>
        <w:t>本基金四季度基本跑平业绩比较基准，主要是把握了相关个股的投资机会。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市场仍有望维持业绩为王的主基调，业绩、估值和行业景气度依然为股价上涨的核心动量。但随着经济增速回落，市场结构可能出现较大变化，这表现在板块上主要是过去两年高收益率板块的回落，和某些过去两年低收益板块随着出现行业拐点板块而崛起。在市值上，过去一年的价值投资呈现一定</w:t>
      </w:r>
      <w:r w:rsidRPr="00414345">
        <w:rPr>
          <w:color w:val="000000"/>
          <w:sz w:val="24"/>
          <w:szCs w:val="24"/>
        </w:rPr>
        <w:t>“</w:t>
      </w:r>
      <w:r w:rsidRPr="00414345">
        <w:rPr>
          <w:color w:val="000000"/>
          <w:sz w:val="24"/>
          <w:szCs w:val="24"/>
        </w:rPr>
        <w:t>市值投资</w:t>
      </w:r>
      <w:r w:rsidRPr="00414345">
        <w:rPr>
          <w:color w:val="000000"/>
          <w:sz w:val="24"/>
          <w:szCs w:val="24"/>
        </w:rPr>
        <w:t>”</w:t>
      </w:r>
      <w:r w:rsidRPr="00414345">
        <w:rPr>
          <w:color w:val="000000"/>
          <w:sz w:val="24"/>
          <w:szCs w:val="24"/>
        </w:rPr>
        <w:t>倾向，未来市场中市值对个股表现的影响将弱化，个股表现在市值上会更加均衡。从长期看，我们看好</w:t>
      </w:r>
      <w:r w:rsidRPr="00414345">
        <w:rPr>
          <w:color w:val="000000"/>
          <w:sz w:val="24"/>
          <w:szCs w:val="24"/>
        </w:rPr>
        <w:t>“</w:t>
      </w:r>
      <w:r w:rsidRPr="00414345">
        <w:rPr>
          <w:color w:val="000000"/>
          <w:sz w:val="24"/>
          <w:szCs w:val="24"/>
        </w:rPr>
        <w:t>中国复兴</w:t>
      </w:r>
      <w:r w:rsidRPr="00414345">
        <w:rPr>
          <w:color w:val="000000"/>
          <w:sz w:val="24"/>
          <w:szCs w:val="24"/>
        </w:rPr>
        <w:t>”</w:t>
      </w:r>
      <w:r w:rsidRPr="00414345">
        <w:rPr>
          <w:color w:val="000000"/>
          <w:sz w:val="24"/>
          <w:szCs w:val="24"/>
        </w:rPr>
        <w:t>大背景下股票市场的投资机会，</w:t>
      </w:r>
      <w:r w:rsidRPr="00414345">
        <w:rPr>
          <w:color w:val="000000"/>
          <w:sz w:val="24"/>
          <w:szCs w:val="24"/>
        </w:rPr>
        <w:t>A</w:t>
      </w:r>
      <w:r w:rsidRPr="00414345">
        <w:rPr>
          <w:color w:val="000000"/>
          <w:sz w:val="24"/>
          <w:szCs w:val="24"/>
        </w:rPr>
        <w:t>股从长期看具有一定战略配置价值。本基金预计未来仍将维持中性仓位，力求控制好业绩回撤，努力为持有人取得稳健回报。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1.1655</w:t>
      </w:r>
      <w:r w:rsidRPr="00414345">
        <w:rPr>
          <w:color w:val="000000"/>
          <w:sz w:val="24"/>
          <w:szCs w:val="24"/>
        </w:rPr>
        <w:t>元，本报告期份额净值增长率为</w:t>
      </w:r>
      <w:r w:rsidRPr="00414345">
        <w:rPr>
          <w:color w:val="000000"/>
          <w:sz w:val="24"/>
          <w:szCs w:val="24"/>
        </w:rPr>
        <w:t>2.70%</w:t>
      </w:r>
      <w:r w:rsidRPr="00414345">
        <w:rPr>
          <w:color w:val="000000"/>
          <w:sz w:val="24"/>
          <w:szCs w:val="24"/>
        </w:rPr>
        <w:t>，同期业绩比较基准增长率为</w:t>
      </w:r>
      <w:r w:rsidRPr="00414345">
        <w:rPr>
          <w:color w:val="000000"/>
          <w:sz w:val="24"/>
          <w:szCs w:val="24"/>
        </w:rPr>
        <w:t>2.86%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655,218,590.79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655,218,590.79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113,899,600.77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715,988.04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769,834,179.60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401,083,261.58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19,388,913.20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7,968,211.00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32,491,725.00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4,917,317.76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35,792,760.71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109,355,282.69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12,791,629.65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19,210,390.00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12,219,099.20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655,218,590.79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88.25</w:t>
            </w:r>
          </w:p>
        </w:tc>
      </w:tr>
    </w:tbl>
    <w:p w:rsidR="0035351B" w:rsidRDefault="0035351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D6ADC">
        <w:trPr>
          <w:jc w:val="center"/>
        </w:trPr>
        <w:tc>
          <w:tcPr>
            <w:tcW w:w="855" w:type="dxa"/>
            <w:vAlign w:val="center"/>
          </w:tcPr>
          <w:p w:rsidR="000D6ADC" w:rsidRDefault="000E71AE">
            <w:pPr>
              <w:jc w:val="center"/>
            </w:pPr>
            <w:r>
              <w:rPr>
                <w:color w:val="000000"/>
                <w:sz w:val="24"/>
                <w:szCs w:val="24"/>
              </w:rPr>
              <w:t>1</w:t>
            </w:r>
          </w:p>
        </w:tc>
        <w:tc>
          <w:tcPr>
            <w:tcW w:w="1334" w:type="dxa"/>
            <w:vAlign w:val="center"/>
          </w:tcPr>
          <w:p w:rsidR="000D6ADC" w:rsidRDefault="000E71AE">
            <w:pPr>
              <w:jc w:val="center"/>
            </w:pPr>
            <w:r>
              <w:rPr>
                <w:color w:val="000000"/>
                <w:sz w:val="24"/>
                <w:szCs w:val="24"/>
              </w:rPr>
              <w:t>300129</w:t>
            </w:r>
          </w:p>
        </w:tc>
        <w:tc>
          <w:tcPr>
            <w:tcW w:w="1777" w:type="dxa"/>
            <w:vAlign w:val="center"/>
          </w:tcPr>
          <w:p w:rsidR="000D6ADC" w:rsidRDefault="000E71AE">
            <w:pPr>
              <w:jc w:val="center"/>
            </w:pPr>
            <w:r>
              <w:rPr>
                <w:color w:val="000000"/>
                <w:sz w:val="24"/>
                <w:szCs w:val="24"/>
              </w:rPr>
              <w:t>泰胜风能</w:t>
            </w:r>
          </w:p>
        </w:tc>
        <w:tc>
          <w:tcPr>
            <w:tcW w:w="1334" w:type="dxa"/>
            <w:vAlign w:val="center"/>
          </w:tcPr>
          <w:p w:rsidR="000D6ADC" w:rsidRDefault="000E71AE">
            <w:pPr>
              <w:jc w:val="right"/>
            </w:pPr>
            <w:r>
              <w:rPr>
                <w:color w:val="000000"/>
                <w:sz w:val="24"/>
                <w:szCs w:val="24"/>
              </w:rPr>
              <w:t>8,362,144</w:t>
            </w:r>
          </w:p>
        </w:tc>
        <w:tc>
          <w:tcPr>
            <w:tcW w:w="1924" w:type="dxa"/>
            <w:vAlign w:val="center"/>
          </w:tcPr>
          <w:p w:rsidR="000D6ADC" w:rsidRDefault="000E71AE">
            <w:pPr>
              <w:jc w:val="right"/>
            </w:pPr>
            <w:r>
              <w:rPr>
                <w:color w:val="000000"/>
                <w:sz w:val="24"/>
                <w:szCs w:val="24"/>
              </w:rPr>
              <w:t>67,315,259.20</w:t>
            </w:r>
          </w:p>
        </w:tc>
        <w:tc>
          <w:tcPr>
            <w:tcW w:w="1644" w:type="dxa"/>
            <w:vAlign w:val="center"/>
          </w:tcPr>
          <w:p w:rsidR="000D6ADC" w:rsidRDefault="000E71AE">
            <w:pPr>
              <w:jc w:val="right"/>
            </w:pPr>
            <w:r>
              <w:rPr>
                <w:color w:val="000000"/>
                <w:sz w:val="24"/>
                <w:szCs w:val="24"/>
              </w:rPr>
              <w:t>9.07</w:t>
            </w:r>
          </w:p>
        </w:tc>
      </w:tr>
      <w:tr w:rsidR="000D6ADC">
        <w:trPr>
          <w:jc w:val="center"/>
        </w:trPr>
        <w:tc>
          <w:tcPr>
            <w:tcW w:w="855" w:type="dxa"/>
            <w:vAlign w:val="center"/>
          </w:tcPr>
          <w:p w:rsidR="000D6ADC" w:rsidRDefault="000E71AE">
            <w:pPr>
              <w:jc w:val="center"/>
            </w:pPr>
            <w:r>
              <w:rPr>
                <w:color w:val="000000"/>
                <w:sz w:val="24"/>
                <w:szCs w:val="24"/>
              </w:rPr>
              <w:t>2</w:t>
            </w:r>
          </w:p>
        </w:tc>
        <w:tc>
          <w:tcPr>
            <w:tcW w:w="1334" w:type="dxa"/>
            <w:vAlign w:val="center"/>
          </w:tcPr>
          <w:p w:rsidR="000D6ADC" w:rsidRDefault="000E71AE">
            <w:pPr>
              <w:jc w:val="center"/>
            </w:pPr>
            <w:r>
              <w:rPr>
                <w:color w:val="000000"/>
                <w:sz w:val="24"/>
                <w:szCs w:val="24"/>
              </w:rPr>
              <w:t>601100</w:t>
            </w:r>
          </w:p>
        </w:tc>
        <w:tc>
          <w:tcPr>
            <w:tcW w:w="1777" w:type="dxa"/>
            <w:vAlign w:val="center"/>
          </w:tcPr>
          <w:p w:rsidR="000D6ADC" w:rsidRDefault="000E71AE">
            <w:pPr>
              <w:jc w:val="center"/>
            </w:pPr>
            <w:r>
              <w:rPr>
                <w:color w:val="000000"/>
                <w:sz w:val="24"/>
                <w:szCs w:val="24"/>
              </w:rPr>
              <w:t>恒立液压</w:t>
            </w:r>
          </w:p>
        </w:tc>
        <w:tc>
          <w:tcPr>
            <w:tcW w:w="1334" w:type="dxa"/>
            <w:vAlign w:val="center"/>
          </w:tcPr>
          <w:p w:rsidR="000D6ADC" w:rsidRDefault="000E71AE">
            <w:pPr>
              <w:jc w:val="right"/>
            </w:pPr>
            <w:r>
              <w:rPr>
                <w:color w:val="000000"/>
                <w:sz w:val="24"/>
                <w:szCs w:val="24"/>
              </w:rPr>
              <w:t>1,246,708</w:t>
            </w:r>
          </w:p>
        </w:tc>
        <w:tc>
          <w:tcPr>
            <w:tcW w:w="1924" w:type="dxa"/>
            <w:vAlign w:val="center"/>
          </w:tcPr>
          <w:p w:rsidR="000D6ADC" w:rsidRDefault="000E71AE">
            <w:pPr>
              <w:jc w:val="right"/>
            </w:pPr>
            <w:r>
              <w:rPr>
                <w:color w:val="000000"/>
                <w:sz w:val="24"/>
                <w:szCs w:val="24"/>
              </w:rPr>
              <w:t>34,209,667.52</w:t>
            </w:r>
          </w:p>
        </w:tc>
        <w:tc>
          <w:tcPr>
            <w:tcW w:w="1644" w:type="dxa"/>
            <w:vAlign w:val="center"/>
          </w:tcPr>
          <w:p w:rsidR="000D6ADC" w:rsidRDefault="000E71AE">
            <w:pPr>
              <w:jc w:val="right"/>
            </w:pPr>
            <w:r>
              <w:rPr>
                <w:color w:val="000000"/>
                <w:sz w:val="24"/>
                <w:szCs w:val="24"/>
              </w:rPr>
              <w:t>4.61</w:t>
            </w:r>
          </w:p>
        </w:tc>
      </w:tr>
      <w:tr w:rsidR="000D6ADC">
        <w:trPr>
          <w:jc w:val="center"/>
        </w:trPr>
        <w:tc>
          <w:tcPr>
            <w:tcW w:w="855" w:type="dxa"/>
            <w:vAlign w:val="center"/>
          </w:tcPr>
          <w:p w:rsidR="000D6ADC" w:rsidRDefault="000E71AE">
            <w:pPr>
              <w:jc w:val="center"/>
            </w:pPr>
            <w:r>
              <w:rPr>
                <w:color w:val="000000"/>
                <w:sz w:val="24"/>
                <w:szCs w:val="24"/>
              </w:rPr>
              <w:t>3</w:t>
            </w:r>
          </w:p>
        </w:tc>
        <w:tc>
          <w:tcPr>
            <w:tcW w:w="1334" w:type="dxa"/>
            <w:vAlign w:val="center"/>
          </w:tcPr>
          <w:p w:rsidR="000D6ADC" w:rsidRDefault="000E71AE">
            <w:pPr>
              <w:jc w:val="center"/>
            </w:pPr>
            <w:r>
              <w:rPr>
                <w:color w:val="000000"/>
                <w:sz w:val="24"/>
                <w:szCs w:val="24"/>
              </w:rPr>
              <w:t>600066</w:t>
            </w:r>
          </w:p>
        </w:tc>
        <w:tc>
          <w:tcPr>
            <w:tcW w:w="1777" w:type="dxa"/>
            <w:vAlign w:val="center"/>
          </w:tcPr>
          <w:p w:rsidR="000D6ADC" w:rsidRDefault="000E71AE">
            <w:pPr>
              <w:jc w:val="center"/>
            </w:pPr>
            <w:r>
              <w:rPr>
                <w:color w:val="000000"/>
                <w:sz w:val="24"/>
                <w:szCs w:val="24"/>
              </w:rPr>
              <w:t>宇通客车</w:t>
            </w:r>
          </w:p>
        </w:tc>
        <w:tc>
          <w:tcPr>
            <w:tcW w:w="1334" w:type="dxa"/>
            <w:vAlign w:val="center"/>
          </w:tcPr>
          <w:p w:rsidR="000D6ADC" w:rsidRDefault="000E71AE">
            <w:pPr>
              <w:jc w:val="right"/>
            </w:pPr>
            <w:r>
              <w:rPr>
                <w:color w:val="000000"/>
                <w:sz w:val="24"/>
                <w:szCs w:val="24"/>
              </w:rPr>
              <w:t>1,411,822</w:t>
            </w:r>
          </w:p>
        </w:tc>
        <w:tc>
          <w:tcPr>
            <w:tcW w:w="1924" w:type="dxa"/>
            <w:vAlign w:val="center"/>
          </w:tcPr>
          <w:p w:rsidR="000D6ADC" w:rsidRDefault="000E71AE">
            <w:pPr>
              <w:jc w:val="right"/>
            </w:pPr>
            <w:r>
              <w:rPr>
                <w:color w:val="000000"/>
                <w:sz w:val="24"/>
                <w:szCs w:val="24"/>
              </w:rPr>
              <w:t>33,982,555.54</w:t>
            </w:r>
          </w:p>
        </w:tc>
        <w:tc>
          <w:tcPr>
            <w:tcW w:w="1644" w:type="dxa"/>
            <w:vAlign w:val="center"/>
          </w:tcPr>
          <w:p w:rsidR="000D6ADC" w:rsidRDefault="000E71AE">
            <w:pPr>
              <w:jc w:val="right"/>
            </w:pPr>
            <w:r>
              <w:rPr>
                <w:color w:val="000000"/>
                <w:sz w:val="24"/>
                <w:szCs w:val="24"/>
              </w:rPr>
              <w:t>4.58</w:t>
            </w:r>
          </w:p>
        </w:tc>
      </w:tr>
      <w:tr w:rsidR="000D6ADC">
        <w:trPr>
          <w:jc w:val="center"/>
        </w:trPr>
        <w:tc>
          <w:tcPr>
            <w:tcW w:w="855" w:type="dxa"/>
            <w:vAlign w:val="center"/>
          </w:tcPr>
          <w:p w:rsidR="000D6ADC" w:rsidRDefault="000E71AE">
            <w:pPr>
              <w:jc w:val="center"/>
            </w:pPr>
            <w:r>
              <w:rPr>
                <w:color w:val="000000"/>
                <w:sz w:val="24"/>
                <w:szCs w:val="24"/>
              </w:rPr>
              <w:t>4</w:t>
            </w:r>
          </w:p>
        </w:tc>
        <w:tc>
          <w:tcPr>
            <w:tcW w:w="1334" w:type="dxa"/>
            <w:vAlign w:val="center"/>
          </w:tcPr>
          <w:p w:rsidR="000D6ADC" w:rsidRDefault="000E71AE">
            <w:pPr>
              <w:jc w:val="center"/>
            </w:pPr>
            <w:r>
              <w:rPr>
                <w:color w:val="000000"/>
                <w:sz w:val="24"/>
                <w:szCs w:val="24"/>
              </w:rPr>
              <w:t>300413</w:t>
            </w:r>
          </w:p>
        </w:tc>
        <w:tc>
          <w:tcPr>
            <w:tcW w:w="1777" w:type="dxa"/>
            <w:vAlign w:val="center"/>
          </w:tcPr>
          <w:p w:rsidR="000D6ADC" w:rsidRDefault="000E71AE">
            <w:pPr>
              <w:jc w:val="center"/>
            </w:pPr>
            <w:r>
              <w:rPr>
                <w:color w:val="000000"/>
                <w:sz w:val="24"/>
                <w:szCs w:val="24"/>
              </w:rPr>
              <w:t>快乐购</w:t>
            </w:r>
          </w:p>
        </w:tc>
        <w:tc>
          <w:tcPr>
            <w:tcW w:w="1334" w:type="dxa"/>
            <w:vAlign w:val="center"/>
          </w:tcPr>
          <w:p w:rsidR="000D6ADC" w:rsidRDefault="000E71AE">
            <w:pPr>
              <w:jc w:val="right"/>
            </w:pPr>
            <w:r>
              <w:rPr>
                <w:color w:val="000000"/>
                <w:sz w:val="24"/>
                <w:szCs w:val="24"/>
              </w:rPr>
              <w:t>1,088,500</w:t>
            </w:r>
          </w:p>
        </w:tc>
        <w:tc>
          <w:tcPr>
            <w:tcW w:w="1924" w:type="dxa"/>
            <w:vAlign w:val="center"/>
          </w:tcPr>
          <w:p w:rsidR="000D6ADC" w:rsidRDefault="000E71AE">
            <w:pPr>
              <w:jc w:val="right"/>
            </w:pPr>
            <w:r>
              <w:rPr>
                <w:color w:val="000000"/>
                <w:sz w:val="24"/>
                <w:szCs w:val="24"/>
              </w:rPr>
              <w:t>32,491,725.00</w:t>
            </w:r>
          </w:p>
        </w:tc>
        <w:tc>
          <w:tcPr>
            <w:tcW w:w="1644" w:type="dxa"/>
            <w:vAlign w:val="center"/>
          </w:tcPr>
          <w:p w:rsidR="000D6ADC" w:rsidRDefault="000E71AE">
            <w:pPr>
              <w:jc w:val="right"/>
            </w:pPr>
            <w:r>
              <w:rPr>
                <w:color w:val="000000"/>
                <w:sz w:val="24"/>
                <w:szCs w:val="24"/>
              </w:rPr>
              <w:t>4.38</w:t>
            </w:r>
          </w:p>
        </w:tc>
      </w:tr>
      <w:tr w:rsidR="000D6ADC">
        <w:trPr>
          <w:jc w:val="center"/>
        </w:trPr>
        <w:tc>
          <w:tcPr>
            <w:tcW w:w="855" w:type="dxa"/>
            <w:vAlign w:val="center"/>
          </w:tcPr>
          <w:p w:rsidR="000D6ADC" w:rsidRDefault="000E71AE">
            <w:pPr>
              <w:jc w:val="center"/>
            </w:pPr>
            <w:r>
              <w:rPr>
                <w:color w:val="000000"/>
                <w:sz w:val="24"/>
                <w:szCs w:val="24"/>
              </w:rPr>
              <w:t>5</w:t>
            </w:r>
          </w:p>
        </w:tc>
        <w:tc>
          <w:tcPr>
            <w:tcW w:w="1334" w:type="dxa"/>
            <w:vAlign w:val="center"/>
          </w:tcPr>
          <w:p w:rsidR="000D6ADC" w:rsidRDefault="000E71AE">
            <w:pPr>
              <w:jc w:val="center"/>
            </w:pPr>
            <w:r>
              <w:rPr>
                <w:color w:val="000000"/>
                <w:sz w:val="24"/>
                <w:szCs w:val="24"/>
              </w:rPr>
              <w:t>600030</w:t>
            </w:r>
          </w:p>
        </w:tc>
        <w:tc>
          <w:tcPr>
            <w:tcW w:w="1777" w:type="dxa"/>
            <w:vAlign w:val="center"/>
          </w:tcPr>
          <w:p w:rsidR="000D6ADC" w:rsidRDefault="000E71AE">
            <w:pPr>
              <w:jc w:val="center"/>
            </w:pPr>
            <w:r>
              <w:rPr>
                <w:color w:val="000000"/>
                <w:sz w:val="24"/>
                <w:szCs w:val="24"/>
              </w:rPr>
              <w:t>中信证券</w:t>
            </w:r>
          </w:p>
        </w:tc>
        <w:tc>
          <w:tcPr>
            <w:tcW w:w="1334" w:type="dxa"/>
            <w:vAlign w:val="center"/>
          </w:tcPr>
          <w:p w:rsidR="000D6ADC" w:rsidRDefault="000E71AE">
            <w:pPr>
              <w:jc w:val="right"/>
            </w:pPr>
            <w:r>
              <w:rPr>
                <w:color w:val="000000"/>
                <w:sz w:val="24"/>
                <w:szCs w:val="24"/>
              </w:rPr>
              <w:t>1,682,100</w:t>
            </w:r>
          </w:p>
        </w:tc>
        <w:tc>
          <w:tcPr>
            <w:tcW w:w="1924" w:type="dxa"/>
            <w:vAlign w:val="center"/>
          </w:tcPr>
          <w:p w:rsidR="000D6ADC" w:rsidRDefault="000E71AE">
            <w:pPr>
              <w:jc w:val="right"/>
            </w:pPr>
            <w:r>
              <w:rPr>
                <w:color w:val="000000"/>
                <w:sz w:val="24"/>
                <w:szCs w:val="24"/>
              </w:rPr>
              <w:t>30,446,010.00</w:t>
            </w:r>
          </w:p>
        </w:tc>
        <w:tc>
          <w:tcPr>
            <w:tcW w:w="1644" w:type="dxa"/>
            <w:vAlign w:val="center"/>
          </w:tcPr>
          <w:p w:rsidR="000D6ADC" w:rsidRDefault="000E71AE">
            <w:pPr>
              <w:jc w:val="right"/>
            </w:pPr>
            <w:r>
              <w:rPr>
                <w:color w:val="000000"/>
                <w:sz w:val="24"/>
                <w:szCs w:val="24"/>
              </w:rPr>
              <w:t>4.10</w:t>
            </w:r>
          </w:p>
        </w:tc>
      </w:tr>
      <w:tr w:rsidR="000D6ADC">
        <w:trPr>
          <w:jc w:val="center"/>
        </w:trPr>
        <w:tc>
          <w:tcPr>
            <w:tcW w:w="855" w:type="dxa"/>
            <w:vAlign w:val="center"/>
          </w:tcPr>
          <w:p w:rsidR="000D6ADC" w:rsidRDefault="000E71AE">
            <w:pPr>
              <w:jc w:val="center"/>
            </w:pPr>
            <w:r>
              <w:rPr>
                <w:color w:val="000000"/>
                <w:sz w:val="24"/>
                <w:szCs w:val="24"/>
              </w:rPr>
              <w:t>6</w:t>
            </w:r>
          </w:p>
        </w:tc>
        <w:tc>
          <w:tcPr>
            <w:tcW w:w="1334" w:type="dxa"/>
            <w:vAlign w:val="center"/>
          </w:tcPr>
          <w:p w:rsidR="000D6ADC" w:rsidRDefault="000E71AE">
            <w:pPr>
              <w:jc w:val="center"/>
            </w:pPr>
            <w:r>
              <w:rPr>
                <w:color w:val="000000"/>
                <w:sz w:val="24"/>
                <w:szCs w:val="24"/>
              </w:rPr>
              <w:t>601166</w:t>
            </w:r>
          </w:p>
        </w:tc>
        <w:tc>
          <w:tcPr>
            <w:tcW w:w="1777" w:type="dxa"/>
            <w:vAlign w:val="center"/>
          </w:tcPr>
          <w:p w:rsidR="000D6ADC" w:rsidRDefault="000E71AE">
            <w:pPr>
              <w:jc w:val="center"/>
            </w:pPr>
            <w:r>
              <w:rPr>
                <w:color w:val="000000"/>
                <w:sz w:val="24"/>
                <w:szCs w:val="24"/>
              </w:rPr>
              <w:t>兴业银行</w:t>
            </w:r>
          </w:p>
        </w:tc>
        <w:tc>
          <w:tcPr>
            <w:tcW w:w="1334" w:type="dxa"/>
            <w:vAlign w:val="center"/>
          </w:tcPr>
          <w:p w:rsidR="000D6ADC" w:rsidRDefault="000E71AE">
            <w:pPr>
              <w:jc w:val="right"/>
            </w:pPr>
            <w:r>
              <w:rPr>
                <w:color w:val="000000"/>
                <w:sz w:val="24"/>
                <w:szCs w:val="24"/>
              </w:rPr>
              <w:t>1,758,222</w:t>
            </w:r>
          </w:p>
        </w:tc>
        <w:tc>
          <w:tcPr>
            <w:tcW w:w="1924" w:type="dxa"/>
            <w:vAlign w:val="center"/>
          </w:tcPr>
          <w:p w:rsidR="000D6ADC" w:rsidRDefault="000E71AE">
            <w:pPr>
              <w:jc w:val="right"/>
            </w:pPr>
            <w:r>
              <w:rPr>
                <w:color w:val="000000"/>
                <w:sz w:val="24"/>
                <w:szCs w:val="24"/>
              </w:rPr>
              <w:t>29,872,191.78</w:t>
            </w:r>
          </w:p>
        </w:tc>
        <w:tc>
          <w:tcPr>
            <w:tcW w:w="1644" w:type="dxa"/>
            <w:vAlign w:val="center"/>
          </w:tcPr>
          <w:p w:rsidR="000D6ADC" w:rsidRDefault="000E71AE">
            <w:pPr>
              <w:jc w:val="right"/>
            </w:pPr>
            <w:r>
              <w:rPr>
                <w:color w:val="000000"/>
                <w:sz w:val="24"/>
                <w:szCs w:val="24"/>
              </w:rPr>
              <w:t>4.02</w:t>
            </w:r>
          </w:p>
        </w:tc>
      </w:tr>
      <w:tr w:rsidR="000D6ADC">
        <w:trPr>
          <w:jc w:val="center"/>
        </w:trPr>
        <w:tc>
          <w:tcPr>
            <w:tcW w:w="855" w:type="dxa"/>
            <w:vAlign w:val="center"/>
          </w:tcPr>
          <w:p w:rsidR="000D6ADC" w:rsidRDefault="000E71AE">
            <w:pPr>
              <w:jc w:val="center"/>
            </w:pPr>
            <w:r>
              <w:rPr>
                <w:color w:val="000000"/>
                <w:sz w:val="24"/>
                <w:szCs w:val="24"/>
              </w:rPr>
              <w:t>7</w:t>
            </w:r>
          </w:p>
        </w:tc>
        <w:tc>
          <w:tcPr>
            <w:tcW w:w="1334" w:type="dxa"/>
            <w:vAlign w:val="center"/>
          </w:tcPr>
          <w:p w:rsidR="000D6ADC" w:rsidRDefault="000E71AE">
            <w:pPr>
              <w:jc w:val="center"/>
            </w:pPr>
            <w:r>
              <w:rPr>
                <w:color w:val="000000"/>
                <w:sz w:val="24"/>
                <w:szCs w:val="24"/>
              </w:rPr>
              <w:t>002304</w:t>
            </w:r>
          </w:p>
        </w:tc>
        <w:tc>
          <w:tcPr>
            <w:tcW w:w="1777" w:type="dxa"/>
            <w:vAlign w:val="center"/>
          </w:tcPr>
          <w:p w:rsidR="000D6ADC" w:rsidRDefault="000E71AE">
            <w:pPr>
              <w:jc w:val="center"/>
            </w:pPr>
            <w:r>
              <w:rPr>
                <w:color w:val="000000"/>
                <w:sz w:val="24"/>
                <w:szCs w:val="24"/>
              </w:rPr>
              <w:t>洋河股份</w:t>
            </w:r>
          </w:p>
        </w:tc>
        <w:tc>
          <w:tcPr>
            <w:tcW w:w="1334" w:type="dxa"/>
            <w:vAlign w:val="center"/>
          </w:tcPr>
          <w:p w:rsidR="000D6ADC" w:rsidRDefault="000E71AE">
            <w:pPr>
              <w:jc w:val="right"/>
            </w:pPr>
            <w:r>
              <w:rPr>
                <w:color w:val="000000"/>
                <w:sz w:val="24"/>
                <w:szCs w:val="24"/>
              </w:rPr>
              <w:t>235,919</w:t>
            </w:r>
          </w:p>
        </w:tc>
        <w:tc>
          <w:tcPr>
            <w:tcW w:w="1924" w:type="dxa"/>
            <w:vAlign w:val="center"/>
          </w:tcPr>
          <w:p w:rsidR="000D6ADC" w:rsidRDefault="000E71AE">
            <w:pPr>
              <w:jc w:val="right"/>
            </w:pPr>
            <w:r>
              <w:rPr>
                <w:color w:val="000000"/>
                <w:sz w:val="24"/>
                <w:szCs w:val="24"/>
              </w:rPr>
              <w:t>27,130,685.00</w:t>
            </w:r>
          </w:p>
        </w:tc>
        <w:tc>
          <w:tcPr>
            <w:tcW w:w="1644" w:type="dxa"/>
            <w:vAlign w:val="center"/>
          </w:tcPr>
          <w:p w:rsidR="000D6ADC" w:rsidRDefault="000E71AE">
            <w:pPr>
              <w:jc w:val="right"/>
            </w:pPr>
            <w:r>
              <w:rPr>
                <w:color w:val="000000"/>
                <w:sz w:val="24"/>
                <w:szCs w:val="24"/>
              </w:rPr>
              <w:t>3.65</w:t>
            </w:r>
          </w:p>
        </w:tc>
      </w:tr>
      <w:tr w:rsidR="000D6ADC">
        <w:trPr>
          <w:jc w:val="center"/>
        </w:trPr>
        <w:tc>
          <w:tcPr>
            <w:tcW w:w="855" w:type="dxa"/>
            <w:vAlign w:val="center"/>
          </w:tcPr>
          <w:p w:rsidR="000D6ADC" w:rsidRDefault="000E71AE">
            <w:pPr>
              <w:jc w:val="center"/>
            </w:pPr>
            <w:r>
              <w:rPr>
                <w:color w:val="000000"/>
                <w:sz w:val="24"/>
                <w:szCs w:val="24"/>
              </w:rPr>
              <w:t>8</w:t>
            </w:r>
          </w:p>
        </w:tc>
        <w:tc>
          <w:tcPr>
            <w:tcW w:w="1334" w:type="dxa"/>
            <w:vAlign w:val="center"/>
          </w:tcPr>
          <w:p w:rsidR="000D6ADC" w:rsidRDefault="000E71AE">
            <w:pPr>
              <w:jc w:val="center"/>
            </w:pPr>
            <w:r>
              <w:rPr>
                <w:color w:val="000000"/>
                <w:sz w:val="24"/>
                <w:szCs w:val="24"/>
              </w:rPr>
              <w:t>601688</w:t>
            </w:r>
          </w:p>
        </w:tc>
        <w:tc>
          <w:tcPr>
            <w:tcW w:w="1777" w:type="dxa"/>
            <w:vAlign w:val="center"/>
          </w:tcPr>
          <w:p w:rsidR="000D6ADC" w:rsidRDefault="000E71AE">
            <w:pPr>
              <w:jc w:val="center"/>
            </w:pPr>
            <w:r>
              <w:rPr>
                <w:color w:val="000000"/>
                <w:sz w:val="24"/>
                <w:szCs w:val="24"/>
              </w:rPr>
              <w:t>华泰证券</w:t>
            </w:r>
          </w:p>
        </w:tc>
        <w:tc>
          <w:tcPr>
            <w:tcW w:w="1334" w:type="dxa"/>
            <w:vAlign w:val="center"/>
          </w:tcPr>
          <w:p w:rsidR="000D6ADC" w:rsidRDefault="000E71AE">
            <w:pPr>
              <w:jc w:val="right"/>
            </w:pPr>
            <w:r>
              <w:rPr>
                <w:color w:val="000000"/>
                <w:sz w:val="24"/>
                <w:szCs w:val="24"/>
              </w:rPr>
              <w:t>1,453,720</w:t>
            </w:r>
          </w:p>
        </w:tc>
        <w:tc>
          <w:tcPr>
            <w:tcW w:w="1924" w:type="dxa"/>
            <w:vAlign w:val="center"/>
          </w:tcPr>
          <w:p w:rsidR="000D6ADC" w:rsidRDefault="000E71AE">
            <w:pPr>
              <w:jc w:val="right"/>
            </w:pPr>
            <w:r>
              <w:rPr>
                <w:color w:val="000000"/>
                <w:sz w:val="24"/>
                <w:szCs w:val="24"/>
              </w:rPr>
              <w:t>25,091,207.20</w:t>
            </w:r>
          </w:p>
        </w:tc>
        <w:tc>
          <w:tcPr>
            <w:tcW w:w="1644" w:type="dxa"/>
            <w:vAlign w:val="center"/>
          </w:tcPr>
          <w:p w:rsidR="000D6ADC" w:rsidRDefault="000E71AE">
            <w:pPr>
              <w:jc w:val="right"/>
            </w:pPr>
            <w:r>
              <w:rPr>
                <w:color w:val="000000"/>
                <w:sz w:val="24"/>
                <w:szCs w:val="24"/>
              </w:rPr>
              <w:t>3.38</w:t>
            </w:r>
          </w:p>
        </w:tc>
      </w:tr>
      <w:tr w:rsidR="000D6ADC">
        <w:trPr>
          <w:jc w:val="center"/>
        </w:trPr>
        <w:tc>
          <w:tcPr>
            <w:tcW w:w="855" w:type="dxa"/>
            <w:vAlign w:val="center"/>
          </w:tcPr>
          <w:p w:rsidR="000D6ADC" w:rsidRDefault="000E71AE">
            <w:pPr>
              <w:jc w:val="center"/>
            </w:pPr>
            <w:r>
              <w:rPr>
                <w:color w:val="000000"/>
                <w:sz w:val="24"/>
                <w:szCs w:val="24"/>
              </w:rPr>
              <w:t>9</w:t>
            </w:r>
          </w:p>
        </w:tc>
        <w:tc>
          <w:tcPr>
            <w:tcW w:w="1334" w:type="dxa"/>
            <w:vAlign w:val="center"/>
          </w:tcPr>
          <w:p w:rsidR="000D6ADC" w:rsidRDefault="000E71AE">
            <w:pPr>
              <w:jc w:val="center"/>
            </w:pPr>
            <w:r>
              <w:rPr>
                <w:color w:val="000000"/>
                <w:sz w:val="24"/>
                <w:szCs w:val="24"/>
              </w:rPr>
              <w:t>002624</w:t>
            </w:r>
          </w:p>
        </w:tc>
        <w:tc>
          <w:tcPr>
            <w:tcW w:w="1777" w:type="dxa"/>
            <w:vAlign w:val="center"/>
          </w:tcPr>
          <w:p w:rsidR="000D6ADC" w:rsidRDefault="000E71AE">
            <w:pPr>
              <w:jc w:val="center"/>
            </w:pPr>
            <w:r>
              <w:rPr>
                <w:color w:val="000000"/>
                <w:sz w:val="24"/>
                <w:szCs w:val="24"/>
              </w:rPr>
              <w:t>完美世界</w:t>
            </w:r>
          </w:p>
        </w:tc>
        <w:tc>
          <w:tcPr>
            <w:tcW w:w="1334" w:type="dxa"/>
            <w:vAlign w:val="center"/>
          </w:tcPr>
          <w:p w:rsidR="000D6ADC" w:rsidRDefault="000E71AE">
            <w:pPr>
              <w:jc w:val="right"/>
            </w:pPr>
            <w:r>
              <w:rPr>
                <w:color w:val="000000"/>
                <w:sz w:val="24"/>
                <w:szCs w:val="24"/>
              </w:rPr>
              <w:t>723,200</w:t>
            </w:r>
          </w:p>
        </w:tc>
        <w:tc>
          <w:tcPr>
            <w:tcW w:w="1924" w:type="dxa"/>
            <w:vAlign w:val="center"/>
          </w:tcPr>
          <w:p w:rsidR="000D6ADC" w:rsidRDefault="000E71AE">
            <w:pPr>
              <w:jc w:val="right"/>
            </w:pPr>
            <w:r>
              <w:rPr>
                <w:color w:val="000000"/>
                <w:sz w:val="24"/>
                <w:szCs w:val="24"/>
              </w:rPr>
              <w:t>24,198,272.00</w:t>
            </w:r>
          </w:p>
        </w:tc>
        <w:tc>
          <w:tcPr>
            <w:tcW w:w="1644" w:type="dxa"/>
            <w:vAlign w:val="center"/>
          </w:tcPr>
          <w:p w:rsidR="000D6ADC" w:rsidRDefault="000E71AE">
            <w:pPr>
              <w:jc w:val="right"/>
            </w:pPr>
            <w:r>
              <w:rPr>
                <w:color w:val="000000"/>
                <w:sz w:val="24"/>
                <w:szCs w:val="24"/>
              </w:rPr>
              <w:t>3.26</w:t>
            </w:r>
          </w:p>
        </w:tc>
      </w:tr>
      <w:tr w:rsidR="000D6ADC">
        <w:trPr>
          <w:jc w:val="center"/>
        </w:trPr>
        <w:tc>
          <w:tcPr>
            <w:tcW w:w="855" w:type="dxa"/>
            <w:vAlign w:val="center"/>
          </w:tcPr>
          <w:p w:rsidR="000D6ADC" w:rsidRDefault="000E71AE">
            <w:pPr>
              <w:jc w:val="center"/>
            </w:pPr>
            <w:r>
              <w:rPr>
                <w:color w:val="000000"/>
                <w:sz w:val="24"/>
                <w:szCs w:val="24"/>
              </w:rPr>
              <w:t>10</w:t>
            </w:r>
          </w:p>
        </w:tc>
        <w:tc>
          <w:tcPr>
            <w:tcW w:w="1334" w:type="dxa"/>
            <w:vAlign w:val="center"/>
          </w:tcPr>
          <w:p w:rsidR="000D6ADC" w:rsidRDefault="000E71AE">
            <w:pPr>
              <w:jc w:val="center"/>
            </w:pPr>
            <w:r>
              <w:rPr>
                <w:color w:val="000000"/>
                <w:sz w:val="24"/>
                <w:szCs w:val="24"/>
              </w:rPr>
              <w:t>002025</w:t>
            </w:r>
          </w:p>
        </w:tc>
        <w:tc>
          <w:tcPr>
            <w:tcW w:w="1777" w:type="dxa"/>
            <w:vAlign w:val="center"/>
          </w:tcPr>
          <w:p w:rsidR="000D6ADC" w:rsidRDefault="000E71AE">
            <w:pPr>
              <w:jc w:val="center"/>
            </w:pPr>
            <w:r>
              <w:rPr>
                <w:color w:val="000000"/>
                <w:sz w:val="24"/>
                <w:szCs w:val="24"/>
              </w:rPr>
              <w:t>航天电器</w:t>
            </w:r>
          </w:p>
        </w:tc>
        <w:tc>
          <w:tcPr>
            <w:tcW w:w="1334" w:type="dxa"/>
            <w:vAlign w:val="center"/>
          </w:tcPr>
          <w:p w:rsidR="000D6ADC" w:rsidRDefault="000E71AE">
            <w:pPr>
              <w:jc w:val="right"/>
            </w:pPr>
            <w:r>
              <w:rPr>
                <w:color w:val="000000"/>
                <w:sz w:val="24"/>
                <w:szCs w:val="24"/>
              </w:rPr>
              <w:t>992,400</w:t>
            </w:r>
          </w:p>
        </w:tc>
        <w:tc>
          <w:tcPr>
            <w:tcW w:w="1924" w:type="dxa"/>
            <w:vAlign w:val="center"/>
          </w:tcPr>
          <w:p w:rsidR="000D6ADC" w:rsidRDefault="000E71AE">
            <w:pPr>
              <w:jc w:val="right"/>
            </w:pPr>
            <w:r>
              <w:rPr>
                <w:color w:val="000000"/>
                <w:sz w:val="24"/>
                <w:szCs w:val="24"/>
              </w:rPr>
              <w:t>22,398,468.00</w:t>
            </w:r>
          </w:p>
        </w:tc>
        <w:tc>
          <w:tcPr>
            <w:tcW w:w="1644" w:type="dxa"/>
            <w:vAlign w:val="center"/>
          </w:tcPr>
          <w:p w:rsidR="000D6ADC" w:rsidRDefault="000E71AE">
            <w:pPr>
              <w:jc w:val="right"/>
            </w:pPr>
            <w:r>
              <w:rPr>
                <w:color w:val="000000"/>
                <w:sz w:val="24"/>
                <w:szCs w:val="24"/>
              </w:rPr>
              <w:t>3.02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报告期内本基金投资的前十名证券的发行主体除中信证券（证券代码：</w:t>
      </w:r>
      <w:r w:rsidRPr="00BE5388">
        <w:rPr>
          <w:bCs/>
          <w:color w:val="000000"/>
          <w:kern w:val="0"/>
          <w:sz w:val="24"/>
          <w:szCs w:val="24"/>
        </w:rPr>
        <w:t>600030</w:t>
      </w:r>
      <w:r w:rsidRPr="00BE5388">
        <w:rPr>
          <w:bCs/>
          <w:color w:val="000000"/>
          <w:kern w:val="0"/>
          <w:sz w:val="24"/>
          <w:szCs w:val="24"/>
        </w:rPr>
        <w:t>）外，未出现被监管部门立案调查，或在报告编制日前一年内受到公开谴责、处罚的情形。</w:t>
      </w:r>
    </w:p>
    <w:p w:rsidR="000D6ADC" w:rsidRDefault="000E71A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报告期内本基金投资的前十名证券之一中信证券（证券代码：</w:t>
      </w:r>
      <w:r>
        <w:rPr>
          <w:bCs/>
          <w:color w:val="000000"/>
          <w:kern w:val="0"/>
          <w:sz w:val="24"/>
          <w:szCs w:val="24"/>
        </w:rPr>
        <w:t>600030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24</w:t>
      </w:r>
      <w:r>
        <w:rPr>
          <w:bCs/>
          <w:color w:val="000000"/>
          <w:kern w:val="0"/>
          <w:sz w:val="24"/>
          <w:szCs w:val="24"/>
        </w:rPr>
        <w:t>日公告，公司因违反《证券公司监督管理条例》第八十四条相关规定于日前收到中国证监会《行政处罚事先告知书》（处罚字</w:t>
      </w:r>
      <w:r>
        <w:rPr>
          <w:bCs/>
          <w:color w:val="000000"/>
          <w:kern w:val="0"/>
          <w:sz w:val="24"/>
          <w:szCs w:val="24"/>
        </w:rPr>
        <w:t>[2017]57</w:t>
      </w:r>
      <w:r>
        <w:rPr>
          <w:bCs/>
          <w:color w:val="000000"/>
          <w:kern w:val="0"/>
          <w:sz w:val="24"/>
          <w:szCs w:val="24"/>
        </w:rPr>
        <w:t>号）。据此，中国证监会拟决定责令公司改正，给予警告，没收违法所得人民币</w:t>
      </w:r>
      <w:r>
        <w:rPr>
          <w:bCs/>
          <w:color w:val="000000"/>
          <w:kern w:val="0"/>
          <w:sz w:val="24"/>
          <w:szCs w:val="24"/>
        </w:rPr>
        <w:t>61,655,849.78</w:t>
      </w:r>
      <w:r>
        <w:rPr>
          <w:bCs/>
          <w:color w:val="000000"/>
          <w:kern w:val="0"/>
          <w:sz w:val="24"/>
          <w:szCs w:val="24"/>
        </w:rPr>
        <w:t>元，并处人民币</w:t>
      </w:r>
      <w:r>
        <w:rPr>
          <w:bCs/>
          <w:color w:val="000000"/>
          <w:kern w:val="0"/>
          <w:sz w:val="24"/>
          <w:szCs w:val="24"/>
        </w:rPr>
        <w:t>308,279,248.90</w:t>
      </w:r>
      <w:r>
        <w:rPr>
          <w:bCs/>
          <w:color w:val="000000"/>
          <w:kern w:val="0"/>
          <w:sz w:val="24"/>
          <w:szCs w:val="24"/>
        </w:rPr>
        <w:t>元罚款。</w:t>
      </w:r>
    </w:p>
    <w:p w:rsidR="000D6ADC" w:rsidRDefault="000E71AE">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w:t>
      </w:r>
      <w:r>
        <w:rPr>
          <w:bCs/>
          <w:color w:val="000000"/>
          <w:kern w:val="0"/>
          <w:sz w:val="24"/>
          <w:szCs w:val="24"/>
        </w:rPr>
        <w:t>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557,489.02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22,145.44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136,353.58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715,988.04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583,782,398.09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248,762,800.66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195,533,829.85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637,011,368.90</w:t>
            </w:r>
          </w:p>
        </w:tc>
      </w:tr>
    </w:tbl>
    <w:p w:rsidR="000D6ADC" w:rsidRDefault="000E71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35351B"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bookmarkStart w:id="0" w:name="_GoBack"/>
      <w:r w:rsidRPr="0035351B">
        <w:rPr>
          <w:rFonts w:eastAsiaTheme="minorEastAsia"/>
          <w:color w:val="000000" w:themeColor="text1"/>
          <w:kern w:val="0"/>
          <w:sz w:val="24"/>
          <w:szCs w:val="24"/>
        </w:rPr>
        <w:t xml:space="preserve">8  </w:t>
      </w:r>
      <w:r w:rsidRPr="0035351B">
        <w:rPr>
          <w:rFonts w:eastAsiaTheme="minorEastAsia"/>
          <w:color w:val="000000" w:themeColor="text1"/>
          <w:kern w:val="0"/>
          <w:sz w:val="24"/>
          <w:szCs w:val="24"/>
        </w:rPr>
        <w:t>影响投资者决策的其他重要信息</w:t>
      </w:r>
    </w:p>
    <w:p w:rsidR="003C50AD" w:rsidRPr="0035351B" w:rsidRDefault="003C50AD" w:rsidP="003C50AD">
      <w:pPr>
        <w:autoSpaceDE w:val="0"/>
        <w:autoSpaceDN w:val="0"/>
        <w:adjustRightInd w:val="0"/>
        <w:spacing w:line="360" w:lineRule="auto"/>
        <w:jc w:val="left"/>
        <w:rPr>
          <w:b/>
          <w:bCs/>
          <w:color w:val="000000"/>
          <w:kern w:val="0"/>
          <w:sz w:val="24"/>
          <w:szCs w:val="24"/>
        </w:rPr>
      </w:pPr>
      <w:r w:rsidRPr="0035351B">
        <w:rPr>
          <w:b/>
          <w:bCs/>
          <w:color w:val="000000"/>
          <w:kern w:val="0"/>
          <w:sz w:val="24"/>
          <w:szCs w:val="24"/>
        </w:rPr>
        <w:t xml:space="preserve">8.1 </w:t>
      </w:r>
      <w:r w:rsidRPr="0035351B">
        <w:rPr>
          <w:b/>
          <w:bCs/>
          <w:color w:val="000000"/>
          <w:kern w:val="0"/>
          <w:sz w:val="24"/>
          <w:szCs w:val="24"/>
        </w:rPr>
        <w:t>报告期内单一投资者持有基金份额比例达到或超过</w:t>
      </w:r>
      <w:r w:rsidRPr="0035351B">
        <w:rPr>
          <w:b/>
          <w:bCs/>
          <w:color w:val="000000"/>
          <w:kern w:val="0"/>
          <w:sz w:val="24"/>
          <w:szCs w:val="24"/>
        </w:rPr>
        <w:t>20%</w:t>
      </w:r>
      <w:r w:rsidRPr="0035351B">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35351B" w:rsidTr="00424D30">
        <w:tc>
          <w:tcPr>
            <w:tcW w:w="993" w:type="dxa"/>
            <w:vMerge w:val="restart"/>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投资者类别</w:t>
            </w:r>
            <w:r w:rsidRPr="0035351B">
              <w:rPr>
                <w:color w:val="000000"/>
                <w:kern w:val="0"/>
                <w:sz w:val="24"/>
                <w:szCs w:val="24"/>
              </w:rPr>
              <w:t xml:space="preserve">  </w:t>
            </w:r>
          </w:p>
        </w:tc>
        <w:tc>
          <w:tcPr>
            <w:tcW w:w="5670" w:type="dxa"/>
            <w:gridSpan w:val="5"/>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报告期内持有基金份额变化情况</w:t>
            </w:r>
          </w:p>
        </w:tc>
        <w:tc>
          <w:tcPr>
            <w:tcW w:w="2549" w:type="dxa"/>
            <w:gridSpan w:val="2"/>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报告期末持有基金情况</w:t>
            </w:r>
          </w:p>
        </w:tc>
      </w:tr>
      <w:tr w:rsidR="003C50AD" w:rsidRPr="0035351B" w:rsidTr="00424D30">
        <w:tc>
          <w:tcPr>
            <w:tcW w:w="993" w:type="dxa"/>
            <w:vMerge/>
            <w:vAlign w:val="center"/>
          </w:tcPr>
          <w:p w:rsidR="003C50AD" w:rsidRPr="0035351B"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序号</w:t>
            </w:r>
          </w:p>
        </w:tc>
        <w:tc>
          <w:tcPr>
            <w:tcW w:w="1843" w:type="dxa"/>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持有基金份额比例达到或者超过</w:t>
            </w:r>
            <w:r w:rsidRPr="0035351B">
              <w:rPr>
                <w:color w:val="000000"/>
                <w:kern w:val="0"/>
                <w:sz w:val="24"/>
                <w:szCs w:val="24"/>
              </w:rPr>
              <w:t>20%</w:t>
            </w:r>
            <w:r w:rsidRPr="0035351B">
              <w:rPr>
                <w:color w:val="000000"/>
                <w:kern w:val="0"/>
                <w:sz w:val="24"/>
                <w:szCs w:val="24"/>
              </w:rPr>
              <w:t>的时间区间</w:t>
            </w:r>
          </w:p>
        </w:tc>
        <w:tc>
          <w:tcPr>
            <w:tcW w:w="851" w:type="dxa"/>
            <w:vAlign w:val="center"/>
          </w:tcPr>
          <w:p w:rsidR="003C50AD" w:rsidRPr="0035351B" w:rsidRDefault="003C50AD" w:rsidP="00424D30">
            <w:pPr>
              <w:widowControl/>
              <w:jc w:val="center"/>
              <w:rPr>
                <w:b/>
                <w:bCs/>
                <w:color w:val="000000"/>
                <w:kern w:val="0"/>
                <w:sz w:val="24"/>
                <w:szCs w:val="24"/>
              </w:rPr>
            </w:pPr>
            <w:r w:rsidRPr="0035351B">
              <w:rPr>
                <w:color w:val="000000"/>
                <w:kern w:val="0"/>
                <w:sz w:val="24"/>
                <w:szCs w:val="24"/>
              </w:rPr>
              <w:t>期初份额</w:t>
            </w:r>
          </w:p>
        </w:tc>
        <w:tc>
          <w:tcPr>
            <w:tcW w:w="850" w:type="dxa"/>
            <w:vAlign w:val="center"/>
          </w:tcPr>
          <w:p w:rsidR="003C50AD" w:rsidRPr="0035351B" w:rsidRDefault="003C50AD" w:rsidP="00424D30">
            <w:pPr>
              <w:widowControl/>
              <w:jc w:val="center"/>
              <w:rPr>
                <w:b/>
                <w:bCs/>
                <w:color w:val="000000"/>
                <w:kern w:val="0"/>
                <w:sz w:val="24"/>
                <w:szCs w:val="24"/>
              </w:rPr>
            </w:pPr>
            <w:r w:rsidRPr="0035351B">
              <w:rPr>
                <w:color w:val="000000"/>
                <w:kern w:val="0"/>
                <w:sz w:val="24"/>
                <w:szCs w:val="24"/>
              </w:rPr>
              <w:t>申购份额</w:t>
            </w:r>
          </w:p>
        </w:tc>
        <w:tc>
          <w:tcPr>
            <w:tcW w:w="1134" w:type="dxa"/>
            <w:vAlign w:val="center"/>
          </w:tcPr>
          <w:p w:rsidR="003C50AD" w:rsidRPr="0035351B" w:rsidRDefault="003C50AD" w:rsidP="00424D30">
            <w:pPr>
              <w:widowControl/>
              <w:jc w:val="center"/>
              <w:rPr>
                <w:b/>
                <w:bCs/>
                <w:color w:val="000000"/>
                <w:kern w:val="0"/>
                <w:sz w:val="24"/>
                <w:szCs w:val="24"/>
              </w:rPr>
            </w:pPr>
            <w:r w:rsidRPr="0035351B">
              <w:rPr>
                <w:color w:val="000000"/>
                <w:kern w:val="0"/>
                <w:sz w:val="24"/>
                <w:szCs w:val="24"/>
              </w:rPr>
              <w:t>赎回份额</w:t>
            </w:r>
          </w:p>
        </w:tc>
        <w:tc>
          <w:tcPr>
            <w:tcW w:w="1419" w:type="dxa"/>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持有份额</w:t>
            </w:r>
          </w:p>
        </w:tc>
        <w:tc>
          <w:tcPr>
            <w:tcW w:w="1130" w:type="dxa"/>
            <w:vAlign w:val="center"/>
          </w:tcPr>
          <w:p w:rsidR="003C50AD" w:rsidRPr="0035351B" w:rsidRDefault="003C50AD" w:rsidP="00424D30">
            <w:pPr>
              <w:autoSpaceDE w:val="0"/>
              <w:autoSpaceDN w:val="0"/>
              <w:adjustRightInd w:val="0"/>
              <w:jc w:val="center"/>
              <w:rPr>
                <w:b/>
                <w:bCs/>
                <w:color w:val="000000"/>
                <w:kern w:val="0"/>
                <w:sz w:val="24"/>
                <w:szCs w:val="24"/>
              </w:rPr>
            </w:pPr>
            <w:r w:rsidRPr="0035351B">
              <w:rPr>
                <w:color w:val="000000"/>
                <w:kern w:val="0"/>
                <w:sz w:val="24"/>
                <w:szCs w:val="24"/>
              </w:rPr>
              <w:t>份额占比</w:t>
            </w:r>
          </w:p>
        </w:tc>
      </w:tr>
      <w:tr w:rsidR="000D6ADC" w:rsidRPr="0035351B">
        <w:tc>
          <w:tcPr>
            <w:tcW w:w="993" w:type="dxa"/>
            <w:vMerge w:val="restart"/>
          </w:tcPr>
          <w:p w:rsidR="000D6ADC" w:rsidRPr="0035351B" w:rsidRDefault="000D6ADC">
            <w:pPr>
              <w:rPr>
                <w:sz w:val="24"/>
                <w:szCs w:val="24"/>
              </w:rPr>
            </w:pPr>
          </w:p>
          <w:p w:rsidR="000D6ADC" w:rsidRPr="0035351B" w:rsidRDefault="000E71AE">
            <w:pPr>
              <w:rPr>
                <w:sz w:val="24"/>
                <w:szCs w:val="24"/>
              </w:rPr>
            </w:pPr>
            <w:r w:rsidRPr="0035351B">
              <w:rPr>
                <w:bCs/>
                <w:color w:val="000000"/>
                <w:kern w:val="0"/>
                <w:sz w:val="24"/>
                <w:szCs w:val="24"/>
              </w:rPr>
              <w:t>机构</w:t>
            </w:r>
          </w:p>
        </w:tc>
        <w:tc>
          <w:tcPr>
            <w:tcW w:w="992" w:type="dxa"/>
            <w:vAlign w:val="center"/>
          </w:tcPr>
          <w:p w:rsidR="000D6ADC" w:rsidRPr="0035351B" w:rsidRDefault="000E71AE">
            <w:pPr>
              <w:jc w:val="center"/>
              <w:rPr>
                <w:sz w:val="24"/>
                <w:szCs w:val="24"/>
              </w:rPr>
            </w:pPr>
            <w:r w:rsidRPr="0035351B">
              <w:rPr>
                <w:color w:val="000000"/>
                <w:kern w:val="0"/>
                <w:sz w:val="24"/>
                <w:szCs w:val="24"/>
              </w:rPr>
              <w:t>1</w:t>
            </w:r>
          </w:p>
        </w:tc>
        <w:tc>
          <w:tcPr>
            <w:tcW w:w="1843" w:type="dxa"/>
            <w:vAlign w:val="center"/>
          </w:tcPr>
          <w:p w:rsidR="000D6ADC" w:rsidRPr="0035351B" w:rsidRDefault="000E71AE">
            <w:pPr>
              <w:jc w:val="center"/>
              <w:rPr>
                <w:sz w:val="24"/>
                <w:szCs w:val="24"/>
              </w:rPr>
            </w:pPr>
            <w:r w:rsidRPr="0035351B">
              <w:rPr>
                <w:color w:val="000000"/>
                <w:kern w:val="0"/>
                <w:sz w:val="24"/>
                <w:szCs w:val="24"/>
              </w:rPr>
              <w:t>2017/10/1-2017/12/31</w:t>
            </w:r>
          </w:p>
        </w:tc>
        <w:tc>
          <w:tcPr>
            <w:tcW w:w="851" w:type="dxa"/>
            <w:vAlign w:val="center"/>
          </w:tcPr>
          <w:p w:rsidR="000D6ADC" w:rsidRPr="0035351B" w:rsidRDefault="000E71AE">
            <w:pPr>
              <w:jc w:val="center"/>
              <w:rPr>
                <w:sz w:val="24"/>
                <w:szCs w:val="24"/>
              </w:rPr>
            </w:pPr>
            <w:r w:rsidRPr="0035351B">
              <w:rPr>
                <w:color w:val="000000"/>
                <w:kern w:val="0"/>
                <w:sz w:val="24"/>
                <w:szCs w:val="24"/>
              </w:rPr>
              <w:t>194,788,457.98</w:t>
            </w:r>
          </w:p>
        </w:tc>
        <w:tc>
          <w:tcPr>
            <w:tcW w:w="850" w:type="dxa"/>
            <w:vAlign w:val="center"/>
          </w:tcPr>
          <w:p w:rsidR="000D6ADC" w:rsidRPr="0035351B" w:rsidRDefault="000E71AE">
            <w:pPr>
              <w:jc w:val="center"/>
              <w:rPr>
                <w:sz w:val="24"/>
                <w:szCs w:val="24"/>
              </w:rPr>
            </w:pPr>
            <w:r w:rsidRPr="0035351B">
              <w:rPr>
                <w:color w:val="000000"/>
                <w:kern w:val="0"/>
                <w:sz w:val="24"/>
                <w:szCs w:val="24"/>
              </w:rPr>
              <w:t>-</w:t>
            </w:r>
          </w:p>
        </w:tc>
        <w:tc>
          <w:tcPr>
            <w:tcW w:w="1134" w:type="dxa"/>
            <w:vAlign w:val="center"/>
          </w:tcPr>
          <w:p w:rsidR="000D6ADC" w:rsidRPr="0035351B" w:rsidRDefault="000E71AE">
            <w:pPr>
              <w:jc w:val="center"/>
              <w:rPr>
                <w:sz w:val="24"/>
                <w:szCs w:val="24"/>
              </w:rPr>
            </w:pPr>
            <w:r w:rsidRPr="0035351B">
              <w:rPr>
                <w:color w:val="000000"/>
                <w:kern w:val="0"/>
                <w:sz w:val="24"/>
                <w:szCs w:val="24"/>
              </w:rPr>
              <w:t>24,788,457.98</w:t>
            </w:r>
          </w:p>
        </w:tc>
        <w:tc>
          <w:tcPr>
            <w:tcW w:w="1419" w:type="dxa"/>
            <w:vAlign w:val="center"/>
          </w:tcPr>
          <w:p w:rsidR="000D6ADC" w:rsidRPr="0035351B" w:rsidRDefault="000E71AE">
            <w:pPr>
              <w:jc w:val="center"/>
              <w:rPr>
                <w:sz w:val="24"/>
                <w:szCs w:val="24"/>
              </w:rPr>
            </w:pPr>
            <w:r w:rsidRPr="0035351B">
              <w:rPr>
                <w:color w:val="000000"/>
                <w:kern w:val="0"/>
                <w:sz w:val="24"/>
                <w:szCs w:val="24"/>
              </w:rPr>
              <w:t>170,000,000.00</w:t>
            </w:r>
          </w:p>
        </w:tc>
        <w:tc>
          <w:tcPr>
            <w:tcW w:w="1130" w:type="dxa"/>
            <w:vAlign w:val="center"/>
          </w:tcPr>
          <w:p w:rsidR="000D6ADC" w:rsidRPr="0035351B" w:rsidRDefault="000E71AE">
            <w:pPr>
              <w:jc w:val="center"/>
              <w:rPr>
                <w:sz w:val="24"/>
                <w:szCs w:val="24"/>
              </w:rPr>
            </w:pPr>
            <w:r w:rsidRPr="0035351B">
              <w:rPr>
                <w:color w:val="000000"/>
                <w:kern w:val="0"/>
                <w:sz w:val="24"/>
                <w:szCs w:val="24"/>
              </w:rPr>
              <w:t>26.69%</w:t>
            </w:r>
          </w:p>
        </w:tc>
      </w:tr>
      <w:tr w:rsidR="003C50AD" w:rsidRPr="0035351B" w:rsidTr="00424D30">
        <w:tc>
          <w:tcPr>
            <w:tcW w:w="9212" w:type="dxa"/>
            <w:gridSpan w:val="8"/>
            <w:vAlign w:val="center"/>
          </w:tcPr>
          <w:p w:rsidR="003C50AD" w:rsidRPr="0035351B" w:rsidRDefault="003C50AD" w:rsidP="00424D30">
            <w:pPr>
              <w:autoSpaceDE w:val="0"/>
              <w:autoSpaceDN w:val="0"/>
              <w:adjustRightInd w:val="0"/>
              <w:jc w:val="center"/>
              <w:rPr>
                <w:kern w:val="0"/>
                <w:sz w:val="24"/>
                <w:szCs w:val="24"/>
              </w:rPr>
            </w:pPr>
            <w:r w:rsidRPr="0035351B">
              <w:rPr>
                <w:color w:val="000000"/>
                <w:kern w:val="0"/>
                <w:sz w:val="24"/>
                <w:szCs w:val="24"/>
              </w:rPr>
              <w:t>产品特有风险</w:t>
            </w:r>
          </w:p>
        </w:tc>
      </w:tr>
      <w:tr w:rsidR="003C50AD" w:rsidRPr="0035351B" w:rsidTr="00424D30">
        <w:tc>
          <w:tcPr>
            <w:tcW w:w="9212" w:type="dxa"/>
            <w:gridSpan w:val="8"/>
            <w:vAlign w:val="center"/>
          </w:tcPr>
          <w:p w:rsidR="003C50AD" w:rsidRPr="0035351B" w:rsidRDefault="003C50AD" w:rsidP="00424D30">
            <w:pPr>
              <w:autoSpaceDE w:val="0"/>
              <w:autoSpaceDN w:val="0"/>
              <w:adjustRightInd w:val="0"/>
              <w:jc w:val="left"/>
              <w:rPr>
                <w:kern w:val="0"/>
                <w:sz w:val="24"/>
                <w:szCs w:val="24"/>
              </w:rPr>
            </w:pPr>
            <w:r w:rsidRPr="0035351B">
              <w:rPr>
                <w:kern w:val="0"/>
                <w:sz w:val="24"/>
                <w:szCs w:val="24"/>
              </w:rPr>
              <w:t>本基金本报告期内出现单一投资者持有基金份额比例超过基金总份额</w:t>
            </w:r>
            <w:r w:rsidRPr="0035351B">
              <w:rPr>
                <w:kern w:val="0"/>
                <w:sz w:val="24"/>
                <w:szCs w:val="24"/>
              </w:rPr>
              <w:t>20%</w:t>
            </w:r>
            <w:r w:rsidRPr="0035351B">
              <w:rPr>
                <w:kern w:val="0"/>
                <w:sz w:val="24"/>
                <w:szCs w:val="24"/>
              </w:rPr>
              <w:t>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D6ADC" w:rsidRDefault="000E71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D6ADC" w:rsidRDefault="000E71A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D6ADC" w:rsidRDefault="000E71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1AE" w:rsidRDefault="000E71AE" w:rsidP="00876D65">
      <w:r>
        <w:separator/>
      </w:r>
    </w:p>
  </w:endnote>
  <w:endnote w:type="continuationSeparator" w:id="0">
    <w:p w:rsidR="000E71AE" w:rsidRDefault="000E71A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35351B">
      <w:rPr>
        <w:noProof/>
        <w:kern w:val="0"/>
        <w:szCs w:val="21"/>
      </w:rPr>
      <w:t>10</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35351B">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1AE" w:rsidRDefault="000E71AE" w:rsidP="00876D65">
      <w:r>
        <w:separator/>
      </w:r>
    </w:p>
  </w:footnote>
  <w:footnote w:type="continuationSeparator" w:id="0">
    <w:p w:rsidR="000E71AE" w:rsidRDefault="000E71A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6ADC"/>
    <w:rsid w:val="000E5DA5"/>
    <w:rsid w:val="000E71AE"/>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51B"/>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AF32DE-45AE-49F1-A790-DCE1AD39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F1EF-C1FC-49AC-996D-52F1D89A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11</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2018-01-16T08:19:00Z</dcterms:modified>
</cp:coreProperties>
</file>