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B53E9" w:rsidRDefault="00654E0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981,496,058.83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63F26" w:rsidRPr="00414345" w:rsidTr="00063F2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63F26" w:rsidRPr="00414345" w:rsidTr="00063F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-64,349,910.83</w:t>
            </w:r>
          </w:p>
        </w:tc>
      </w:tr>
      <w:tr w:rsidR="00063F26" w:rsidRPr="00414345" w:rsidTr="00063F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-71,424,116.83</w:t>
            </w:r>
          </w:p>
        </w:tc>
      </w:tr>
      <w:tr w:rsidR="00063F26" w:rsidRPr="00414345" w:rsidTr="00063F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-0.0665</w:t>
            </w:r>
          </w:p>
        </w:tc>
      </w:tr>
      <w:tr w:rsidR="00063F26" w:rsidRPr="00414345" w:rsidTr="00063F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742,929,295.20</w:t>
            </w:r>
          </w:p>
        </w:tc>
      </w:tr>
      <w:tr w:rsidR="00063F26" w:rsidRPr="00414345" w:rsidTr="00063F2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0.757</w:t>
            </w:r>
          </w:p>
        </w:tc>
      </w:tr>
    </w:tbl>
    <w:p w:rsidR="006B53E9" w:rsidRDefault="00654E0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B53E9">
        <w:trPr>
          <w:jc w:val="center"/>
        </w:trPr>
        <w:tc>
          <w:tcPr>
            <w:tcW w:w="1701" w:type="dxa"/>
            <w:vAlign w:val="center"/>
          </w:tcPr>
          <w:p w:rsidR="006B53E9" w:rsidRDefault="00654E0A">
            <w:pPr>
              <w:jc w:val="left"/>
            </w:pPr>
            <w:r>
              <w:rPr>
                <w:color w:val="000000"/>
                <w:sz w:val="24"/>
                <w:szCs w:val="24"/>
              </w:rPr>
              <w:t>过去三个月</w:t>
            </w:r>
          </w:p>
        </w:tc>
        <w:tc>
          <w:tcPr>
            <w:tcW w:w="1045" w:type="dxa"/>
            <w:vAlign w:val="center"/>
          </w:tcPr>
          <w:p w:rsidR="006B53E9" w:rsidRDefault="00654E0A">
            <w:pPr>
              <w:jc w:val="center"/>
            </w:pPr>
            <w:r>
              <w:rPr>
                <w:color w:val="000000"/>
                <w:sz w:val="24"/>
                <w:szCs w:val="24"/>
              </w:rPr>
              <w:t>-8.13%</w:t>
            </w:r>
          </w:p>
        </w:tc>
        <w:tc>
          <w:tcPr>
            <w:tcW w:w="1344" w:type="dxa"/>
            <w:vAlign w:val="center"/>
          </w:tcPr>
          <w:p w:rsidR="006B53E9" w:rsidRDefault="00654E0A">
            <w:pPr>
              <w:jc w:val="center"/>
            </w:pPr>
            <w:r>
              <w:rPr>
                <w:color w:val="000000"/>
                <w:sz w:val="24"/>
                <w:szCs w:val="24"/>
              </w:rPr>
              <w:t>0.96%</w:t>
            </w:r>
          </w:p>
        </w:tc>
        <w:tc>
          <w:tcPr>
            <w:tcW w:w="1194" w:type="dxa"/>
            <w:vAlign w:val="center"/>
          </w:tcPr>
          <w:p w:rsidR="006B53E9" w:rsidRDefault="00654E0A">
            <w:pPr>
              <w:jc w:val="center"/>
            </w:pPr>
            <w:r>
              <w:rPr>
                <w:color w:val="000000"/>
                <w:sz w:val="24"/>
                <w:szCs w:val="24"/>
              </w:rPr>
              <w:t>2.86%</w:t>
            </w:r>
          </w:p>
        </w:tc>
        <w:tc>
          <w:tcPr>
            <w:tcW w:w="1492" w:type="dxa"/>
            <w:vAlign w:val="center"/>
          </w:tcPr>
          <w:p w:rsidR="006B53E9" w:rsidRDefault="00654E0A">
            <w:pPr>
              <w:jc w:val="center"/>
            </w:pPr>
            <w:r>
              <w:rPr>
                <w:color w:val="000000"/>
                <w:sz w:val="24"/>
                <w:szCs w:val="24"/>
              </w:rPr>
              <w:t>0.49%</w:t>
            </w:r>
          </w:p>
        </w:tc>
        <w:tc>
          <w:tcPr>
            <w:tcW w:w="1194" w:type="dxa"/>
            <w:vAlign w:val="center"/>
          </w:tcPr>
          <w:p w:rsidR="006B53E9" w:rsidRDefault="00654E0A">
            <w:pPr>
              <w:jc w:val="center"/>
            </w:pPr>
            <w:r>
              <w:rPr>
                <w:color w:val="000000"/>
                <w:sz w:val="24"/>
                <w:szCs w:val="24"/>
              </w:rPr>
              <w:t>-10.99%</w:t>
            </w:r>
          </w:p>
        </w:tc>
        <w:tc>
          <w:tcPr>
            <w:tcW w:w="898" w:type="dxa"/>
            <w:vAlign w:val="center"/>
          </w:tcPr>
          <w:p w:rsidR="006B53E9" w:rsidRDefault="00654E0A">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16</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B53E9">
        <w:trPr>
          <w:jc w:val="center"/>
        </w:trPr>
        <w:tc>
          <w:tcPr>
            <w:tcW w:w="846" w:type="dxa"/>
            <w:vAlign w:val="center"/>
          </w:tcPr>
          <w:p w:rsidR="006B53E9" w:rsidRDefault="00654E0A">
            <w:pPr>
              <w:jc w:val="center"/>
            </w:pPr>
            <w:r>
              <w:rPr>
                <w:color w:val="000000"/>
                <w:sz w:val="24"/>
                <w:szCs w:val="24"/>
              </w:rPr>
              <w:t>芮晨</w:t>
            </w:r>
          </w:p>
        </w:tc>
        <w:tc>
          <w:tcPr>
            <w:tcW w:w="845" w:type="dxa"/>
            <w:vAlign w:val="center"/>
          </w:tcPr>
          <w:p w:rsidR="006B53E9" w:rsidRDefault="00654E0A">
            <w:pPr>
              <w:jc w:val="center"/>
            </w:pPr>
            <w:r>
              <w:rPr>
                <w:color w:val="000000"/>
                <w:sz w:val="24"/>
                <w:szCs w:val="24"/>
              </w:rPr>
              <w:t>交银先锋混合、交银科技创新灵活配置混合、</w:t>
            </w:r>
            <w:r>
              <w:rPr>
                <w:color w:val="000000"/>
                <w:sz w:val="24"/>
                <w:szCs w:val="24"/>
              </w:rPr>
              <w:lastRenderedPageBreak/>
              <w:t>交银数据产业灵活配置混合的基金经理</w:t>
            </w:r>
          </w:p>
        </w:tc>
        <w:tc>
          <w:tcPr>
            <w:tcW w:w="1549" w:type="dxa"/>
            <w:vAlign w:val="center"/>
          </w:tcPr>
          <w:p w:rsidR="006B53E9" w:rsidRDefault="00654E0A">
            <w:pPr>
              <w:jc w:val="center"/>
            </w:pPr>
            <w:r>
              <w:rPr>
                <w:color w:val="000000"/>
                <w:sz w:val="24"/>
                <w:szCs w:val="24"/>
              </w:rPr>
              <w:lastRenderedPageBreak/>
              <w:t>2016-08-16</w:t>
            </w:r>
          </w:p>
        </w:tc>
        <w:tc>
          <w:tcPr>
            <w:tcW w:w="1548" w:type="dxa"/>
            <w:vAlign w:val="center"/>
          </w:tcPr>
          <w:p w:rsidR="006B53E9" w:rsidRDefault="00654E0A">
            <w:pPr>
              <w:jc w:val="center"/>
            </w:pPr>
            <w:r>
              <w:rPr>
                <w:color w:val="000000"/>
                <w:sz w:val="24"/>
                <w:szCs w:val="24"/>
              </w:rPr>
              <w:t>-</w:t>
            </w:r>
          </w:p>
        </w:tc>
        <w:tc>
          <w:tcPr>
            <w:tcW w:w="1407" w:type="dxa"/>
            <w:vAlign w:val="center"/>
          </w:tcPr>
          <w:p w:rsidR="006B53E9" w:rsidRDefault="00654E0A">
            <w:pPr>
              <w:jc w:val="center"/>
            </w:pPr>
            <w:r>
              <w:rPr>
                <w:color w:val="000000"/>
                <w:sz w:val="24"/>
                <w:szCs w:val="24"/>
              </w:rPr>
              <w:t>10</w:t>
            </w:r>
            <w:r>
              <w:rPr>
                <w:color w:val="000000"/>
                <w:sz w:val="24"/>
                <w:szCs w:val="24"/>
              </w:rPr>
              <w:t>年</w:t>
            </w:r>
          </w:p>
        </w:tc>
        <w:tc>
          <w:tcPr>
            <w:tcW w:w="2673" w:type="dxa"/>
            <w:vAlign w:val="center"/>
          </w:tcPr>
          <w:p w:rsidR="006B53E9" w:rsidRDefault="00654E0A">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B53E9" w:rsidRDefault="00654E0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B53E9" w:rsidRDefault="00654E0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B53E9" w:rsidRDefault="00654E0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B53E9" w:rsidRDefault="00654E0A">
      <w:pPr>
        <w:spacing w:before="29" w:line="288" w:lineRule="auto"/>
        <w:ind w:firstLineChars="200" w:firstLine="480"/>
        <w:rPr>
          <w:color w:val="000000"/>
          <w:sz w:val="24"/>
          <w:szCs w:val="24"/>
        </w:rPr>
      </w:pPr>
      <w:r>
        <w:rPr>
          <w:color w:val="000000"/>
          <w:sz w:val="24"/>
          <w:szCs w:val="24"/>
        </w:rPr>
        <w:t>2017</w:t>
      </w:r>
      <w:r>
        <w:rPr>
          <w:color w:val="000000"/>
          <w:sz w:val="24"/>
          <w:szCs w:val="24"/>
        </w:rPr>
        <w:t>年四季度，市场延续了前三季度的表现，低估值的股票表现较好，板块之间、板块的个股之间收益率分化明显。本基金仍然坚持新兴成长股的持股结构，目前来看仍需一定时间将成长性反映在股价上。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预计风格切换较难发生，更多是个股间性价比的比较，看成长性和估值的匹配度。本基金过去一直致力选择成长性的股票，从结果来看，所选择的大多数公司还是表现出较高的成长性，但是由于选择买入时估值略高，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就会有突显的性价比，值得继续关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0.757</w:t>
      </w:r>
      <w:r w:rsidRPr="00414345">
        <w:rPr>
          <w:color w:val="000000"/>
          <w:sz w:val="24"/>
          <w:szCs w:val="24"/>
        </w:rPr>
        <w:t>元，本报告期份额净值增长率为</w:t>
      </w:r>
      <w:r w:rsidRPr="00414345">
        <w:rPr>
          <w:color w:val="000000"/>
          <w:sz w:val="24"/>
          <w:szCs w:val="24"/>
        </w:rPr>
        <w:t>-8.13%</w:t>
      </w:r>
      <w:r w:rsidRPr="00414345">
        <w:rPr>
          <w:color w:val="000000"/>
          <w:sz w:val="24"/>
          <w:szCs w:val="24"/>
        </w:rPr>
        <w:t>，同期业绩比较基准增长率</w:t>
      </w:r>
      <w:r w:rsidRPr="00414345">
        <w:rPr>
          <w:color w:val="000000"/>
          <w:sz w:val="24"/>
          <w:szCs w:val="24"/>
        </w:rPr>
        <w:t>2.86%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637,722,901.94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637,722,901.94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39,951,400.00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39,951,400.00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71,658,993.15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1,565,178.43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750,898,473.52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300,223,432.87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98,157,553.95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157,922,371.96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68,214,442.16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13,205,101.00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637,722,901.94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85.84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B53E9">
        <w:trPr>
          <w:jc w:val="center"/>
        </w:trPr>
        <w:tc>
          <w:tcPr>
            <w:tcW w:w="855" w:type="dxa"/>
            <w:vAlign w:val="center"/>
          </w:tcPr>
          <w:p w:rsidR="006B53E9" w:rsidRDefault="00654E0A">
            <w:pPr>
              <w:jc w:val="center"/>
            </w:pPr>
            <w:r>
              <w:rPr>
                <w:color w:val="000000"/>
                <w:sz w:val="24"/>
                <w:szCs w:val="24"/>
              </w:rPr>
              <w:t>1</w:t>
            </w:r>
          </w:p>
        </w:tc>
        <w:tc>
          <w:tcPr>
            <w:tcW w:w="1334" w:type="dxa"/>
            <w:vAlign w:val="center"/>
          </w:tcPr>
          <w:p w:rsidR="006B53E9" w:rsidRDefault="00654E0A">
            <w:pPr>
              <w:jc w:val="center"/>
            </w:pPr>
            <w:r>
              <w:rPr>
                <w:color w:val="000000"/>
                <w:sz w:val="24"/>
                <w:szCs w:val="24"/>
              </w:rPr>
              <w:t>300365</w:t>
            </w:r>
          </w:p>
        </w:tc>
        <w:tc>
          <w:tcPr>
            <w:tcW w:w="1777" w:type="dxa"/>
            <w:vAlign w:val="center"/>
          </w:tcPr>
          <w:p w:rsidR="006B53E9" w:rsidRDefault="00654E0A">
            <w:pPr>
              <w:jc w:val="center"/>
            </w:pPr>
            <w:r>
              <w:rPr>
                <w:color w:val="000000"/>
                <w:sz w:val="24"/>
                <w:szCs w:val="24"/>
              </w:rPr>
              <w:t>恒华科技</w:t>
            </w:r>
          </w:p>
        </w:tc>
        <w:tc>
          <w:tcPr>
            <w:tcW w:w="1334" w:type="dxa"/>
            <w:vAlign w:val="center"/>
          </w:tcPr>
          <w:p w:rsidR="006B53E9" w:rsidRDefault="00654E0A">
            <w:pPr>
              <w:jc w:val="right"/>
            </w:pPr>
            <w:r>
              <w:rPr>
                <w:color w:val="000000"/>
                <w:sz w:val="24"/>
                <w:szCs w:val="24"/>
              </w:rPr>
              <w:t>2,204,178</w:t>
            </w:r>
          </w:p>
        </w:tc>
        <w:tc>
          <w:tcPr>
            <w:tcW w:w="1924" w:type="dxa"/>
            <w:vAlign w:val="center"/>
          </w:tcPr>
          <w:p w:rsidR="006B53E9" w:rsidRDefault="00654E0A">
            <w:pPr>
              <w:jc w:val="right"/>
            </w:pPr>
            <w:r>
              <w:rPr>
                <w:color w:val="000000"/>
                <w:sz w:val="24"/>
                <w:szCs w:val="24"/>
              </w:rPr>
              <w:t>69,762,233.70</w:t>
            </w:r>
          </w:p>
        </w:tc>
        <w:tc>
          <w:tcPr>
            <w:tcW w:w="1644" w:type="dxa"/>
            <w:vAlign w:val="center"/>
          </w:tcPr>
          <w:p w:rsidR="006B53E9" w:rsidRDefault="00654E0A">
            <w:pPr>
              <w:jc w:val="right"/>
            </w:pPr>
            <w:r>
              <w:rPr>
                <w:color w:val="000000"/>
                <w:sz w:val="24"/>
                <w:szCs w:val="24"/>
              </w:rPr>
              <w:t>9.39</w:t>
            </w:r>
          </w:p>
        </w:tc>
      </w:tr>
      <w:tr w:rsidR="006B53E9">
        <w:trPr>
          <w:jc w:val="center"/>
        </w:trPr>
        <w:tc>
          <w:tcPr>
            <w:tcW w:w="855" w:type="dxa"/>
            <w:vAlign w:val="center"/>
          </w:tcPr>
          <w:p w:rsidR="006B53E9" w:rsidRDefault="00654E0A">
            <w:pPr>
              <w:jc w:val="center"/>
            </w:pPr>
            <w:r>
              <w:rPr>
                <w:color w:val="000000"/>
                <w:sz w:val="24"/>
                <w:szCs w:val="24"/>
              </w:rPr>
              <w:t>2</w:t>
            </w:r>
          </w:p>
        </w:tc>
        <w:tc>
          <w:tcPr>
            <w:tcW w:w="1334" w:type="dxa"/>
            <w:vAlign w:val="center"/>
          </w:tcPr>
          <w:p w:rsidR="006B53E9" w:rsidRDefault="00654E0A">
            <w:pPr>
              <w:jc w:val="center"/>
            </w:pPr>
            <w:r>
              <w:rPr>
                <w:color w:val="000000"/>
                <w:sz w:val="24"/>
                <w:szCs w:val="24"/>
              </w:rPr>
              <w:t>300347</w:t>
            </w:r>
          </w:p>
        </w:tc>
        <w:tc>
          <w:tcPr>
            <w:tcW w:w="1777" w:type="dxa"/>
            <w:vAlign w:val="center"/>
          </w:tcPr>
          <w:p w:rsidR="006B53E9" w:rsidRDefault="00654E0A">
            <w:pPr>
              <w:jc w:val="center"/>
            </w:pPr>
            <w:r>
              <w:rPr>
                <w:color w:val="000000"/>
                <w:sz w:val="24"/>
                <w:szCs w:val="24"/>
              </w:rPr>
              <w:t>泰格医药</w:t>
            </w:r>
          </w:p>
        </w:tc>
        <w:tc>
          <w:tcPr>
            <w:tcW w:w="1334" w:type="dxa"/>
            <w:vAlign w:val="center"/>
          </w:tcPr>
          <w:p w:rsidR="006B53E9" w:rsidRDefault="00654E0A">
            <w:pPr>
              <w:jc w:val="right"/>
            </w:pPr>
            <w:r>
              <w:rPr>
                <w:color w:val="000000"/>
                <w:sz w:val="24"/>
                <w:szCs w:val="24"/>
              </w:rPr>
              <w:t>1,939,012</w:t>
            </w:r>
          </w:p>
        </w:tc>
        <w:tc>
          <w:tcPr>
            <w:tcW w:w="1924" w:type="dxa"/>
            <w:vAlign w:val="center"/>
          </w:tcPr>
          <w:p w:rsidR="006B53E9" w:rsidRDefault="00654E0A">
            <w:pPr>
              <w:jc w:val="right"/>
            </w:pPr>
            <w:r>
              <w:rPr>
                <w:color w:val="000000"/>
                <w:sz w:val="24"/>
                <w:szCs w:val="24"/>
              </w:rPr>
              <w:t>68,214,442.16</w:t>
            </w:r>
          </w:p>
        </w:tc>
        <w:tc>
          <w:tcPr>
            <w:tcW w:w="1644" w:type="dxa"/>
            <w:vAlign w:val="center"/>
          </w:tcPr>
          <w:p w:rsidR="006B53E9" w:rsidRDefault="00654E0A">
            <w:pPr>
              <w:jc w:val="right"/>
            </w:pPr>
            <w:r>
              <w:rPr>
                <w:color w:val="000000"/>
                <w:sz w:val="24"/>
                <w:szCs w:val="24"/>
              </w:rPr>
              <w:t>9.18</w:t>
            </w:r>
          </w:p>
        </w:tc>
      </w:tr>
      <w:tr w:rsidR="006B53E9">
        <w:trPr>
          <w:jc w:val="center"/>
        </w:trPr>
        <w:tc>
          <w:tcPr>
            <w:tcW w:w="855" w:type="dxa"/>
            <w:vAlign w:val="center"/>
          </w:tcPr>
          <w:p w:rsidR="006B53E9" w:rsidRDefault="00654E0A">
            <w:pPr>
              <w:jc w:val="center"/>
            </w:pPr>
            <w:r>
              <w:rPr>
                <w:color w:val="000000"/>
                <w:sz w:val="24"/>
                <w:szCs w:val="24"/>
              </w:rPr>
              <w:t>3</w:t>
            </w:r>
          </w:p>
        </w:tc>
        <w:tc>
          <w:tcPr>
            <w:tcW w:w="1334" w:type="dxa"/>
            <w:vAlign w:val="center"/>
          </w:tcPr>
          <w:p w:rsidR="006B53E9" w:rsidRDefault="00654E0A">
            <w:pPr>
              <w:jc w:val="center"/>
            </w:pPr>
            <w:r>
              <w:rPr>
                <w:color w:val="000000"/>
                <w:sz w:val="24"/>
                <w:szCs w:val="24"/>
              </w:rPr>
              <w:t>002599</w:t>
            </w:r>
          </w:p>
        </w:tc>
        <w:tc>
          <w:tcPr>
            <w:tcW w:w="1777" w:type="dxa"/>
            <w:vAlign w:val="center"/>
          </w:tcPr>
          <w:p w:rsidR="006B53E9" w:rsidRDefault="00654E0A">
            <w:pPr>
              <w:jc w:val="center"/>
            </w:pPr>
            <w:r>
              <w:rPr>
                <w:color w:val="000000"/>
                <w:sz w:val="24"/>
                <w:szCs w:val="24"/>
              </w:rPr>
              <w:t>盛通股份</w:t>
            </w:r>
          </w:p>
        </w:tc>
        <w:tc>
          <w:tcPr>
            <w:tcW w:w="1334" w:type="dxa"/>
            <w:vAlign w:val="center"/>
          </w:tcPr>
          <w:p w:rsidR="006B53E9" w:rsidRDefault="00654E0A">
            <w:pPr>
              <w:jc w:val="right"/>
            </w:pPr>
            <w:r>
              <w:rPr>
                <w:color w:val="000000"/>
                <w:sz w:val="24"/>
                <w:szCs w:val="24"/>
              </w:rPr>
              <w:t>5,369,302</w:t>
            </w:r>
          </w:p>
        </w:tc>
        <w:tc>
          <w:tcPr>
            <w:tcW w:w="1924" w:type="dxa"/>
            <w:vAlign w:val="center"/>
          </w:tcPr>
          <w:p w:rsidR="006B53E9" w:rsidRDefault="00654E0A">
            <w:pPr>
              <w:jc w:val="right"/>
            </w:pPr>
            <w:r>
              <w:rPr>
                <w:color w:val="000000"/>
                <w:sz w:val="24"/>
                <w:szCs w:val="24"/>
              </w:rPr>
              <w:t>63,411,456.62</w:t>
            </w:r>
          </w:p>
        </w:tc>
        <w:tc>
          <w:tcPr>
            <w:tcW w:w="1644" w:type="dxa"/>
            <w:vAlign w:val="center"/>
          </w:tcPr>
          <w:p w:rsidR="006B53E9" w:rsidRDefault="00654E0A">
            <w:pPr>
              <w:jc w:val="right"/>
            </w:pPr>
            <w:r>
              <w:rPr>
                <w:color w:val="000000"/>
                <w:sz w:val="24"/>
                <w:szCs w:val="24"/>
              </w:rPr>
              <w:t>8.54</w:t>
            </w:r>
          </w:p>
        </w:tc>
      </w:tr>
      <w:tr w:rsidR="006B53E9">
        <w:trPr>
          <w:jc w:val="center"/>
        </w:trPr>
        <w:tc>
          <w:tcPr>
            <w:tcW w:w="855" w:type="dxa"/>
            <w:vAlign w:val="center"/>
          </w:tcPr>
          <w:p w:rsidR="006B53E9" w:rsidRDefault="00654E0A">
            <w:pPr>
              <w:jc w:val="center"/>
            </w:pPr>
            <w:r>
              <w:rPr>
                <w:color w:val="000000"/>
                <w:sz w:val="24"/>
                <w:szCs w:val="24"/>
              </w:rPr>
              <w:t>4</w:t>
            </w:r>
          </w:p>
        </w:tc>
        <w:tc>
          <w:tcPr>
            <w:tcW w:w="1334" w:type="dxa"/>
            <w:vAlign w:val="center"/>
          </w:tcPr>
          <w:p w:rsidR="006B53E9" w:rsidRDefault="00654E0A">
            <w:pPr>
              <w:jc w:val="center"/>
            </w:pPr>
            <w:r>
              <w:rPr>
                <w:color w:val="000000"/>
                <w:sz w:val="24"/>
                <w:szCs w:val="24"/>
              </w:rPr>
              <w:t>300279</w:t>
            </w:r>
          </w:p>
        </w:tc>
        <w:tc>
          <w:tcPr>
            <w:tcW w:w="1777" w:type="dxa"/>
            <w:vAlign w:val="center"/>
          </w:tcPr>
          <w:p w:rsidR="006B53E9" w:rsidRDefault="00654E0A">
            <w:pPr>
              <w:jc w:val="center"/>
            </w:pPr>
            <w:r>
              <w:rPr>
                <w:color w:val="000000"/>
                <w:sz w:val="24"/>
                <w:szCs w:val="24"/>
              </w:rPr>
              <w:t>和晶科技</w:t>
            </w:r>
          </w:p>
        </w:tc>
        <w:tc>
          <w:tcPr>
            <w:tcW w:w="1334" w:type="dxa"/>
            <w:vAlign w:val="center"/>
          </w:tcPr>
          <w:p w:rsidR="006B53E9" w:rsidRDefault="00654E0A">
            <w:pPr>
              <w:jc w:val="right"/>
            </w:pPr>
            <w:r>
              <w:rPr>
                <w:color w:val="000000"/>
                <w:sz w:val="24"/>
                <w:szCs w:val="24"/>
              </w:rPr>
              <w:t>4,643,105</w:t>
            </w:r>
          </w:p>
        </w:tc>
        <w:tc>
          <w:tcPr>
            <w:tcW w:w="1924" w:type="dxa"/>
            <w:vAlign w:val="center"/>
          </w:tcPr>
          <w:p w:rsidR="006B53E9" w:rsidRDefault="00654E0A">
            <w:pPr>
              <w:jc w:val="right"/>
            </w:pPr>
            <w:r>
              <w:rPr>
                <w:color w:val="000000"/>
                <w:sz w:val="24"/>
                <w:szCs w:val="24"/>
              </w:rPr>
              <w:t>58,688,847.20</w:t>
            </w:r>
          </w:p>
        </w:tc>
        <w:tc>
          <w:tcPr>
            <w:tcW w:w="1644" w:type="dxa"/>
            <w:vAlign w:val="center"/>
          </w:tcPr>
          <w:p w:rsidR="006B53E9" w:rsidRDefault="00654E0A">
            <w:pPr>
              <w:jc w:val="right"/>
            </w:pPr>
            <w:r>
              <w:rPr>
                <w:color w:val="000000"/>
                <w:sz w:val="24"/>
                <w:szCs w:val="24"/>
              </w:rPr>
              <w:t>7.90</w:t>
            </w:r>
          </w:p>
        </w:tc>
      </w:tr>
      <w:tr w:rsidR="006B53E9">
        <w:trPr>
          <w:jc w:val="center"/>
        </w:trPr>
        <w:tc>
          <w:tcPr>
            <w:tcW w:w="855" w:type="dxa"/>
            <w:vAlign w:val="center"/>
          </w:tcPr>
          <w:p w:rsidR="006B53E9" w:rsidRDefault="00654E0A">
            <w:pPr>
              <w:jc w:val="center"/>
            </w:pPr>
            <w:r>
              <w:rPr>
                <w:color w:val="000000"/>
                <w:sz w:val="24"/>
                <w:szCs w:val="24"/>
              </w:rPr>
              <w:t>5</w:t>
            </w:r>
          </w:p>
        </w:tc>
        <w:tc>
          <w:tcPr>
            <w:tcW w:w="1334" w:type="dxa"/>
            <w:vAlign w:val="center"/>
          </w:tcPr>
          <w:p w:rsidR="006B53E9" w:rsidRDefault="00654E0A">
            <w:pPr>
              <w:jc w:val="center"/>
            </w:pPr>
            <w:r>
              <w:rPr>
                <w:color w:val="000000"/>
                <w:sz w:val="24"/>
                <w:szCs w:val="24"/>
              </w:rPr>
              <w:t>600693</w:t>
            </w:r>
          </w:p>
        </w:tc>
        <w:tc>
          <w:tcPr>
            <w:tcW w:w="1777" w:type="dxa"/>
            <w:vAlign w:val="center"/>
          </w:tcPr>
          <w:p w:rsidR="006B53E9" w:rsidRDefault="00654E0A">
            <w:pPr>
              <w:jc w:val="center"/>
            </w:pPr>
            <w:r>
              <w:rPr>
                <w:color w:val="000000"/>
                <w:sz w:val="24"/>
                <w:szCs w:val="24"/>
              </w:rPr>
              <w:t>东百集团</w:t>
            </w:r>
          </w:p>
        </w:tc>
        <w:tc>
          <w:tcPr>
            <w:tcW w:w="1334" w:type="dxa"/>
            <w:vAlign w:val="center"/>
          </w:tcPr>
          <w:p w:rsidR="006B53E9" w:rsidRDefault="00654E0A">
            <w:pPr>
              <w:jc w:val="right"/>
            </w:pPr>
            <w:r>
              <w:rPr>
                <w:color w:val="000000"/>
                <w:sz w:val="24"/>
                <w:szCs w:val="24"/>
              </w:rPr>
              <w:t>5,689,200</w:t>
            </w:r>
          </w:p>
        </w:tc>
        <w:tc>
          <w:tcPr>
            <w:tcW w:w="1924" w:type="dxa"/>
            <w:vAlign w:val="center"/>
          </w:tcPr>
          <w:p w:rsidR="006B53E9" w:rsidRDefault="00654E0A">
            <w:pPr>
              <w:jc w:val="right"/>
            </w:pPr>
            <w:r>
              <w:rPr>
                <w:color w:val="000000"/>
                <w:sz w:val="24"/>
                <w:szCs w:val="24"/>
              </w:rPr>
              <w:t>58,371,192.00</w:t>
            </w:r>
          </w:p>
        </w:tc>
        <w:tc>
          <w:tcPr>
            <w:tcW w:w="1644" w:type="dxa"/>
            <w:vAlign w:val="center"/>
          </w:tcPr>
          <w:p w:rsidR="006B53E9" w:rsidRDefault="00654E0A">
            <w:pPr>
              <w:jc w:val="right"/>
            </w:pPr>
            <w:r>
              <w:rPr>
                <w:color w:val="000000"/>
                <w:sz w:val="24"/>
                <w:szCs w:val="24"/>
              </w:rPr>
              <w:t>7.86</w:t>
            </w:r>
          </w:p>
        </w:tc>
      </w:tr>
      <w:tr w:rsidR="006B53E9">
        <w:trPr>
          <w:jc w:val="center"/>
        </w:trPr>
        <w:tc>
          <w:tcPr>
            <w:tcW w:w="855" w:type="dxa"/>
            <w:vAlign w:val="center"/>
          </w:tcPr>
          <w:p w:rsidR="006B53E9" w:rsidRDefault="00654E0A">
            <w:pPr>
              <w:jc w:val="center"/>
            </w:pPr>
            <w:r>
              <w:rPr>
                <w:color w:val="000000"/>
                <w:sz w:val="24"/>
                <w:szCs w:val="24"/>
              </w:rPr>
              <w:t>6</w:t>
            </w:r>
          </w:p>
        </w:tc>
        <w:tc>
          <w:tcPr>
            <w:tcW w:w="1334" w:type="dxa"/>
            <w:vAlign w:val="center"/>
          </w:tcPr>
          <w:p w:rsidR="006B53E9" w:rsidRDefault="00654E0A">
            <w:pPr>
              <w:jc w:val="center"/>
            </w:pPr>
            <w:r>
              <w:rPr>
                <w:color w:val="000000"/>
                <w:sz w:val="24"/>
                <w:szCs w:val="24"/>
              </w:rPr>
              <w:t>300271</w:t>
            </w:r>
          </w:p>
        </w:tc>
        <w:tc>
          <w:tcPr>
            <w:tcW w:w="1777" w:type="dxa"/>
            <w:vAlign w:val="center"/>
          </w:tcPr>
          <w:p w:rsidR="006B53E9" w:rsidRDefault="00654E0A">
            <w:pPr>
              <w:jc w:val="center"/>
            </w:pPr>
            <w:r>
              <w:rPr>
                <w:color w:val="000000"/>
                <w:sz w:val="24"/>
                <w:szCs w:val="24"/>
              </w:rPr>
              <w:t>华宇软件</w:t>
            </w:r>
          </w:p>
        </w:tc>
        <w:tc>
          <w:tcPr>
            <w:tcW w:w="1334" w:type="dxa"/>
            <w:vAlign w:val="center"/>
          </w:tcPr>
          <w:p w:rsidR="006B53E9" w:rsidRDefault="00654E0A">
            <w:pPr>
              <w:jc w:val="right"/>
            </w:pPr>
            <w:r>
              <w:rPr>
                <w:color w:val="000000"/>
                <w:sz w:val="24"/>
                <w:szCs w:val="24"/>
              </w:rPr>
              <w:t>3,484,602</w:t>
            </w:r>
          </w:p>
        </w:tc>
        <w:tc>
          <w:tcPr>
            <w:tcW w:w="1924" w:type="dxa"/>
            <w:vAlign w:val="center"/>
          </w:tcPr>
          <w:p w:rsidR="006B53E9" w:rsidRDefault="00654E0A">
            <w:pPr>
              <w:jc w:val="right"/>
            </w:pPr>
            <w:r>
              <w:rPr>
                <w:color w:val="000000"/>
                <w:sz w:val="24"/>
                <w:szCs w:val="24"/>
              </w:rPr>
              <w:t>51,850,877.76</w:t>
            </w:r>
          </w:p>
        </w:tc>
        <w:tc>
          <w:tcPr>
            <w:tcW w:w="1644" w:type="dxa"/>
            <w:vAlign w:val="center"/>
          </w:tcPr>
          <w:p w:rsidR="006B53E9" w:rsidRDefault="00654E0A">
            <w:pPr>
              <w:jc w:val="right"/>
            </w:pPr>
            <w:r>
              <w:rPr>
                <w:color w:val="000000"/>
                <w:sz w:val="24"/>
                <w:szCs w:val="24"/>
              </w:rPr>
              <w:t>6.98</w:t>
            </w:r>
          </w:p>
        </w:tc>
      </w:tr>
      <w:tr w:rsidR="006B53E9">
        <w:trPr>
          <w:jc w:val="center"/>
        </w:trPr>
        <w:tc>
          <w:tcPr>
            <w:tcW w:w="855" w:type="dxa"/>
            <w:vAlign w:val="center"/>
          </w:tcPr>
          <w:p w:rsidR="006B53E9" w:rsidRDefault="00654E0A">
            <w:pPr>
              <w:jc w:val="center"/>
            </w:pPr>
            <w:r>
              <w:rPr>
                <w:color w:val="000000"/>
                <w:sz w:val="24"/>
                <w:szCs w:val="24"/>
              </w:rPr>
              <w:t>7</w:t>
            </w:r>
          </w:p>
        </w:tc>
        <w:tc>
          <w:tcPr>
            <w:tcW w:w="1334" w:type="dxa"/>
            <w:vAlign w:val="center"/>
          </w:tcPr>
          <w:p w:rsidR="006B53E9" w:rsidRDefault="00654E0A">
            <w:pPr>
              <w:jc w:val="center"/>
            </w:pPr>
            <w:r>
              <w:rPr>
                <w:color w:val="000000"/>
                <w:sz w:val="24"/>
                <w:szCs w:val="24"/>
              </w:rPr>
              <w:t>300447</w:t>
            </w:r>
          </w:p>
        </w:tc>
        <w:tc>
          <w:tcPr>
            <w:tcW w:w="1777" w:type="dxa"/>
            <w:vAlign w:val="center"/>
          </w:tcPr>
          <w:p w:rsidR="006B53E9" w:rsidRDefault="00654E0A">
            <w:pPr>
              <w:jc w:val="center"/>
            </w:pPr>
            <w:r>
              <w:rPr>
                <w:color w:val="000000"/>
                <w:sz w:val="24"/>
                <w:szCs w:val="24"/>
              </w:rPr>
              <w:t>全信股份</w:t>
            </w:r>
          </w:p>
        </w:tc>
        <w:tc>
          <w:tcPr>
            <w:tcW w:w="1334" w:type="dxa"/>
            <w:vAlign w:val="center"/>
          </w:tcPr>
          <w:p w:rsidR="006B53E9" w:rsidRDefault="00654E0A">
            <w:pPr>
              <w:jc w:val="right"/>
            </w:pPr>
            <w:r>
              <w:rPr>
                <w:color w:val="000000"/>
                <w:sz w:val="24"/>
                <w:szCs w:val="24"/>
              </w:rPr>
              <w:t>2,349,419</w:t>
            </w:r>
          </w:p>
        </w:tc>
        <w:tc>
          <w:tcPr>
            <w:tcW w:w="1924" w:type="dxa"/>
            <w:vAlign w:val="center"/>
          </w:tcPr>
          <w:p w:rsidR="006B53E9" w:rsidRDefault="00654E0A">
            <w:pPr>
              <w:jc w:val="right"/>
            </w:pPr>
            <w:r>
              <w:rPr>
                <w:color w:val="000000"/>
                <w:sz w:val="24"/>
                <w:szCs w:val="24"/>
              </w:rPr>
              <w:t>44,239,559.77</w:t>
            </w:r>
          </w:p>
        </w:tc>
        <w:tc>
          <w:tcPr>
            <w:tcW w:w="1644" w:type="dxa"/>
            <w:vAlign w:val="center"/>
          </w:tcPr>
          <w:p w:rsidR="006B53E9" w:rsidRDefault="00654E0A">
            <w:pPr>
              <w:jc w:val="right"/>
            </w:pPr>
            <w:r>
              <w:rPr>
                <w:color w:val="000000"/>
                <w:sz w:val="24"/>
                <w:szCs w:val="24"/>
              </w:rPr>
              <w:t>5.95</w:t>
            </w:r>
          </w:p>
        </w:tc>
      </w:tr>
      <w:tr w:rsidR="006B53E9">
        <w:trPr>
          <w:jc w:val="center"/>
        </w:trPr>
        <w:tc>
          <w:tcPr>
            <w:tcW w:w="855" w:type="dxa"/>
            <w:vAlign w:val="center"/>
          </w:tcPr>
          <w:p w:rsidR="006B53E9" w:rsidRDefault="00654E0A">
            <w:pPr>
              <w:jc w:val="center"/>
            </w:pPr>
            <w:r>
              <w:rPr>
                <w:color w:val="000000"/>
                <w:sz w:val="24"/>
                <w:szCs w:val="24"/>
              </w:rPr>
              <w:t>8</w:t>
            </w:r>
          </w:p>
        </w:tc>
        <w:tc>
          <w:tcPr>
            <w:tcW w:w="1334" w:type="dxa"/>
            <w:vAlign w:val="center"/>
          </w:tcPr>
          <w:p w:rsidR="006B53E9" w:rsidRDefault="00654E0A">
            <w:pPr>
              <w:jc w:val="center"/>
            </w:pPr>
            <w:r>
              <w:rPr>
                <w:color w:val="000000"/>
                <w:sz w:val="24"/>
                <w:szCs w:val="24"/>
              </w:rPr>
              <w:t>603006</w:t>
            </w:r>
          </w:p>
        </w:tc>
        <w:tc>
          <w:tcPr>
            <w:tcW w:w="1777" w:type="dxa"/>
            <w:vAlign w:val="center"/>
          </w:tcPr>
          <w:p w:rsidR="006B53E9" w:rsidRDefault="00654E0A">
            <w:pPr>
              <w:jc w:val="center"/>
            </w:pPr>
            <w:r>
              <w:rPr>
                <w:color w:val="000000"/>
                <w:sz w:val="24"/>
                <w:szCs w:val="24"/>
              </w:rPr>
              <w:t>联明股份</w:t>
            </w:r>
          </w:p>
        </w:tc>
        <w:tc>
          <w:tcPr>
            <w:tcW w:w="1334" w:type="dxa"/>
            <w:vAlign w:val="center"/>
          </w:tcPr>
          <w:p w:rsidR="006B53E9" w:rsidRDefault="00654E0A">
            <w:pPr>
              <w:jc w:val="right"/>
            </w:pPr>
            <w:r>
              <w:rPr>
                <w:color w:val="000000"/>
                <w:sz w:val="24"/>
                <w:szCs w:val="24"/>
              </w:rPr>
              <w:t>2,375,576</w:t>
            </w:r>
          </w:p>
        </w:tc>
        <w:tc>
          <w:tcPr>
            <w:tcW w:w="1924" w:type="dxa"/>
            <w:vAlign w:val="center"/>
          </w:tcPr>
          <w:p w:rsidR="006B53E9" w:rsidRDefault="00654E0A">
            <w:pPr>
              <w:jc w:val="right"/>
            </w:pPr>
            <w:r>
              <w:rPr>
                <w:color w:val="000000"/>
                <w:sz w:val="24"/>
                <w:szCs w:val="24"/>
              </w:rPr>
              <w:t>36,227,534.00</w:t>
            </w:r>
          </w:p>
        </w:tc>
        <w:tc>
          <w:tcPr>
            <w:tcW w:w="1644" w:type="dxa"/>
            <w:vAlign w:val="center"/>
          </w:tcPr>
          <w:p w:rsidR="006B53E9" w:rsidRDefault="00654E0A">
            <w:pPr>
              <w:jc w:val="right"/>
            </w:pPr>
            <w:r>
              <w:rPr>
                <w:color w:val="000000"/>
                <w:sz w:val="24"/>
                <w:szCs w:val="24"/>
              </w:rPr>
              <w:t>4.88</w:t>
            </w:r>
          </w:p>
        </w:tc>
      </w:tr>
      <w:tr w:rsidR="006B53E9">
        <w:trPr>
          <w:jc w:val="center"/>
        </w:trPr>
        <w:tc>
          <w:tcPr>
            <w:tcW w:w="855" w:type="dxa"/>
            <w:vAlign w:val="center"/>
          </w:tcPr>
          <w:p w:rsidR="006B53E9" w:rsidRDefault="00654E0A">
            <w:pPr>
              <w:jc w:val="center"/>
            </w:pPr>
            <w:r>
              <w:rPr>
                <w:color w:val="000000"/>
                <w:sz w:val="24"/>
                <w:szCs w:val="24"/>
              </w:rPr>
              <w:t>9</w:t>
            </w:r>
          </w:p>
        </w:tc>
        <w:tc>
          <w:tcPr>
            <w:tcW w:w="1334" w:type="dxa"/>
            <w:vAlign w:val="center"/>
          </w:tcPr>
          <w:p w:rsidR="006B53E9" w:rsidRDefault="00654E0A">
            <w:pPr>
              <w:jc w:val="center"/>
            </w:pPr>
            <w:r>
              <w:rPr>
                <w:color w:val="000000"/>
                <w:sz w:val="24"/>
                <w:szCs w:val="24"/>
              </w:rPr>
              <w:t>603108</w:t>
            </w:r>
          </w:p>
        </w:tc>
        <w:tc>
          <w:tcPr>
            <w:tcW w:w="1777" w:type="dxa"/>
            <w:vAlign w:val="center"/>
          </w:tcPr>
          <w:p w:rsidR="006B53E9" w:rsidRDefault="00654E0A">
            <w:pPr>
              <w:jc w:val="center"/>
            </w:pPr>
            <w:r>
              <w:rPr>
                <w:color w:val="000000"/>
                <w:sz w:val="24"/>
                <w:szCs w:val="24"/>
              </w:rPr>
              <w:t>润达医疗</w:t>
            </w:r>
          </w:p>
        </w:tc>
        <w:tc>
          <w:tcPr>
            <w:tcW w:w="1334" w:type="dxa"/>
            <w:vAlign w:val="center"/>
          </w:tcPr>
          <w:p w:rsidR="006B53E9" w:rsidRDefault="00654E0A">
            <w:pPr>
              <w:jc w:val="right"/>
            </w:pPr>
            <w:r>
              <w:rPr>
                <w:color w:val="000000"/>
                <w:sz w:val="24"/>
                <w:szCs w:val="24"/>
              </w:rPr>
              <w:t>2,839,030</w:t>
            </w:r>
          </w:p>
        </w:tc>
        <w:tc>
          <w:tcPr>
            <w:tcW w:w="1924" w:type="dxa"/>
            <w:vAlign w:val="center"/>
          </w:tcPr>
          <w:p w:rsidR="006B53E9" w:rsidRDefault="00654E0A">
            <w:pPr>
              <w:jc w:val="right"/>
            </w:pPr>
            <w:r>
              <w:rPr>
                <w:color w:val="000000"/>
                <w:sz w:val="24"/>
                <w:szCs w:val="24"/>
              </w:rPr>
              <w:t>34,778,117.50</w:t>
            </w:r>
          </w:p>
        </w:tc>
        <w:tc>
          <w:tcPr>
            <w:tcW w:w="1644" w:type="dxa"/>
            <w:vAlign w:val="center"/>
          </w:tcPr>
          <w:p w:rsidR="006B53E9" w:rsidRDefault="00654E0A">
            <w:pPr>
              <w:jc w:val="right"/>
            </w:pPr>
            <w:r>
              <w:rPr>
                <w:color w:val="000000"/>
                <w:sz w:val="24"/>
                <w:szCs w:val="24"/>
              </w:rPr>
              <w:t>4.68</w:t>
            </w:r>
          </w:p>
        </w:tc>
      </w:tr>
      <w:tr w:rsidR="006B53E9">
        <w:trPr>
          <w:jc w:val="center"/>
        </w:trPr>
        <w:tc>
          <w:tcPr>
            <w:tcW w:w="855" w:type="dxa"/>
            <w:vAlign w:val="center"/>
          </w:tcPr>
          <w:p w:rsidR="006B53E9" w:rsidRDefault="00654E0A">
            <w:pPr>
              <w:jc w:val="center"/>
            </w:pPr>
            <w:r>
              <w:rPr>
                <w:color w:val="000000"/>
                <w:sz w:val="24"/>
                <w:szCs w:val="24"/>
              </w:rPr>
              <w:t>10</w:t>
            </w:r>
          </w:p>
        </w:tc>
        <w:tc>
          <w:tcPr>
            <w:tcW w:w="1334" w:type="dxa"/>
            <w:vAlign w:val="center"/>
          </w:tcPr>
          <w:p w:rsidR="006B53E9" w:rsidRDefault="00654E0A">
            <w:pPr>
              <w:jc w:val="center"/>
            </w:pPr>
            <w:r>
              <w:rPr>
                <w:color w:val="000000"/>
                <w:sz w:val="24"/>
                <w:szCs w:val="24"/>
              </w:rPr>
              <w:t>300061</w:t>
            </w:r>
          </w:p>
        </w:tc>
        <w:tc>
          <w:tcPr>
            <w:tcW w:w="1777" w:type="dxa"/>
            <w:vAlign w:val="center"/>
          </w:tcPr>
          <w:p w:rsidR="006B53E9" w:rsidRDefault="00654E0A">
            <w:pPr>
              <w:jc w:val="center"/>
            </w:pPr>
            <w:r>
              <w:rPr>
                <w:color w:val="000000"/>
                <w:sz w:val="24"/>
                <w:szCs w:val="24"/>
              </w:rPr>
              <w:t>康旗股份</w:t>
            </w:r>
          </w:p>
        </w:tc>
        <w:tc>
          <w:tcPr>
            <w:tcW w:w="1334" w:type="dxa"/>
            <w:vAlign w:val="center"/>
          </w:tcPr>
          <w:p w:rsidR="006B53E9" w:rsidRDefault="00654E0A">
            <w:pPr>
              <w:jc w:val="right"/>
            </w:pPr>
            <w:r>
              <w:rPr>
                <w:color w:val="000000"/>
                <w:sz w:val="24"/>
                <w:szCs w:val="24"/>
              </w:rPr>
              <w:t>1,850,881</w:t>
            </w:r>
          </w:p>
        </w:tc>
        <w:tc>
          <w:tcPr>
            <w:tcW w:w="1924" w:type="dxa"/>
            <w:vAlign w:val="center"/>
          </w:tcPr>
          <w:p w:rsidR="006B53E9" w:rsidRDefault="00654E0A">
            <w:pPr>
              <w:jc w:val="right"/>
            </w:pPr>
            <w:r>
              <w:rPr>
                <w:color w:val="000000"/>
                <w:sz w:val="24"/>
                <w:szCs w:val="24"/>
              </w:rPr>
              <w:t>29,391,990.28</w:t>
            </w:r>
          </w:p>
        </w:tc>
        <w:tc>
          <w:tcPr>
            <w:tcW w:w="1644" w:type="dxa"/>
            <w:vAlign w:val="center"/>
          </w:tcPr>
          <w:p w:rsidR="006B53E9" w:rsidRDefault="00654E0A">
            <w:pPr>
              <w:jc w:val="right"/>
            </w:pPr>
            <w:r>
              <w:rPr>
                <w:color w:val="000000"/>
                <w:sz w:val="24"/>
                <w:szCs w:val="24"/>
              </w:rPr>
              <w:t>3.96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35,962,200.00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35,962,200.00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39,951,400.00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B53E9">
        <w:trPr>
          <w:jc w:val="center"/>
        </w:trPr>
        <w:tc>
          <w:tcPr>
            <w:tcW w:w="850" w:type="dxa"/>
            <w:vAlign w:val="center"/>
          </w:tcPr>
          <w:p w:rsidR="006B53E9" w:rsidRDefault="00654E0A">
            <w:pPr>
              <w:jc w:val="center"/>
            </w:pPr>
            <w:r>
              <w:rPr>
                <w:color w:val="000000"/>
                <w:sz w:val="24"/>
                <w:szCs w:val="24"/>
              </w:rPr>
              <w:t>1</w:t>
            </w:r>
          </w:p>
        </w:tc>
        <w:tc>
          <w:tcPr>
            <w:tcW w:w="1475" w:type="dxa"/>
            <w:vAlign w:val="center"/>
          </w:tcPr>
          <w:p w:rsidR="006B53E9" w:rsidRDefault="00654E0A">
            <w:pPr>
              <w:jc w:val="center"/>
            </w:pPr>
            <w:r>
              <w:rPr>
                <w:color w:val="000000"/>
                <w:sz w:val="24"/>
                <w:szCs w:val="24"/>
              </w:rPr>
              <w:t>170401</w:t>
            </w:r>
          </w:p>
        </w:tc>
        <w:tc>
          <w:tcPr>
            <w:tcW w:w="1769" w:type="dxa"/>
            <w:vAlign w:val="center"/>
          </w:tcPr>
          <w:p w:rsidR="006B53E9" w:rsidRDefault="00654E0A">
            <w:pPr>
              <w:jc w:val="center"/>
            </w:pPr>
            <w:r>
              <w:rPr>
                <w:color w:val="000000"/>
                <w:sz w:val="24"/>
                <w:szCs w:val="24"/>
              </w:rPr>
              <w:t>17</w:t>
            </w:r>
            <w:r>
              <w:rPr>
                <w:color w:val="000000"/>
                <w:sz w:val="24"/>
                <w:szCs w:val="24"/>
              </w:rPr>
              <w:t>农发</w:t>
            </w:r>
            <w:r>
              <w:rPr>
                <w:color w:val="000000"/>
                <w:sz w:val="24"/>
                <w:szCs w:val="24"/>
              </w:rPr>
              <w:t>01</w:t>
            </w:r>
          </w:p>
        </w:tc>
        <w:tc>
          <w:tcPr>
            <w:tcW w:w="1387" w:type="dxa"/>
            <w:vAlign w:val="center"/>
          </w:tcPr>
          <w:p w:rsidR="006B53E9" w:rsidRDefault="00654E0A">
            <w:pPr>
              <w:jc w:val="right"/>
            </w:pPr>
            <w:r>
              <w:rPr>
                <w:color w:val="000000"/>
                <w:sz w:val="24"/>
                <w:szCs w:val="24"/>
              </w:rPr>
              <w:t>300,000</w:t>
            </w:r>
          </w:p>
        </w:tc>
        <w:tc>
          <w:tcPr>
            <w:tcW w:w="2150" w:type="dxa"/>
            <w:vAlign w:val="center"/>
          </w:tcPr>
          <w:p w:rsidR="006B53E9" w:rsidRDefault="00654E0A">
            <w:pPr>
              <w:jc w:val="right"/>
            </w:pPr>
            <w:r>
              <w:rPr>
                <w:color w:val="000000"/>
                <w:sz w:val="24"/>
                <w:szCs w:val="24"/>
              </w:rPr>
              <w:t>29,994,000.00</w:t>
            </w:r>
          </w:p>
        </w:tc>
        <w:tc>
          <w:tcPr>
            <w:tcW w:w="1237" w:type="dxa"/>
            <w:vAlign w:val="center"/>
          </w:tcPr>
          <w:p w:rsidR="006B53E9" w:rsidRDefault="00654E0A">
            <w:pPr>
              <w:jc w:val="right"/>
            </w:pPr>
            <w:r>
              <w:rPr>
                <w:color w:val="000000"/>
                <w:sz w:val="24"/>
                <w:szCs w:val="24"/>
              </w:rPr>
              <w:t>4.04</w:t>
            </w:r>
          </w:p>
        </w:tc>
      </w:tr>
      <w:tr w:rsidR="006B53E9">
        <w:trPr>
          <w:jc w:val="center"/>
        </w:trPr>
        <w:tc>
          <w:tcPr>
            <w:tcW w:w="850" w:type="dxa"/>
            <w:vAlign w:val="center"/>
          </w:tcPr>
          <w:p w:rsidR="006B53E9" w:rsidRDefault="00654E0A">
            <w:pPr>
              <w:jc w:val="center"/>
            </w:pPr>
            <w:r>
              <w:rPr>
                <w:color w:val="000000"/>
                <w:sz w:val="24"/>
                <w:szCs w:val="24"/>
              </w:rPr>
              <w:t>2</w:t>
            </w:r>
          </w:p>
        </w:tc>
        <w:tc>
          <w:tcPr>
            <w:tcW w:w="1475" w:type="dxa"/>
            <w:vAlign w:val="center"/>
          </w:tcPr>
          <w:p w:rsidR="006B53E9" w:rsidRDefault="00654E0A">
            <w:pPr>
              <w:jc w:val="center"/>
            </w:pPr>
            <w:r>
              <w:rPr>
                <w:color w:val="000000"/>
                <w:sz w:val="24"/>
                <w:szCs w:val="24"/>
              </w:rPr>
              <w:t>170410</w:t>
            </w:r>
          </w:p>
        </w:tc>
        <w:tc>
          <w:tcPr>
            <w:tcW w:w="1769" w:type="dxa"/>
            <w:vAlign w:val="center"/>
          </w:tcPr>
          <w:p w:rsidR="006B53E9" w:rsidRDefault="00654E0A">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6B53E9" w:rsidRDefault="00654E0A">
            <w:pPr>
              <w:jc w:val="right"/>
            </w:pPr>
            <w:r>
              <w:rPr>
                <w:color w:val="000000"/>
                <w:sz w:val="24"/>
                <w:szCs w:val="24"/>
              </w:rPr>
              <w:t>60,000</w:t>
            </w:r>
          </w:p>
        </w:tc>
        <w:tc>
          <w:tcPr>
            <w:tcW w:w="2150" w:type="dxa"/>
            <w:vAlign w:val="center"/>
          </w:tcPr>
          <w:p w:rsidR="006B53E9" w:rsidRDefault="00654E0A">
            <w:pPr>
              <w:jc w:val="right"/>
            </w:pPr>
            <w:r>
              <w:rPr>
                <w:color w:val="000000"/>
                <w:sz w:val="24"/>
                <w:szCs w:val="24"/>
              </w:rPr>
              <w:t>5,968,200.00</w:t>
            </w:r>
          </w:p>
        </w:tc>
        <w:tc>
          <w:tcPr>
            <w:tcW w:w="1237" w:type="dxa"/>
            <w:vAlign w:val="center"/>
          </w:tcPr>
          <w:p w:rsidR="006B53E9" w:rsidRDefault="00654E0A">
            <w:pPr>
              <w:jc w:val="right"/>
            </w:pPr>
            <w:r>
              <w:rPr>
                <w:color w:val="000000"/>
                <w:sz w:val="24"/>
                <w:szCs w:val="24"/>
              </w:rPr>
              <w:t>0.80</w:t>
            </w:r>
          </w:p>
        </w:tc>
      </w:tr>
      <w:tr w:rsidR="006B53E9">
        <w:trPr>
          <w:jc w:val="center"/>
        </w:trPr>
        <w:tc>
          <w:tcPr>
            <w:tcW w:w="850" w:type="dxa"/>
            <w:vAlign w:val="center"/>
          </w:tcPr>
          <w:p w:rsidR="006B53E9" w:rsidRDefault="00654E0A">
            <w:pPr>
              <w:jc w:val="center"/>
            </w:pPr>
            <w:r>
              <w:rPr>
                <w:color w:val="000000"/>
                <w:sz w:val="24"/>
                <w:szCs w:val="24"/>
              </w:rPr>
              <w:t>3</w:t>
            </w:r>
          </w:p>
        </w:tc>
        <w:tc>
          <w:tcPr>
            <w:tcW w:w="1475" w:type="dxa"/>
            <w:vAlign w:val="center"/>
          </w:tcPr>
          <w:p w:rsidR="006B53E9" w:rsidRDefault="00654E0A">
            <w:pPr>
              <w:jc w:val="center"/>
            </w:pPr>
            <w:r>
              <w:rPr>
                <w:color w:val="000000"/>
                <w:sz w:val="24"/>
                <w:szCs w:val="24"/>
              </w:rPr>
              <w:t>019571</w:t>
            </w:r>
          </w:p>
        </w:tc>
        <w:tc>
          <w:tcPr>
            <w:tcW w:w="1769" w:type="dxa"/>
            <w:vAlign w:val="center"/>
          </w:tcPr>
          <w:p w:rsidR="006B53E9" w:rsidRDefault="00654E0A">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6B53E9" w:rsidRDefault="00654E0A">
            <w:pPr>
              <w:jc w:val="right"/>
            </w:pPr>
            <w:r>
              <w:rPr>
                <w:color w:val="000000"/>
                <w:sz w:val="24"/>
                <w:szCs w:val="24"/>
              </w:rPr>
              <w:t>40,000</w:t>
            </w:r>
          </w:p>
        </w:tc>
        <w:tc>
          <w:tcPr>
            <w:tcW w:w="2150" w:type="dxa"/>
            <w:vAlign w:val="center"/>
          </w:tcPr>
          <w:p w:rsidR="006B53E9" w:rsidRDefault="00654E0A">
            <w:pPr>
              <w:jc w:val="right"/>
            </w:pPr>
            <w:r>
              <w:rPr>
                <w:color w:val="000000"/>
                <w:sz w:val="24"/>
                <w:szCs w:val="24"/>
              </w:rPr>
              <w:t>3,989,200.00</w:t>
            </w:r>
          </w:p>
        </w:tc>
        <w:tc>
          <w:tcPr>
            <w:tcW w:w="1237" w:type="dxa"/>
            <w:vAlign w:val="center"/>
          </w:tcPr>
          <w:p w:rsidR="006B53E9" w:rsidRDefault="00654E0A">
            <w:pPr>
              <w:jc w:val="right"/>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220,045.30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1,111,717.69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233,415.44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1,565,178.43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1,186,347,271.15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12,194,045.15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217,045,257.47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981,496,058.83</w:t>
            </w:r>
          </w:p>
        </w:tc>
      </w:tr>
    </w:tbl>
    <w:p w:rsidR="006B53E9" w:rsidRDefault="00654E0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BA6A3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B53E9" w:rsidRDefault="00654E0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bookmarkStart w:id="0" w:name="_GoBack"/>
      <w:bookmarkEnd w:id="0"/>
    </w:p>
    <w:p w:rsidR="006B53E9" w:rsidRDefault="00654E0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B53E9" w:rsidRDefault="00654E0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B53E9" w:rsidRDefault="00654E0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AB2" w:rsidRDefault="00E04AB2" w:rsidP="00876D65">
      <w:r>
        <w:separator/>
      </w:r>
    </w:p>
  </w:endnote>
  <w:endnote w:type="continuationSeparator" w:id="0">
    <w:p w:rsidR="00E04AB2" w:rsidRDefault="00E04A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A6A34">
      <w:rPr>
        <w:noProof/>
        <w:kern w:val="0"/>
        <w:szCs w:val="21"/>
      </w:rPr>
      <w:t>11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A6A34">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AB2" w:rsidRDefault="00E04AB2" w:rsidP="00876D65">
      <w:r>
        <w:separator/>
      </w:r>
    </w:p>
  </w:footnote>
  <w:footnote w:type="continuationSeparator" w:id="0">
    <w:p w:rsidR="00E04AB2" w:rsidRDefault="00E04A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3F26"/>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4E0A"/>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3E9"/>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A6A34"/>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AB2"/>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7175B6-09FC-400C-9A32-5EA47CD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047D-B4BC-4A67-BF3A-A951C96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2018-01-17T02:30:00Z</dcterms:modified>
</cp:coreProperties>
</file>