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bookmarkStart w:id="0" w:name="_GoBack"/>
      <w:bookmarkEnd w:id="0"/>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中信建投证券股份有限公司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二〇一八年一月二十二日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F56C13" w:rsidRDefault="0085089C">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56C13" w:rsidRDefault="0085089C">
      <w:pPr>
        <w:adjustRightInd w:val="0"/>
        <w:spacing w:before="29" w:line="288" w:lineRule="auto"/>
        <w:ind w:firstLineChars="200" w:firstLine="480"/>
        <w:rPr>
          <w:color w:val="000000"/>
          <w:sz w:val="24"/>
        </w:rPr>
      </w:pPr>
      <w:r>
        <w:rPr>
          <w:color w:val="000000"/>
          <w:sz w:val="24"/>
        </w:rPr>
        <w:t>基金托管人中信建投证券股份有限公司根据本基金合同规定，于</w:t>
      </w:r>
      <w:r>
        <w:rPr>
          <w:color w:val="000000"/>
          <w:sz w:val="24"/>
        </w:rPr>
        <w:t>2018</w:t>
      </w:r>
      <w:r>
        <w:rPr>
          <w:color w:val="000000"/>
          <w:sz w:val="24"/>
        </w:rPr>
        <w:t>年</w:t>
      </w:r>
      <w:r>
        <w:rPr>
          <w:color w:val="000000"/>
          <w:sz w:val="24"/>
        </w:rPr>
        <w:t>1</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56C13" w:rsidRDefault="0085089C">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56C13" w:rsidRDefault="0085089C">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56C13" w:rsidRDefault="0085089C">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23,958,155,458.85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10,949,621,912.61</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13,008,533,546.24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89,907,684.43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66,725,282.43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89,907,684.43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66,725,282.43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10,949,621,912.61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13,008,533,546.24</w:t>
            </w:r>
          </w:p>
        </w:tc>
      </w:tr>
    </w:tbl>
    <w:p w:rsidR="00F56C13" w:rsidRDefault="0085089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交银活期通货币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F56C13">
        <w:trPr>
          <w:jc w:val="center"/>
        </w:trPr>
        <w:tc>
          <w:tcPr>
            <w:tcW w:w="1266" w:type="dxa"/>
            <w:vAlign w:val="center"/>
          </w:tcPr>
          <w:p w:rsidR="00F56C13" w:rsidRDefault="0085089C">
            <w:pPr>
              <w:jc w:val="left"/>
            </w:pPr>
            <w:r>
              <w:rPr>
                <w:color w:val="000000"/>
              </w:rPr>
              <w:lastRenderedPageBreak/>
              <w:t>过去三个月</w:t>
            </w:r>
          </w:p>
        </w:tc>
        <w:tc>
          <w:tcPr>
            <w:tcW w:w="1267" w:type="dxa"/>
            <w:vAlign w:val="center"/>
          </w:tcPr>
          <w:p w:rsidR="00F56C13" w:rsidRDefault="0085089C">
            <w:pPr>
              <w:jc w:val="center"/>
            </w:pPr>
            <w:r>
              <w:rPr>
                <w:color w:val="000000"/>
              </w:rPr>
              <w:t>1.0143%</w:t>
            </w:r>
          </w:p>
        </w:tc>
        <w:tc>
          <w:tcPr>
            <w:tcW w:w="1267" w:type="dxa"/>
            <w:vAlign w:val="center"/>
          </w:tcPr>
          <w:p w:rsidR="00F56C13" w:rsidRDefault="0085089C">
            <w:pPr>
              <w:jc w:val="center"/>
            </w:pPr>
            <w:r>
              <w:rPr>
                <w:color w:val="000000"/>
              </w:rPr>
              <w:t>0.0007%</w:t>
            </w:r>
          </w:p>
        </w:tc>
        <w:tc>
          <w:tcPr>
            <w:tcW w:w="1267" w:type="dxa"/>
            <w:vAlign w:val="center"/>
          </w:tcPr>
          <w:p w:rsidR="00F56C13" w:rsidRDefault="0085089C">
            <w:pPr>
              <w:jc w:val="center"/>
            </w:pPr>
            <w:r>
              <w:rPr>
                <w:color w:val="000000"/>
              </w:rPr>
              <w:t>0.0882%</w:t>
            </w:r>
          </w:p>
        </w:tc>
        <w:tc>
          <w:tcPr>
            <w:tcW w:w="1267" w:type="dxa"/>
            <w:vAlign w:val="center"/>
          </w:tcPr>
          <w:p w:rsidR="00F56C13" w:rsidRDefault="0085089C">
            <w:pPr>
              <w:jc w:val="center"/>
            </w:pPr>
            <w:r>
              <w:rPr>
                <w:color w:val="000000"/>
              </w:rPr>
              <w:t>0.0000%</w:t>
            </w:r>
          </w:p>
        </w:tc>
        <w:tc>
          <w:tcPr>
            <w:tcW w:w="1267" w:type="dxa"/>
            <w:vAlign w:val="center"/>
          </w:tcPr>
          <w:p w:rsidR="00F56C13" w:rsidRDefault="0085089C">
            <w:pPr>
              <w:jc w:val="center"/>
            </w:pPr>
            <w:r>
              <w:rPr>
                <w:color w:val="000000"/>
              </w:rPr>
              <w:t>0.9261%</w:t>
            </w:r>
          </w:p>
        </w:tc>
        <w:tc>
          <w:tcPr>
            <w:tcW w:w="1267" w:type="dxa"/>
            <w:vAlign w:val="center"/>
          </w:tcPr>
          <w:p w:rsidR="00F56C13" w:rsidRDefault="0085089C">
            <w:pPr>
              <w:jc w:val="center"/>
            </w:pPr>
            <w:r>
              <w:rPr>
                <w:color w:val="000000"/>
              </w:rPr>
              <w:t>0.0007%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交银活期通货币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F56C13">
        <w:trPr>
          <w:jc w:val="center"/>
        </w:trPr>
        <w:tc>
          <w:tcPr>
            <w:tcW w:w="1266" w:type="dxa"/>
            <w:vAlign w:val="center"/>
          </w:tcPr>
          <w:p w:rsidR="00F56C13" w:rsidRDefault="0085089C">
            <w:pPr>
              <w:jc w:val="left"/>
            </w:pPr>
            <w:r>
              <w:rPr>
                <w:color w:val="000000"/>
              </w:rPr>
              <w:t>过去三个月</w:t>
            </w:r>
          </w:p>
        </w:tc>
        <w:tc>
          <w:tcPr>
            <w:tcW w:w="1267" w:type="dxa"/>
            <w:vAlign w:val="center"/>
          </w:tcPr>
          <w:p w:rsidR="00F56C13" w:rsidRDefault="0085089C">
            <w:pPr>
              <w:jc w:val="center"/>
            </w:pPr>
            <w:r>
              <w:rPr>
                <w:color w:val="000000"/>
              </w:rPr>
              <w:t>1.0752%</w:t>
            </w:r>
          </w:p>
        </w:tc>
        <w:tc>
          <w:tcPr>
            <w:tcW w:w="1267" w:type="dxa"/>
            <w:vAlign w:val="center"/>
          </w:tcPr>
          <w:p w:rsidR="00F56C13" w:rsidRDefault="0085089C">
            <w:pPr>
              <w:jc w:val="center"/>
            </w:pPr>
            <w:r>
              <w:rPr>
                <w:color w:val="000000"/>
              </w:rPr>
              <w:t>0.0007%</w:t>
            </w:r>
          </w:p>
        </w:tc>
        <w:tc>
          <w:tcPr>
            <w:tcW w:w="1267" w:type="dxa"/>
            <w:vAlign w:val="center"/>
          </w:tcPr>
          <w:p w:rsidR="00F56C13" w:rsidRDefault="0085089C">
            <w:pPr>
              <w:jc w:val="center"/>
            </w:pPr>
            <w:r>
              <w:rPr>
                <w:color w:val="000000"/>
              </w:rPr>
              <w:t>0.0882%</w:t>
            </w:r>
          </w:p>
        </w:tc>
        <w:tc>
          <w:tcPr>
            <w:tcW w:w="1267" w:type="dxa"/>
            <w:vAlign w:val="center"/>
          </w:tcPr>
          <w:p w:rsidR="00F56C13" w:rsidRDefault="0085089C">
            <w:pPr>
              <w:jc w:val="center"/>
            </w:pPr>
            <w:r>
              <w:rPr>
                <w:color w:val="000000"/>
              </w:rPr>
              <w:t>0.0000%</w:t>
            </w:r>
          </w:p>
        </w:tc>
        <w:tc>
          <w:tcPr>
            <w:tcW w:w="1267" w:type="dxa"/>
            <w:vAlign w:val="center"/>
          </w:tcPr>
          <w:p w:rsidR="00F56C13" w:rsidRDefault="0085089C">
            <w:pPr>
              <w:jc w:val="center"/>
            </w:pPr>
            <w:r>
              <w:rPr>
                <w:color w:val="000000"/>
              </w:rPr>
              <w:t>0.9870%</w:t>
            </w:r>
          </w:p>
        </w:tc>
        <w:tc>
          <w:tcPr>
            <w:tcW w:w="1267" w:type="dxa"/>
            <w:vAlign w:val="center"/>
          </w:tcPr>
          <w:p w:rsidR="00F56C13" w:rsidRDefault="0085089C">
            <w:pPr>
              <w:jc w:val="center"/>
            </w:pPr>
            <w:r>
              <w:rPr>
                <w:color w:val="000000"/>
              </w:rPr>
              <w:t>0.0007%</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交银活期通货币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日，截至报告期期末，本基金已完成建仓但</w:t>
      </w:r>
      <w:r w:rsidRPr="000E4C40">
        <w:rPr>
          <w:color w:val="000000"/>
          <w:sz w:val="24"/>
        </w:rPr>
        <w:lastRenderedPageBreak/>
        <w:t>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交银活期通货币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F56C13">
        <w:trPr>
          <w:jc w:val="center"/>
        </w:trPr>
        <w:tc>
          <w:tcPr>
            <w:tcW w:w="945" w:type="dxa"/>
            <w:vAlign w:val="center"/>
          </w:tcPr>
          <w:p w:rsidR="00F56C13" w:rsidRDefault="0085089C">
            <w:pPr>
              <w:jc w:val="center"/>
            </w:pPr>
            <w:r>
              <w:rPr>
                <w:color w:val="000000"/>
                <w:sz w:val="24"/>
              </w:rPr>
              <w:t>连端清</w:t>
            </w:r>
          </w:p>
        </w:tc>
        <w:tc>
          <w:tcPr>
            <w:tcW w:w="1589" w:type="dxa"/>
            <w:vAlign w:val="center"/>
          </w:tcPr>
          <w:p w:rsidR="00F56C13" w:rsidRDefault="0085089C">
            <w:pPr>
              <w:jc w:val="center"/>
            </w:pPr>
            <w:r>
              <w:rPr>
                <w:color w:val="000000"/>
                <w:sz w:val="24"/>
              </w:rPr>
              <w:t>交银货币、交银理财</w:t>
            </w:r>
            <w:r>
              <w:rPr>
                <w:color w:val="000000"/>
                <w:sz w:val="24"/>
              </w:rPr>
              <w:t>60</w:t>
            </w:r>
            <w:r>
              <w:rPr>
                <w:color w:val="000000"/>
                <w:sz w:val="24"/>
              </w:rPr>
              <w:t>天债券、交银丰盈收益债券、交银现金宝货币、交银丰</w:t>
            </w:r>
            <w:r>
              <w:rPr>
                <w:color w:val="000000"/>
                <w:sz w:val="24"/>
              </w:rPr>
              <w:lastRenderedPageBreak/>
              <w:t>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F56C13" w:rsidRDefault="0085089C">
            <w:pPr>
              <w:jc w:val="center"/>
            </w:pPr>
            <w:r>
              <w:rPr>
                <w:color w:val="000000"/>
                <w:sz w:val="24"/>
              </w:rPr>
              <w:lastRenderedPageBreak/>
              <w:t>2016-07-27</w:t>
            </w:r>
          </w:p>
        </w:tc>
        <w:tc>
          <w:tcPr>
            <w:tcW w:w="1478" w:type="dxa"/>
            <w:vAlign w:val="center"/>
          </w:tcPr>
          <w:p w:rsidR="00F56C13" w:rsidRDefault="0085089C">
            <w:pPr>
              <w:jc w:val="center"/>
            </w:pPr>
            <w:r>
              <w:rPr>
                <w:color w:val="000000"/>
                <w:sz w:val="24"/>
              </w:rPr>
              <w:t>-</w:t>
            </w:r>
          </w:p>
        </w:tc>
        <w:tc>
          <w:tcPr>
            <w:tcW w:w="986" w:type="dxa"/>
            <w:vAlign w:val="center"/>
          </w:tcPr>
          <w:p w:rsidR="00F56C13" w:rsidRDefault="0085089C">
            <w:pPr>
              <w:jc w:val="center"/>
            </w:pPr>
            <w:r>
              <w:rPr>
                <w:color w:val="000000"/>
                <w:sz w:val="24"/>
              </w:rPr>
              <w:t>4</w:t>
            </w:r>
            <w:r>
              <w:rPr>
                <w:color w:val="000000"/>
                <w:sz w:val="24"/>
              </w:rPr>
              <w:t>年</w:t>
            </w:r>
          </w:p>
        </w:tc>
        <w:tc>
          <w:tcPr>
            <w:tcW w:w="2392" w:type="dxa"/>
            <w:vAlign w:val="center"/>
          </w:tcPr>
          <w:p w:rsidR="00F56C13" w:rsidRDefault="0085089C">
            <w:r>
              <w:rPr>
                <w:color w:val="000000"/>
                <w:sz w:val="24"/>
              </w:rPr>
              <w:t>连端清先生，复旦大学经济学博士。历任交通银行总行金融市场部、湘财证券研究所研究员、中航信托资产管理部投资经</w:t>
            </w:r>
            <w:r>
              <w:rPr>
                <w:color w:val="000000"/>
                <w:sz w:val="24"/>
              </w:rPr>
              <w:lastRenderedPageBreak/>
              <w:t>理。</w:t>
            </w:r>
            <w:r>
              <w:rPr>
                <w:color w:val="000000"/>
                <w:sz w:val="24"/>
              </w:rPr>
              <w:t>2015</w:t>
            </w:r>
            <w:r>
              <w:rPr>
                <w:color w:val="000000"/>
                <w:sz w:val="24"/>
              </w:rPr>
              <w:t>年加入交银施罗德基金管理有限公司。</w:t>
            </w:r>
          </w:p>
        </w:tc>
      </w:tr>
      <w:tr w:rsidR="00F56C13">
        <w:trPr>
          <w:jc w:val="center"/>
        </w:trPr>
        <w:tc>
          <w:tcPr>
            <w:tcW w:w="945" w:type="dxa"/>
            <w:vAlign w:val="center"/>
          </w:tcPr>
          <w:p w:rsidR="00F56C13" w:rsidRDefault="0085089C">
            <w:pPr>
              <w:jc w:val="center"/>
            </w:pPr>
            <w:r>
              <w:rPr>
                <w:color w:val="000000"/>
                <w:sz w:val="24"/>
              </w:rPr>
              <w:lastRenderedPageBreak/>
              <w:t>黄莹洁</w:t>
            </w:r>
          </w:p>
        </w:tc>
        <w:tc>
          <w:tcPr>
            <w:tcW w:w="1589" w:type="dxa"/>
            <w:vAlign w:val="center"/>
          </w:tcPr>
          <w:p w:rsidR="00F56C13" w:rsidRDefault="0085089C">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F56C13" w:rsidRDefault="0085089C">
            <w:pPr>
              <w:jc w:val="center"/>
            </w:pPr>
            <w:r>
              <w:rPr>
                <w:color w:val="000000"/>
                <w:sz w:val="24"/>
              </w:rPr>
              <w:t>2016-07-27</w:t>
            </w:r>
          </w:p>
        </w:tc>
        <w:tc>
          <w:tcPr>
            <w:tcW w:w="1478" w:type="dxa"/>
            <w:vAlign w:val="center"/>
          </w:tcPr>
          <w:p w:rsidR="00F56C13" w:rsidRDefault="0085089C">
            <w:pPr>
              <w:jc w:val="center"/>
            </w:pPr>
            <w:r>
              <w:rPr>
                <w:color w:val="000000"/>
                <w:sz w:val="24"/>
              </w:rPr>
              <w:t>-</w:t>
            </w:r>
          </w:p>
        </w:tc>
        <w:tc>
          <w:tcPr>
            <w:tcW w:w="986" w:type="dxa"/>
            <w:vAlign w:val="center"/>
          </w:tcPr>
          <w:p w:rsidR="00F56C13" w:rsidRDefault="0085089C">
            <w:pPr>
              <w:jc w:val="center"/>
            </w:pPr>
            <w:r>
              <w:rPr>
                <w:color w:val="000000"/>
                <w:sz w:val="24"/>
              </w:rPr>
              <w:t>9</w:t>
            </w:r>
            <w:r>
              <w:rPr>
                <w:color w:val="000000"/>
                <w:sz w:val="24"/>
              </w:rPr>
              <w:t>年</w:t>
            </w:r>
          </w:p>
        </w:tc>
        <w:tc>
          <w:tcPr>
            <w:tcW w:w="2392" w:type="dxa"/>
            <w:vAlign w:val="center"/>
          </w:tcPr>
          <w:p w:rsidR="00F56C13" w:rsidRDefault="0085089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F56C13" w:rsidRDefault="0085089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F56C13" w:rsidRDefault="0085089C">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lastRenderedPageBreak/>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F56C13" w:rsidRDefault="0085089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56C13" w:rsidRDefault="0085089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56C13" w:rsidRDefault="0085089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F56C13" w:rsidRDefault="0085089C">
      <w:pPr>
        <w:spacing w:before="29" w:line="288" w:lineRule="auto"/>
        <w:ind w:firstLineChars="200" w:firstLine="480"/>
        <w:rPr>
          <w:color w:val="000000"/>
          <w:sz w:val="24"/>
        </w:rPr>
      </w:pPr>
      <w:r>
        <w:rPr>
          <w:color w:val="000000"/>
          <w:sz w:val="24"/>
        </w:rPr>
        <w:t>2017</w:t>
      </w:r>
      <w:r>
        <w:rPr>
          <w:color w:val="000000"/>
          <w:sz w:val="24"/>
        </w:rPr>
        <w:t>年四季度，国内经济整体上依旧平稳，经济韧劲依然较强。尽管四季度投资与工业增加值继续呈放缓之势，但是制造业景气度依然维持在较高的扩张区间，消费增速</w:t>
      </w:r>
      <w:r>
        <w:rPr>
          <w:color w:val="000000"/>
          <w:sz w:val="24"/>
        </w:rPr>
        <w:lastRenderedPageBreak/>
        <w:t>保持平稳。固定资产投资完成额累计同比增速十月、十一月分别为</w:t>
      </w:r>
      <w:r>
        <w:rPr>
          <w:color w:val="000000"/>
          <w:sz w:val="24"/>
        </w:rPr>
        <w:t>7.3%</w:t>
      </w:r>
      <w:r>
        <w:rPr>
          <w:color w:val="000000"/>
          <w:sz w:val="24"/>
        </w:rPr>
        <w:t>与</w:t>
      </w:r>
      <w:r>
        <w:rPr>
          <w:color w:val="000000"/>
          <w:sz w:val="24"/>
        </w:rPr>
        <w:t>7.2%</w:t>
      </w:r>
      <w:r>
        <w:rPr>
          <w:color w:val="000000"/>
          <w:sz w:val="24"/>
        </w:rPr>
        <w:t>，工业增加值同比增速分别为</w:t>
      </w:r>
      <w:r>
        <w:rPr>
          <w:color w:val="000000"/>
          <w:sz w:val="24"/>
        </w:rPr>
        <w:t>6.2%</w:t>
      </w:r>
      <w:r>
        <w:rPr>
          <w:color w:val="000000"/>
          <w:sz w:val="24"/>
        </w:rPr>
        <w:t>与</w:t>
      </w:r>
      <w:r>
        <w:rPr>
          <w:color w:val="000000"/>
          <w:sz w:val="24"/>
        </w:rPr>
        <w:t>6.1%</w:t>
      </w:r>
      <w:r>
        <w:rPr>
          <w:color w:val="000000"/>
          <w:sz w:val="24"/>
        </w:rPr>
        <w:t>。十月、十一月社会消费品零售额同比增速分别为</w:t>
      </w:r>
      <w:r>
        <w:rPr>
          <w:color w:val="000000"/>
          <w:sz w:val="24"/>
        </w:rPr>
        <w:t>10%</w:t>
      </w:r>
      <w:r>
        <w:rPr>
          <w:color w:val="000000"/>
          <w:sz w:val="24"/>
        </w:rPr>
        <w:t>与</w:t>
      </w:r>
      <w:r>
        <w:rPr>
          <w:color w:val="000000"/>
          <w:sz w:val="24"/>
        </w:rPr>
        <w:t>10.2%</w:t>
      </w:r>
      <w:r>
        <w:rPr>
          <w:color w:val="000000"/>
          <w:sz w:val="24"/>
        </w:rPr>
        <w:t>，四季度中采制造业采购经理指数均在</w:t>
      </w:r>
      <w:r>
        <w:rPr>
          <w:color w:val="000000"/>
          <w:sz w:val="24"/>
        </w:rPr>
        <w:t>51.6%</w:t>
      </w:r>
      <w:r>
        <w:rPr>
          <w:color w:val="000000"/>
          <w:sz w:val="24"/>
        </w:rPr>
        <w:t>及以上。四季度央行货币政策再次向中性偏紧方向回归，一方面央行通过公开市场等渠道增强流动性投放，以维护跨年市场流动性稳定，另一方面在国内经济平稳与欧美等发达经济体收紧货币政策的格局下，央行于十二月再次通过公开市场谨慎加息。四季度央行公开市场净投放</w:t>
      </w:r>
      <w:r>
        <w:rPr>
          <w:color w:val="000000"/>
          <w:sz w:val="24"/>
        </w:rPr>
        <w:t>7700</w:t>
      </w:r>
      <w:r>
        <w:rPr>
          <w:color w:val="000000"/>
          <w:sz w:val="24"/>
        </w:rPr>
        <w:t>亿，而三季度为净回笼，</w:t>
      </w:r>
      <w:r>
        <w:rPr>
          <w:color w:val="000000"/>
          <w:sz w:val="24"/>
        </w:rPr>
        <w:t>12</w:t>
      </w:r>
      <w:r>
        <w:rPr>
          <w:color w:val="000000"/>
          <w:sz w:val="24"/>
        </w:rPr>
        <w:t>月</w:t>
      </w:r>
      <w:r>
        <w:rPr>
          <w:color w:val="000000"/>
          <w:sz w:val="24"/>
        </w:rPr>
        <w:t>14</w:t>
      </w:r>
      <w:r>
        <w:rPr>
          <w:color w:val="000000"/>
          <w:sz w:val="24"/>
        </w:rPr>
        <w:t>日央行小幅提升公开市场及</w:t>
      </w:r>
      <w:r>
        <w:rPr>
          <w:color w:val="000000"/>
          <w:sz w:val="24"/>
        </w:rPr>
        <w:t>MLF</w:t>
      </w:r>
      <w:r>
        <w:rPr>
          <w:color w:val="000000"/>
          <w:sz w:val="24"/>
        </w:rPr>
        <w:t>操作利率</w:t>
      </w:r>
      <w:r>
        <w:rPr>
          <w:color w:val="000000"/>
          <w:sz w:val="24"/>
        </w:rPr>
        <w:t>5</w:t>
      </w:r>
      <w:r>
        <w:rPr>
          <w:color w:val="000000"/>
          <w:sz w:val="24"/>
        </w:rPr>
        <w:t>个</w:t>
      </w:r>
      <w:r>
        <w:rPr>
          <w:color w:val="000000"/>
          <w:sz w:val="24"/>
        </w:rPr>
        <w:t>BP</w:t>
      </w:r>
      <w:r>
        <w:rPr>
          <w:color w:val="000000"/>
          <w:sz w:val="24"/>
        </w:rPr>
        <w:t>。金融监管政策朝着防控金融风险方向继续收紧，</w:t>
      </w:r>
      <w:r>
        <w:rPr>
          <w:color w:val="000000"/>
          <w:sz w:val="24"/>
        </w:rPr>
        <w:t>11</w:t>
      </w:r>
      <w:r>
        <w:rPr>
          <w:color w:val="000000"/>
          <w:sz w:val="24"/>
        </w:rPr>
        <w:t>月</w:t>
      </w:r>
      <w:r>
        <w:rPr>
          <w:color w:val="000000"/>
          <w:sz w:val="24"/>
        </w:rPr>
        <w:t>8</w:t>
      </w:r>
      <w:r>
        <w:rPr>
          <w:color w:val="000000"/>
          <w:sz w:val="24"/>
        </w:rPr>
        <w:t>日国务院金融稳定发展委员会正式成立并召开第一次会议，</w:t>
      </w:r>
      <w:r>
        <w:rPr>
          <w:color w:val="000000"/>
          <w:sz w:val="24"/>
        </w:rPr>
        <w:t>11</w:t>
      </w:r>
      <w:r>
        <w:rPr>
          <w:color w:val="000000"/>
          <w:sz w:val="24"/>
        </w:rPr>
        <w:t>月</w:t>
      </w:r>
      <w:r>
        <w:rPr>
          <w:color w:val="000000"/>
          <w:sz w:val="24"/>
        </w:rPr>
        <w:t>17</w:t>
      </w:r>
      <w:r>
        <w:rPr>
          <w:color w:val="000000"/>
          <w:sz w:val="24"/>
        </w:rPr>
        <w:t>日央行发布《关于规范金融机构资管业务的指导意见（征求意见稿）》，资管业务体系重塑大幕开启。</w:t>
      </w:r>
    </w:p>
    <w:p w:rsidR="00F56C13" w:rsidRDefault="0085089C">
      <w:pPr>
        <w:spacing w:before="29" w:line="288" w:lineRule="auto"/>
        <w:ind w:firstLineChars="200" w:firstLine="480"/>
        <w:rPr>
          <w:color w:val="000000"/>
          <w:sz w:val="24"/>
        </w:rPr>
      </w:pPr>
      <w:r>
        <w:rPr>
          <w:color w:val="000000"/>
          <w:sz w:val="24"/>
        </w:rPr>
        <w:t>资金面上，受央行精心呵护，除临近年末等几个交易日之外，四季度市场资金面整体上相对宽松，四季度</w:t>
      </w:r>
      <w:r>
        <w:rPr>
          <w:color w:val="000000"/>
          <w:sz w:val="24"/>
        </w:rPr>
        <w:t>R001</w:t>
      </w:r>
      <w:r>
        <w:rPr>
          <w:color w:val="000000"/>
          <w:sz w:val="24"/>
        </w:rPr>
        <w:t>均值较三季度下降</w:t>
      </w:r>
      <w:r>
        <w:rPr>
          <w:color w:val="000000"/>
          <w:sz w:val="24"/>
        </w:rPr>
        <w:t>8</w:t>
      </w:r>
      <w:r>
        <w:rPr>
          <w:color w:val="000000"/>
          <w:sz w:val="24"/>
        </w:rPr>
        <w:t>个</w:t>
      </w:r>
      <w:r>
        <w:rPr>
          <w:color w:val="000000"/>
          <w:sz w:val="24"/>
        </w:rPr>
        <w:t>BP</w:t>
      </w:r>
      <w:r>
        <w:rPr>
          <w:color w:val="000000"/>
          <w:sz w:val="24"/>
        </w:rPr>
        <w:t>以上。但同业存款及存单一级发行利率受跨年等因素影响，收益率在十二月份大幅上行，刷新年内高点。受监管政策收紧及经济好于市场预期等影响，四季度债市大跌，利率债自十月初至十一月下旬持续大幅回调，及至十一月底至十二月上旬有所回暖，但十二月中下旬又处于震荡调整之中，十二月底</w:t>
      </w:r>
      <w:r>
        <w:rPr>
          <w:color w:val="000000"/>
          <w:sz w:val="24"/>
        </w:rPr>
        <w:t>10</w:t>
      </w:r>
      <w:r>
        <w:rPr>
          <w:color w:val="000000"/>
          <w:sz w:val="24"/>
        </w:rPr>
        <w:t>年期国开债</w:t>
      </w:r>
      <w:r>
        <w:rPr>
          <w:color w:val="000000"/>
          <w:sz w:val="24"/>
        </w:rPr>
        <w:t>YTM</w:t>
      </w:r>
      <w:r>
        <w:rPr>
          <w:color w:val="000000"/>
          <w:sz w:val="24"/>
        </w:rPr>
        <w:t>较三季末大幅飙升</w:t>
      </w:r>
      <w:r>
        <w:rPr>
          <w:color w:val="000000"/>
          <w:sz w:val="24"/>
        </w:rPr>
        <w:t>60</w:t>
      </w:r>
      <w:r>
        <w:rPr>
          <w:color w:val="000000"/>
          <w:sz w:val="24"/>
        </w:rPr>
        <w:t>个</w:t>
      </w:r>
      <w:r>
        <w:rPr>
          <w:color w:val="000000"/>
          <w:sz w:val="24"/>
        </w:rPr>
        <w:t>BP</w:t>
      </w:r>
      <w:r>
        <w:rPr>
          <w:color w:val="000000"/>
          <w:sz w:val="24"/>
        </w:rPr>
        <w:t>以上。</w:t>
      </w:r>
    </w:p>
    <w:p w:rsidR="00F56C13" w:rsidRDefault="0085089C">
      <w:pPr>
        <w:spacing w:before="29" w:line="288" w:lineRule="auto"/>
        <w:ind w:firstLineChars="200" w:firstLine="480"/>
        <w:rPr>
          <w:color w:val="000000"/>
          <w:sz w:val="24"/>
        </w:rPr>
      </w:pPr>
      <w:r>
        <w:rPr>
          <w:color w:val="000000"/>
          <w:sz w:val="24"/>
        </w:rPr>
        <w:t>基金操作方面，报告期内本基金提高流动性满足资金赎回需求，管控信用风险，择机提升组合杠杆，调整组合久期。在资产配置上，择机加大存款与同业存单等投资品种的配置力度，灵活调整存款、同业存单及债券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一季度，考虑到一年多以来楼市调控累积效应以及金融监管加强的紧缩效应等，国内经济边际上有下行压力。但是鉴于本轮楼市调控中房地产投资下行缓慢，国内消费对经济增长贡献的提升，以及发达经济体维持复苏势头等因素，国内经济短期压力可能不大。</w:t>
      </w:r>
      <w:r w:rsidRPr="000E4C40">
        <w:rPr>
          <w:color w:val="000000"/>
          <w:sz w:val="24"/>
        </w:rPr>
        <w:t>12</w:t>
      </w:r>
      <w:r w:rsidRPr="000E4C40">
        <w:rPr>
          <w:color w:val="000000"/>
          <w:sz w:val="24"/>
        </w:rPr>
        <w:t>月</w:t>
      </w:r>
      <w:r w:rsidRPr="000E4C40">
        <w:rPr>
          <w:color w:val="000000"/>
          <w:sz w:val="24"/>
        </w:rPr>
        <w:t>18</w:t>
      </w:r>
      <w:r w:rsidRPr="000E4C40">
        <w:rPr>
          <w:color w:val="000000"/>
          <w:sz w:val="24"/>
        </w:rPr>
        <w:t>日中央经济工作会议召开，会议认为我国经济发展已进入新时代，由高速增长阶段转向高质量发展阶段，并且将</w:t>
      </w:r>
      <w:r w:rsidRPr="000E4C40">
        <w:rPr>
          <w:color w:val="000000"/>
          <w:sz w:val="24"/>
        </w:rPr>
        <w:t>“</w:t>
      </w:r>
      <w:r w:rsidRPr="000E4C40">
        <w:rPr>
          <w:color w:val="000000"/>
          <w:sz w:val="24"/>
        </w:rPr>
        <w:t>防控金融风险</w:t>
      </w:r>
      <w:r w:rsidRPr="000E4C40">
        <w:rPr>
          <w:color w:val="000000"/>
          <w:sz w:val="24"/>
        </w:rPr>
        <w:t>”</w:t>
      </w:r>
      <w:r w:rsidRPr="000E4C40">
        <w:rPr>
          <w:color w:val="000000"/>
          <w:sz w:val="24"/>
        </w:rPr>
        <w:t>列入未来三年需重点抓好的三大攻坚战之一。因此，短期内监管政策变量仍可能是主导市场走向的核心变量，我们预计短期内央行将以</w:t>
      </w:r>
      <w:r w:rsidRPr="000E4C40">
        <w:rPr>
          <w:color w:val="000000"/>
          <w:sz w:val="24"/>
        </w:rPr>
        <w:t>“</w:t>
      </w:r>
      <w:r w:rsidRPr="000E4C40">
        <w:rPr>
          <w:color w:val="000000"/>
          <w:sz w:val="24"/>
        </w:rPr>
        <w:t>不松不紧</w:t>
      </w:r>
      <w:r w:rsidRPr="000E4C40">
        <w:rPr>
          <w:color w:val="000000"/>
          <w:sz w:val="24"/>
        </w:rPr>
        <w:t>”</w:t>
      </w:r>
      <w:r w:rsidRPr="000E4C40">
        <w:rPr>
          <w:color w:val="000000"/>
          <w:sz w:val="24"/>
        </w:rPr>
        <w:t>的货币政策为主，政策转向的时机仍需等待。组合管理方面，本基金将努力研判宏观经济走势，密切跟踪央行货币政策操作与金融监管政策动态，保持产品较好的流动性，力求把握市场机会，尽力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本报告期内，交银活期通</w:t>
      </w:r>
      <w:r w:rsidRPr="000E4C40">
        <w:rPr>
          <w:color w:val="000000"/>
          <w:sz w:val="24"/>
        </w:rPr>
        <w:t>A</w:t>
      </w:r>
      <w:r w:rsidRPr="000E4C40">
        <w:rPr>
          <w:color w:val="000000"/>
          <w:sz w:val="24"/>
        </w:rPr>
        <w:t>净值收益率为</w:t>
      </w:r>
      <w:r w:rsidRPr="000E4C40">
        <w:rPr>
          <w:color w:val="000000"/>
          <w:sz w:val="24"/>
        </w:rPr>
        <w:t>1.0143%</w:t>
      </w:r>
      <w:r w:rsidRPr="000E4C40">
        <w:rPr>
          <w:color w:val="000000"/>
          <w:sz w:val="24"/>
        </w:rPr>
        <w:t>，同期业绩比较基准收益率为</w:t>
      </w:r>
      <w:r w:rsidRPr="000E4C40">
        <w:rPr>
          <w:color w:val="000000"/>
          <w:sz w:val="24"/>
        </w:rPr>
        <w:t>0.0882%</w:t>
      </w:r>
      <w:r w:rsidRPr="000E4C40">
        <w:rPr>
          <w:color w:val="000000"/>
          <w:sz w:val="24"/>
        </w:rPr>
        <w:t>；交银活期通</w:t>
      </w:r>
      <w:r w:rsidRPr="000E4C40">
        <w:rPr>
          <w:color w:val="000000"/>
          <w:sz w:val="24"/>
        </w:rPr>
        <w:t>E</w:t>
      </w:r>
      <w:r w:rsidRPr="000E4C40">
        <w:rPr>
          <w:color w:val="000000"/>
          <w:sz w:val="24"/>
        </w:rPr>
        <w:t>净值收益率为</w:t>
      </w:r>
      <w:r w:rsidRPr="000E4C40">
        <w:rPr>
          <w:color w:val="000000"/>
          <w:sz w:val="24"/>
        </w:rPr>
        <w:t>1.0752%</w:t>
      </w:r>
      <w:r w:rsidRPr="000E4C40">
        <w:rPr>
          <w:color w:val="000000"/>
          <w:sz w:val="24"/>
        </w:rPr>
        <w:t>，同期业绩比较基准收益率为</w:t>
      </w:r>
      <w:r w:rsidRPr="000E4C40">
        <w:rPr>
          <w:color w:val="000000"/>
          <w:sz w:val="24"/>
        </w:rPr>
        <w:t>0.0882%</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lastRenderedPageBreak/>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9,326,203,692.86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38.91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9,326,203,692.86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38.91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5,402,540,624.07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22.54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156,441,248.53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0.65</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9,070,855,585.80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37.84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169,447,580.23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0.71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23,969,047,482.96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2.61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55</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85089C" w:rsidP="0085089C">
            <w:pPr>
              <w:autoSpaceDE w:val="0"/>
              <w:autoSpaceDN w:val="0"/>
              <w:adjustRightInd w:val="0"/>
              <w:spacing w:before="29" w:line="288" w:lineRule="auto"/>
              <w:ind w:left="15"/>
              <w:jc w:val="right"/>
              <w:rPr>
                <w:color w:val="000000"/>
                <w:kern w:val="0"/>
                <w:sz w:val="24"/>
              </w:rPr>
            </w:pPr>
            <w:r>
              <w:rPr>
                <w:rFonts w:hint="eastAsia"/>
                <w:color w:val="000000"/>
                <w:sz w:val="22"/>
                <w:szCs w:val="22"/>
              </w:rPr>
              <w:t>35.31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85089C" w:rsidRDefault="0085089C" w:rsidP="0085089C">
            <w:pPr>
              <w:widowControl/>
              <w:jc w:val="right"/>
              <w:rPr>
                <w:color w:val="000000"/>
                <w:kern w:val="0"/>
                <w:sz w:val="22"/>
                <w:szCs w:val="22"/>
              </w:rPr>
            </w:pPr>
            <w:r>
              <w:rPr>
                <w:rFonts w:hint="eastAsia"/>
                <w:color w:val="000000"/>
                <w:sz w:val="22"/>
                <w:szCs w:val="22"/>
              </w:rPr>
              <w:t>9.76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85089C" w:rsidP="00281564">
            <w:pPr>
              <w:autoSpaceDE w:val="0"/>
              <w:autoSpaceDN w:val="0"/>
              <w:adjustRightInd w:val="0"/>
              <w:spacing w:before="29" w:line="288" w:lineRule="auto"/>
              <w:ind w:left="15"/>
              <w:jc w:val="right"/>
              <w:rPr>
                <w:color w:val="000000"/>
                <w:kern w:val="0"/>
                <w:sz w:val="24"/>
              </w:rPr>
            </w:pPr>
            <w:r>
              <w:rPr>
                <w:rFonts w:hint="eastAsia"/>
                <w:color w:val="000000"/>
                <w:sz w:val="22"/>
                <w:szCs w:val="22"/>
              </w:rPr>
              <w:t>30.44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85089C" w:rsidP="00281564">
            <w:pPr>
              <w:autoSpaceDE w:val="0"/>
              <w:autoSpaceDN w:val="0"/>
              <w:adjustRightInd w:val="0"/>
              <w:spacing w:before="29" w:line="288" w:lineRule="auto"/>
              <w:ind w:left="15"/>
              <w:jc w:val="right"/>
              <w:rPr>
                <w:color w:val="000000"/>
                <w:kern w:val="0"/>
                <w:sz w:val="24"/>
              </w:rPr>
            </w:pPr>
            <w:r>
              <w:rPr>
                <w:rFonts w:hint="eastAsia"/>
                <w:color w:val="000000"/>
                <w:sz w:val="22"/>
                <w:szCs w:val="22"/>
              </w:rPr>
              <w:t>2.71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85089C" w:rsidP="00281564">
            <w:pPr>
              <w:autoSpaceDE w:val="0"/>
              <w:autoSpaceDN w:val="0"/>
              <w:adjustRightInd w:val="0"/>
              <w:spacing w:before="29" w:line="288" w:lineRule="auto"/>
              <w:ind w:left="15"/>
              <w:jc w:val="right"/>
              <w:rPr>
                <w:color w:val="000000"/>
                <w:kern w:val="0"/>
                <w:sz w:val="24"/>
              </w:rPr>
            </w:pPr>
            <w:r>
              <w:rPr>
                <w:rFonts w:hint="eastAsia"/>
                <w:color w:val="000000"/>
                <w:sz w:val="22"/>
                <w:szCs w:val="22"/>
              </w:rPr>
              <w:t>21.11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w:t>
            </w:r>
            <w:r w:rsidR="0085089C">
              <w:rPr>
                <w:rFonts w:hint="eastAsia"/>
                <w:color w:val="000000"/>
                <w:sz w:val="24"/>
              </w:rPr>
              <w:t>34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lastRenderedPageBreak/>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834,972,213.03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3.49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509,813,205.43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509,813,205.43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449,904,440.65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7,531,513,833.75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31.44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9,326,203,692.86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38.93</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02"/>
        <w:gridCol w:w="1279"/>
        <w:gridCol w:w="1990"/>
        <w:gridCol w:w="1211"/>
        <w:gridCol w:w="2102"/>
        <w:gridCol w:w="138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F56C13">
        <w:trPr>
          <w:jc w:val="center"/>
        </w:trPr>
        <w:tc>
          <w:tcPr>
            <w:tcW w:w="0" w:type="auto"/>
            <w:vAlign w:val="center"/>
          </w:tcPr>
          <w:p w:rsidR="00F56C13" w:rsidRDefault="0085089C">
            <w:pPr>
              <w:jc w:val="center"/>
            </w:pPr>
            <w:r>
              <w:rPr>
                <w:color w:val="000000"/>
                <w:sz w:val="24"/>
              </w:rPr>
              <w:t>1</w:t>
            </w:r>
          </w:p>
        </w:tc>
        <w:tc>
          <w:tcPr>
            <w:tcW w:w="0" w:type="auto"/>
            <w:vAlign w:val="center"/>
          </w:tcPr>
          <w:p w:rsidR="00F56C13" w:rsidRDefault="0085089C">
            <w:pPr>
              <w:jc w:val="center"/>
            </w:pPr>
            <w:r>
              <w:rPr>
                <w:color w:val="000000"/>
                <w:sz w:val="24"/>
              </w:rPr>
              <w:t>111719418</w:t>
            </w:r>
          </w:p>
        </w:tc>
        <w:tc>
          <w:tcPr>
            <w:tcW w:w="0" w:type="auto"/>
            <w:vAlign w:val="center"/>
          </w:tcPr>
          <w:p w:rsidR="00F56C13" w:rsidRDefault="0085089C">
            <w:pPr>
              <w:jc w:val="center"/>
            </w:pPr>
            <w:r>
              <w:rPr>
                <w:color w:val="000000"/>
                <w:sz w:val="24"/>
              </w:rPr>
              <w:t>17</w:t>
            </w:r>
            <w:r>
              <w:rPr>
                <w:color w:val="000000"/>
                <w:sz w:val="24"/>
              </w:rPr>
              <w:t>恒丰银行</w:t>
            </w:r>
            <w:r>
              <w:rPr>
                <w:color w:val="000000"/>
                <w:sz w:val="24"/>
              </w:rPr>
              <w:t>CD418</w:t>
            </w:r>
          </w:p>
        </w:tc>
        <w:tc>
          <w:tcPr>
            <w:tcW w:w="0" w:type="auto"/>
            <w:vAlign w:val="center"/>
          </w:tcPr>
          <w:p w:rsidR="00F56C13" w:rsidRDefault="0085089C">
            <w:pPr>
              <w:jc w:val="right"/>
            </w:pPr>
            <w:r>
              <w:rPr>
                <w:color w:val="000000"/>
                <w:sz w:val="24"/>
              </w:rPr>
              <w:t>8,000,000</w:t>
            </w:r>
          </w:p>
        </w:tc>
        <w:tc>
          <w:tcPr>
            <w:tcW w:w="0" w:type="auto"/>
            <w:vAlign w:val="center"/>
          </w:tcPr>
          <w:p w:rsidR="00F56C13" w:rsidRDefault="0085089C">
            <w:pPr>
              <w:jc w:val="right"/>
            </w:pPr>
            <w:r>
              <w:rPr>
                <w:color w:val="000000"/>
                <w:sz w:val="24"/>
              </w:rPr>
              <w:t>790,431,287.78</w:t>
            </w:r>
          </w:p>
        </w:tc>
        <w:tc>
          <w:tcPr>
            <w:tcW w:w="0" w:type="auto"/>
            <w:vAlign w:val="center"/>
          </w:tcPr>
          <w:p w:rsidR="00F56C13" w:rsidRDefault="0085089C">
            <w:pPr>
              <w:jc w:val="right"/>
            </w:pPr>
            <w:r>
              <w:rPr>
                <w:color w:val="000000"/>
                <w:sz w:val="24"/>
              </w:rPr>
              <w:t>3.30</w:t>
            </w:r>
          </w:p>
        </w:tc>
      </w:tr>
      <w:tr w:rsidR="00F56C13">
        <w:trPr>
          <w:jc w:val="center"/>
        </w:trPr>
        <w:tc>
          <w:tcPr>
            <w:tcW w:w="0" w:type="auto"/>
            <w:vAlign w:val="center"/>
          </w:tcPr>
          <w:p w:rsidR="00F56C13" w:rsidRDefault="0085089C">
            <w:pPr>
              <w:jc w:val="center"/>
            </w:pPr>
            <w:r>
              <w:rPr>
                <w:color w:val="000000"/>
                <w:sz w:val="24"/>
              </w:rPr>
              <w:t>2</w:t>
            </w:r>
          </w:p>
        </w:tc>
        <w:tc>
          <w:tcPr>
            <w:tcW w:w="0" w:type="auto"/>
            <w:vAlign w:val="center"/>
          </w:tcPr>
          <w:p w:rsidR="00F56C13" w:rsidRDefault="0085089C">
            <w:pPr>
              <w:jc w:val="center"/>
            </w:pPr>
            <w:r>
              <w:rPr>
                <w:color w:val="000000"/>
                <w:sz w:val="24"/>
              </w:rPr>
              <w:t>111709515</w:t>
            </w:r>
          </w:p>
        </w:tc>
        <w:tc>
          <w:tcPr>
            <w:tcW w:w="0" w:type="auto"/>
            <w:vAlign w:val="center"/>
          </w:tcPr>
          <w:p w:rsidR="00F56C13" w:rsidRDefault="0085089C">
            <w:pPr>
              <w:jc w:val="center"/>
            </w:pPr>
            <w:r>
              <w:rPr>
                <w:color w:val="000000"/>
                <w:sz w:val="24"/>
              </w:rPr>
              <w:t>17</w:t>
            </w:r>
            <w:r>
              <w:rPr>
                <w:color w:val="000000"/>
                <w:sz w:val="24"/>
              </w:rPr>
              <w:t>浦发银行</w:t>
            </w:r>
            <w:r>
              <w:rPr>
                <w:color w:val="000000"/>
                <w:sz w:val="24"/>
              </w:rPr>
              <w:t>CD515</w:t>
            </w:r>
          </w:p>
        </w:tc>
        <w:tc>
          <w:tcPr>
            <w:tcW w:w="0" w:type="auto"/>
            <w:vAlign w:val="center"/>
          </w:tcPr>
          <w:p w:rsidR="00F56C13" w:rsidRDefault="0085089C">
            <w:pPr>
              <w:jc w:val="right"/>
            </w:pPr>
            <w:r>
              <w:rPr>
                <w:color w:val="000000"/>
                <w:sz w:val="24"/>
              </w:rPr>
              <w:t>5,000,000</w:t>
            </w:r>
          </w:p>
        </w:tc>
        <w:tc>
          <w:tcPr>
            <w:tcW w:w="0" w:type="auto"/>
            <w:vAlign w:val="center"/>
          </w:tcPr>
          <w:p w:rsidR="00F56C13" w:rsidRDefault="0085089C">
            <w:pPr>
              <w:jc w:val="right"/>
            </w:pPr>
            <w:r>
              <w:rPr>
                <w:color w:val="000000"/>
                <w:sz w:val="24"/>
              </w:rPr>
              <w:t>494,444,574.04</w:t>
            </w:r>
          </w:p>
        </w:tc>
        <w:tc>
          <w:tcPr>
            <w:tcW w:w="0" w:type="auto"/>
            <w:vAlign w:val="center"/>
          </w:tcPr>
          <w:p w:rsidR="00F56C13" w:rsidRDefault="0085089C">
            <w:pPr>
              <w:jc w:val="right"/>
            </w:pPr>
            <w:r>
              <w:rPr>
                <w:color w:val="000000"/>
                <w:sz w:val="24"/>
              </w:rPr>
              <w:t>2.06</w:t>
            </w:r>
          </w:p>
        </w:tc>
      </w:tr>
      <w:tr w:rsidR="00F56C13">
        <w:trPr>
          <w:jc w:val="center"/>
        </w:trPr>
        <w:tc>
          <w:tcPr>
            <w:tcW w:w="0" w:type="auto"/>
            <w:vAlign w:val="center"/>
          </w:tcPr>
          <w:p w:rsidR="00F56C13" w:rsidRDefault="0085089C">
            <w:pPr>
              <w:jc w:val="center"/>
            </w:pPr>
            <w:r>
              <w:rPr>
                <w:color w:val="000000"/>
                <w:sz w:val="24"/>
              </w:rPr>
              <w:t>3</w:t>
            </w:r>
          </w:p>
        </w:tc>
        <w:tc>
          <w:tcPr>
            <w:tcW w:w="0" w:type="auto"/>
            <w:vAlign w:val="center"/>
          </w:tcPr>
          <w:p w:rsidR="00F56C13" w:rsidRDefault="0085089C">
            <w:pPr>
              <w:jc w:val="center"/>
            </w:pPr>
            <w:r>
              <w:rPr>
                <w:color w:val="000000"/>
                <w:sz w:val="24"/>
              </w:rPr>
              <w:t>111709243</w:t>
            </w:r>
          </w:p>
        </w:tc>
        <w:tc>
          <w:tcPr>
            <w:tcW w:w="0" w:type="auto"/>
            <w:vAlign w:val="center"/>
          </w:tcPr>
          <w:p w:rsidR="00F56C13" w:rsidRDefault="0085089C">
            <w:pPr>
              <w:jc w:val="center"/>
            </w:pPr>
            <w:r>
              <w:rPr>
                <w:color w:val="000000"/>
                <w:sz w:val="24"/>
              </w:rPr>
              <w:t>17</w:t>
            </w:r>
            <w:r>
              <w:rPr>
                <w:color w:val="000000"/>
                <w:sz w:val="24"/>
              </w:rPr>
              <w:t>浦发银行</w:t>
            </w:r>
            <w:r>
              <w:rPr>
                <w:color w:val="000000"/>
                <w:sz w:val="24"/>
              </w:rPr>
              <w:t>CD243</w:t>
            </w:r>
          </w:p>
        </w:tc>
        <w:tc>
          <w:tcPr>
            <w:tcW w:w="0" w:type="auto"/>
            <w:vAlign w:val="center"/>
          </w:tcPr>
          <w:p w:rsidR="00F56C13" w:rsidRDefault="0085089C">
            <w:pPr>
              <w:jc w:val="right"/>
            </w:pPr>
            <w:r>
              <w:rPr>
                <w:color w:val="000000"/>
                <w:sz w:val="24"/>
              </w:rPr>
              <w:t>4,000,000</w:t>
            </w:r>
          </w:p>
        </w:tc>
        <w:tc>
          <w:tcPr>
            <w:tcW w:w="0" w:type="auto"/>
            <w:vAlign w:val="center"/>
          </w:tcPr>
          <w:p w:rsidR="00F56C13" w:rsidRDefault="0085089C">
            <w:pPr>
              <w:jc w:val="right"/>
            </w:pPr>
            <w:r>
              <w:rPr>
                <w:color w:val="000000"/>
                <w:sz w:val="24"/>
              </w:rPr>
              <w:t>390,997,532.70</w:t>
            </w:r>
          </w:p>
        </w:tc>
        <w:tc>
          <w:tcPr>
            <w:tcW w:w="0" w:type="auto"/>
            <w:vAlign w:val="center"/>
          </w:tcPr>
          <w:p w:rsidR="00F56C13" w:rsidRDefault="0085089C">
            <w:pPr>
              <w:jc w:val="right"/>
            </w:pPr>
            <w:r>
              <w:rPr>
                <w:color w:val="000000"/>
                <w:sz w:val="24"/>
              </w:rPr>
              <w:t>1.63</w:t>
            </w:r>
          </w:p>
        </w:tc>
      </w:tr>
      <w:tr w:rsidR="00F56C13">
        <w:trPr>
          <w:jc w:val="center"/>
        </w:trPr>
        <w:tc>
          <w:tcPr>
            <w:tcW w:w="0" w:type="auto"/>
            <w:vAlign w:val="center"/>
          </w:tcPr>
          <w:p w:rsidR="00F56C13" w:rsidRDefault="0085089C">
            <w:pPr>
              <w:jc w:val="center"/>
            </w:pPr>
            <w:r>
              <w:rPr>
                <w:color w:val="000000"/>
                <w:sz w:val="24"/>
              </w:rPr>
              <w:t>4</w:t>
            </w:r>
          </w:p>
        </w:tc>
        <w:tc>
          <w:tcPr>
            <w:tcW w:w="0" w:type="auto"/>
            <w:vAlign w:val="center"/>
          </w:tcPr>
          <w:p w:rsidR="00F56C13" w:rsidRDefault="0085089C">
            <w:pPr>
              <w:jc w:val="center"/>
            </w:pPr>
            <w:r>
              <w:rPr>
                <w:color w:val="000000"/>
                <w:sz w:val="24"/>
              </w:rPr>
              <w:t>111720223</w:t>
            </w:r>
          </w:p>
        </w:tc>
        <w:tc>
          <w:tcPr>
            <w:tcW w:w="0" w:type="auto"/>
            <w:vAlign w:val="center"/>
          </w:tcPr>
          <w:p w:rsidR="00F56C13" w:rsidRDefault="0085089C">
            <w:pPr>
              <w:jc w:val="center"/>
            </w:pPr>
            <w:r>
              <w:rPr>
                <w:color w:val="000000"/>
                <w:sz w:val="24"/>
              </w:rPr>
              <w:t>17</w:t>
            </w:r>
            <w:r>
              <w:rPr>
                <w:color w:val="000000"/>
                <w:sz w:val="24"/>
              </w:rPr>
              <w:t>广发银行</w:t>
            </w:r>
            <w:r>
              <w:rPr>
                <w:color w:val="000000"/>
                <w:sz w:val="24"/>
              </w:rPr>
              <w:t>CD223</w:t>
            </w:r>
          </w:p>
        </w:tc>
        <w:tc>
          <w:tcPr>
            <w:tcW w:w="0" w:type="auto"/>
            <w:vAlign w:val="center"/>
          </w:tcPr>
          <w:p w:rsidR="00F56C13" w:rsidRDefault="0085089C">
            <w:pPr>
              <w:jc w:val="right"/>
            </w:pPr>
            <w:r>
              <w:rPr>
                <w:color w:val="000000"/>
                <w:sz w:val="24"/>
              </w:rPr>
              <w:t>3,600,000</w:t>
            </w:r>
          </w:p>
        </w:tc>
        <w:tc>
          <w:tcPr>
            <w:tcW w:w="0" w:type="auto"/>
            <w:vAlign w:val="center"/>
          </w:tcPr>
          <w:p w:rsidR="00F56C13" w:rsidRDefault="0085089C">
            <w:pPr>
              <w:jc w:val="right"/>
            </w:pPr>
            <w:r>
              <w:rPr>
                <w:color w:val="000000"/>
                <w:sz w:val="24"/>
              </w:rPr>
              <w:t>356,288,138.64</w:t>
            </w:r>
          </w:p>
        </w:tc>
        <w:tc>
          <w:tcPr>
            <w:tcW w:w="0" w:type="auto"/>
            <w:vAlign w:val="center"/>
          </w:tcPr>
          <w:p w:rsidR="00F56C13" w:rsidRDefault="0085089C">
            <w:pPr>
              <w:jc w:val="right"/>
            </w:pPr>
            <w:r>
              <w:rPr>
                <w:color w:val="000000"/>
                <w:sz w:val="24"/>
              </w:rPr>
              <w:t>1.49</w:t>
            </w:r>
          </w:p>
        </w:tc>
      </w:tr>
      <w:tr w:rsidR="00F56C13">
        <w:trPr>
          <w:jc w:val="center"/>
        </w:trPr>
        <w:tc>
          <w:tcPr>
            <w:tcW w:w="0" w:type="auto"/>
            <w:vAlign w:val="center"/>
          </w:tcPr>
          <w:p w:rsidR="00F56C13" w:rsidRDefault="0085089C">
            <w:pPr>
              <w:jc w:val="center"/>
            </w:pPr>
            <w:r>
              <w:rPr>
                <w:color w:val="000000"/>
                <w:sz w:val="24"/>
              </w:rPr>
              <w:t>5</w:t>
            </w:r>
          </w:p>
        </w:tc>
        <w:tc>
          <w:tcPr>
            <w:tcW w:w="0" w:type="auto"/>
            <w:vAlign w:val="center"/>
          </w:tcPr>
          <w:p w:rsidR="00F56C13" w:rsidRDefault="0085089C">
            <w:pPr>
              <w:jc w:val="center"/>
            </w:pPr>
            <w:r>
              <w:rPr>
                <w:color w:val="000000"/>
                <w:sz w:val="24"/>
              </w:rPr>
              <w:t>111709511</w:t>
            </w:r>
          </w:p>
        </w:tc>
        <w:tc>
          <w:tcPr>
            <w:tcW w:w="0" w:type="auto"/>
            <w:vAlign w:val="center"/>
          </w:tcPr>
          <w:p w:rsidR="00F56C13" w:rsidRDefault="0085089C">
            <w:pPr>
              <w:jc w:val="center"/>
            </w:pPr>
            <w:r>
              <w:rPr>
                <w:color w:val="000000"/>
                <w:sz w:val="24"/>
              </w:rPr>
              <w:t>17</w:t>
            </w:r>
            <w:r>
              <w:rPr>
                <w:color w:val="000000"/>
                <w:sz w:val="24"/>
              </w:rPr>
              <w:t>浦发银行</w:t>
            </w:r>
            <w:r>
              <w:rPr>
                <w:color w:val="000000"/>
                <w:sz w:val="24"/>
              </w:rPr>
              <w:lastRenderedPageBreak/>
              <w:t>CD511</w:t>
            </w:r>
          </w:p>
        </w:tc>
        <w:tc>
          <w:tcPr>
            <w:tcW w:w="0" w:type="auto"/>
            <w:vAlign w:val="center"/>
          </w:tcPr>
          <w:p w:rsidR="00F56C13" w:rsidRDefault="0085089C">
            <w:pPr>
              <w:jc w:val="right"/>
            </w:pPr>
            <w:r>
              <w:rPr>
                <w:color w:val="000000"/>
                <w:sz w:val="24"/>
              </w:rPr>
              <w:lastRenderedPageBreak/>
              <w:t>3,000,000</w:t>
            </w:r>
          </w:p>
        </w:tc>
        <w:tc>
          <w:tcPr>
            <w:tcW w:w="0" w:type="auto"/>
            <w:vAlign w:val="center"/>
          </w:tcPr>
          <w:p w:rsidR="00F56C13" w:rsidRDefault="0085089C">
            <w:pPr>
              <w:jc w:val="right"/>
            </w:pPr>
            <w:r>
              <w:rPr>
                <w:color w:val="000000"/>
                <w:sz w:val="24"/>
              </w:rPr>
              <w:t>296,727,169.76</w:t>
            </w:r>
          </w:p>
        </w:tc>
        <w:tc>
          <w:tcPr>
            <w:tcW w:w="0" w:type="auto"/>
            <w:vAlign w:val="center"/>
          </w:tcPr>
          <w:p w:rsidR="00F56C13" w:rsidRDefault="0085089C">
            <w:pPr>
              <w:jc w:val="right"/>
            </w:pPr>
            <w:r>
              <w:rPr>
                <w:color w:val="000000"/>
                <w:sz w:val="24"/>
              </w:rPr>
              <w:t>1.24</w:t>
            </w:r>
          </w:p>
        </w:tc>
      </w:tr>
      <w:tr w:rsidR="00F56C13">
        <w:trPr>
          <w:jc w:val="center"/>
        </w:trPr>
        <w:tc>
          <w:tcPr>
            <w:tcW w:w="0" w:type="auto"/>
            <w:vAlign w:val="center"/>
          </w:tcPr>
          <w:p w:rsidR="00F56C13" w:rsidRDefault="0085089C">
            <w:pPr>
              <w:jc w:val="center"/>
            </w:pPr>
            <w:r>
              <w:rPr>
                <w:color w:val="000000"/>
                <w:sz w:val="24"/>
              </w:rPr>
              <w:t>6</w:t>
            </w:r>
          </w:p>
        </w:tc>
        <w:tc>
          <w:tcPr>
            <w:tcW w:w="0" w:type="auto"/>
            <w:vAlign w:val="center"/>
          </w:tcPr>
          <w:p w:rsidR="00F56C13" w:rsidRDefault="0085089C">
            <w:pPr>
              <w:jc w:val="center"/>
            </w:pPr>
            <w:r>
              <w:rPr>
                <w:color w:val="000000"/>
                <w:sz w:val="24"/>
              </w:rPr>
              <w:t>111711247</w:t>
            </w:r>
          </w:p>
        </w:tc>
        <w:tc>
          <w:tcPr>
            <w:tcW w:w="0" w:type="auto"/>
            <w:vAlign w:val="center"/>
          </w:tcPr>
          <w:p w:rsidR="00F56C13" w:rsidRDefault="0085089C">
            <w:pPr>
              <w:jc w:val="center"/>
            </w:pPr>
            <w:r>
              <w:rPr>
                <w:color w:val="000000"/>
                <w:sz w:val="24"/>
              </w:rPr>
              <w:t>17</w:t>
            </w:r>
            <w:r>
              <w:rPr>
                <w:color w:val="000000"/>
                <w:sz w:val="24"/>
              </w:rPr>
              <w:t>平安银行</w:t>
            </w:r>
            <w:r>
              <w:rPr>
                <w:color w:val="000000"/>
                <w:sz w:val="24"/>
              </w:rPr>
              <w:t>CD247</w:t>
            </w:r>
          </w:p>
        </w:tc>
        <w:tc>
          <w:tcPr>
            <w:tcW w:w="0" w:type="auto"/>
            <w:vAlign w:val="center"/>
          </w:tcPr>
          <w:p w:rsidR="00F56C13" w:rsidRDefault="0085089C">
            <w:pPr>
              <w:jc w:val="right"/>
            </w:pPr>
            <w:r>
              <w:rPr>
                <w:color w:val="000000"/>
                <w:sz w:val="24"/>
              </w:rPr>
              <w:t>3,000,000</w:t>
            </w:r>
          </w:p>
        </w:tc>
        <w:tc>
          <w:tcPr>
            <w:tcW w:w="0" w:type="auto"/>
            <w:vAlign w:val="center"/>
          </w:tcPr>
          <w:p w:rsidR="00F56C13" w:rsidRDefault="0085089C">
            <w:pPr>
              <w:jc w:val="right"/>
            </w:pPr>
            <w:r>
              <w:rPr>
                <w:color w:val="000000"/>
                <w:sz w:val="24"/>
              </w:rPr>
              <w:t>293,245,942.46</w:t>
            </w:r>
          </w:p>
        </w:tc>
        <w:tc>
          <w:tcPr>
            <w:tcW w:w="0" w:type="auto"/>
            <w:vAlign w:val="center"/>
          </w:tcPr>
          <w:p w:rsidR="00F56C13" w:rsidRDefault="0085089C">
            <w:pPr>
              <w:jc w:val="right"/>
            </w:pPr>
            <w:r>
              <w:rPr>
                <w:color w:val="000000"/>
                <w:sz w:val="24"/>
              </w:rPr>
              <w:t>1.22</w:t>
            </w:r>
          </w:p>
        </w:tc>
      </w:tr>
      <w:tr w:rsidR="00F56C13">
        <w:trPr>
          <w:jc w:val="center"/>
        </w:trPr>
        <w:tc>
          <w:tcPr>
            <w:tcW w:w="0" w:type="auto"/>
            <w:vAlign w:val="center"/>
          </w:tcPr>
          <w:p w:rsidR="00F56C13" w:rsidRDefault="0085089C">
            <w:pPr>
              <w:jc w:val="center"/>
            </w:pPr>
            <w:r>
              <w:rPr>
                <w:color w:val="000000"/>
                <w:sz w:val="24"/>
              </w:rPr>
              <w:t>7</w:t>
            </w:r>
          </w:p>
        </w:tc>
        <w:tc>
          <w:tcPr>
            <w:tcW w:w="0" w:type="auto"/>
            <w:vAlign w:val="center"/>
          </w:tcPr>
          <w:p w:rsidR="00F56C13" w:rsidRDefault="0085089C">
            <w:pPr>
              <w:jc w:val="center"/>
            </w:pPr>
            <w:r>
              <w:rPr>
                <w:color w:val="000000"/>
                <w:sz w:val="24"/>
              </w:rPr>
              <w:t>111771549</w:t>
            </w:r>
          </w:p>
        </w:tc>
        <w:tc>
          <w:tcPr>
            <w:tcW w:w="0" w:type="auto"/>
            <w:vAlign w:val="center"/>
          </w:tcPr>
          <w:p w:rsidR="00F56C13" w:rsidRDefault="0085089C">
            <w:pPr>
              <w:jc w:val="center"/>
            </w:pPr>
            <w:r>
              <w:rPr>
                <w:color w:val="000000"/>
                <w:sz w:val="24"/>
              </w:rPr>
              <w:t>17</w:t>
            </w:r>
            <w:r>
              <w:rPr>
                <w:color w:val="000000"/>
                <w:sz w:val="24"/>
              </w:rPr>
              <w:t>重庆农村商行</w:t>
            </w:r>
            <w:r>
              <w:rPr>
                <w:color w:val="000000"/>
                <w:sz w:val="24"/>
              </w:rPr>
              <w:t>CD222</w:t>
            </w:r>
          </w:p>
        </w:tc>
        <w:tc>
          <w:tcPr>
            <w:tcW w:w="0" w:type="auto"/>
            <w:vAlign w:val="center"/>
          </w:tcPr>
          <w:p w:rsidR="00F56C13" w:rsidRDefault="0085089C">
            <w:pPr>
              <w:jc w:val="right"/>
            </w:pPr>
            <w:r>
              <w:rPr>
                <w:color w:val="000000"/>
                <w:sz w:val="24"/>
              </w:rPr>
              <w:t>2,500,000</w:t>
            </w:r>
          </w:p>
        </w:tc>
        <w:tc>
          <w:tcPr>
            <w:tcW w:w="0" w:type="auto"/>
            <w:vAlign w:val="center"/>
          </w:tcPr>
          <w:p w:rsidR="00F56C13" w:rsidRDefault="0085089C">
            <w:pPr>
              <w:jc w:val="right"/>
            </w:pPr>
            <w:r>
              <w:rPr>
                <w:color w:val="000000"/>
                <w:sz w:val="24"/>
              </w:rPr>
              <w:t>243,982,500.51</w:t>
            </w:r>
          </w:p>
        </w:tc>
        <w:tc>
          <w:tcPr>
            <w:tcW w:w="0" w:type="auto"/>
            <w:vAlign w:val="center"/>
          </w:tcPr>
          <w:p w:rsidR="00F56C13" w:rsidRDefault="0085089C">
            <w:pPr>
              <w:jc w:val="right"/>
            </w:pPr>
            <w:r>
              <w:rPr>
                <w:color w:val="000000"/>
                <w:sz w:val="24"/>
              </w:rPr>
              <w:t>1.02</w:t>
            </w:r>
          </w:p>
        </w:tc>
      </w:tr>
      <w:tr w:rsidR="00F56C13">
        <w:trPr>
          <w:jc w:val="center"/>
        </w:trPr>
        <w:tc>
          <w:tcPr>
            <w:tcW w:w="0" w:type="auto"/>
            <w:vAlign w:val="center"/>
          </w:tcPr>
          <w:p w:rsidR="00F56C13" w:rsidRDefault="0085089C">
            <w:pPr>
              <w:jc w:val="center"/>
            </w:pPr>
            <w:r>
              <w:rPr>
                <w:color w:val="000000"/>
                <w:sz w:val="24"/>
              </w:rPr>
              <w:t>8</w:t>
            </w:r>
          </w:p>
        </w:tc>
        <w:tc>
          <w:tcPr>
            <w:tcW w:w="0" w:type="auto"/>
            <w:vAlign w:val="center"/>
          </w:tcPr>
          <w:p w:rsidR="00F56C13" w:rsidRDefault="0085089C">
            <w:pPr>
              <w:jc w:val="center"/>
            </w:pPr>
            <w:r>
              <w:rPr>
                <w:color w:val="000000"/>
                <w:sz w:val="24"/>
              </w:rPr>
              <w:t>111770577</w:t>
            </w:r>
          </w:p>
        </w:tc>
        <w:tc>
          <w:tcPr>
            <w:tcW w:w="0" w:type="auto"/>
            <w:vAlign w:val="center"/>
          </w:tcPr>
          <w:p w:rsidR="00F56C13" w:rsidRDefault="0085089C">
            <w:pPr>
              <w:jc w:val="center"/>
            </w:pPr>
            <w:r>
              <w:rPr>
                <w:color w:val="000000"/>
                <w:sz w:val="24"/>
              </w:rPr>
              <w:t>17</w:t>
            </w:r>
            <w:r>
              <w:rPr>
                <w:color w:val="000000"/>
                <w:sz w:val="24"/>
              </w:rPr>
              <w:t>成都银行</w:t>
            </w:r>
            <w:r>
              <w:rPr>
                <w:color w:val="000000"/>
                <w:sz w:val="24"/>
              </w:rPr>
              <w:t>CD192</w:t>
            </w:r>
          </w:p>
        </w:tc>
        <w:tc>
          <w:tcPr>
            <w:tcW w:w="0" w:type="auto"/>
            <w:vAlign w:val="center"/>
          </w:tcPr>
          <w:p w:rsidR="00F56C13" w:rsidRDefault="0085089C">
            <w:pPr>
              <w:jc w:val="right"/>
            </w:pPr>
            <w:r>
              <w:rPr>
                <w:color w:val="000000"/>
                <w:sz w:val="24"/>
              </w:rPr>
              <w:t>2,000,000</w:t>
            </w:r>
          </w:p>
        </w:tc>
        <w:tc>
          <w:tcPr>
            <w:tcW w:w="0" w:type="auto"/>
            <w:vAlign w:val="center"/>
          </w:tcPr>
          <w:p w:rsidR="00F56C13" w:rsidRDefault="0085089C">
            <w:pPr>
              <w:jc w:val="right"/>
            </w:pPr>
            <w:r>
              <w:rPr>
                <w:color w:val="000000"/>
                <w:sz w:val="24"/>
              </w:rPr>
              <w:t>199,804,893.35</w:t>
            </w:r>
          </w:p>
        </w:tc>
        <w:tc>
          <w:tcPr>
            <w:tcW w:w="0" w:type="auto"/>
            <w:vAlign w:val="center"/>
          </w:tcPr>
          <w:p w:rsidR="00F56C13" w:rsidRDefault="0085089C">
            <w:pPr>
              <w:jc w:val="right"/>
            </w:pPr>
            <w:r>
              <w:rPr>
                <w:color w:val="000000"/>
                <w:sz w:val="24"/>
              </w:rPr>
              <w:t>0.83</w:t>
            </w:r>
          </w:p>
        </w:tc>
      </w:tr>
      <w:tr w:rsidR="00F56C13">
        <w:trPr>
          <w:jc w:val="center"/>
        </w:trPr>
        <w:tc>
          <w:tcPr>
            <w:tcW w:w="0" w:type="auto"/>
            <w:vAlign w:val="center"/>
          </w:tcPr>
          <w:p w:rsidR="00F56C13" w:rsidRDefault="0085089C">
            <w:pPr>
              <w:jc w:val="center"/>
            </w:pPr>
            <w:r>
              <w:rPr>
                <w:color w:val="000000"/>
                <w:sz w:val="24"/>
              </w:rPr>
              <w:t>9</w:t>
            </w:r>
          </w:p>
        </w:tc>
        <w:tc>
          <w:tcPr>
            <w:tcW w:w="0" w:type="auto"/>
            <w:vAlign w:val="center"/>
          </w:tcPr>
          <w:p w:rsidR="00F56C13" w:rsidRDefault="0085089C">
            <w:pPr>
              <w:jc w:val="center"/>
            </w:pPr>
            <w:r>
              <w:rPr>
                <w:color w:val="000000"/>
                <w:sz w:val="24"/>
              </w:rPr>
              <w:t>111771237</w:t>
            </w:r>
          </w:p>
        </w:tc>
        <w:tc>
          <w:tcPr>
            <w:tcW w:w="0" w:type="auto"/>
            <w:vAlign w:val="center"/>
          </w:tcPr>
          <w:p w:rsidR="00F56C13" w:rsidRDefault="0085089C">
            <w:pPr>
              <w:jc w:val="center"/>
            </w:pPr>
            <w:r>
              <w:rPr>
                <w:color w:val="000000"/>
                <w:sz w:val="24"/>
              </w:rPr>
              <w:t>17</w:t>
            </w:r>
            <w:r>
              <w:rPr>
                <w:color w:val="000000"/>
                <w:sz w:val="24"/>
              </w:rPr>
              <w:t>宁波银行</w:t>
            </w:r>
            <w:r>
              <w:rPr>
                <w:color w:val="000000"/>
                <w:sz w:val="24"/>
              </w:rPr>
              <w:t>CD242</w:t>
            </w:r>
          </w:p>
        </w:tc>
        <w:tc>
          <w:tcPr>
            <w:tcW w:w="0" w:type="auto"/>
            <w:vAlign w:val="center"/>
          </w:tcPr>
          <w:p w:rsidR="00F56C13" w:rsidRDefault="0085089C">
            <w:pPr>
              <w:jc w:val="right"/>
            </w:pPr>
            <w:r>
              <w:rPr>
                <w:color w:val="000000"/>
                <w:sz w:val="24"/>
              </w:rPr>
              <w:t>2,000,000</w:t>
            </w:r>
          </w:p>
        </w:tc>
        <w:tc>
          <w:tcPr>
            <w:tcW w:w="0" w:type="auto"/>
            <w:vAlign w:val="center"/>
          </w:tcPr>
          <w:p w:rsidR="00F56C13" w:rsidRDefault="0085089C">
            <w:pPr>
              <w:jc w:val="right"/>
            </w:pPr>
            <w:r>
              <w:rPr>
                <w:color w:val="000000"/>
                <w:sz w:val="24"/>
              </w:rPr>
              <w:t>195,480,956.66</w:t>
            </w:r>
          </w:p>
        </w:tc>
        <w:tc>
          <w:tcPr>
            <w:tcW w:w="0" w:type="auto"/>
            <w:vAlign w:val="center"/>
          </w:tcPr>
          <w:p w:rsidR="00F56C13" w:rsidRDefault="0085089C">
            <w:pPr>
              <w:jc w:val="right"/>
            </w:pPr>
            <w:r>
              <w:rPr>
                <w:color w:val="000000"/>
                <w:sz w:val="24"/>
              </w:rPr>
              <w:t>0.82</w:t>
            </w:r>
          </w:p>
        </w:tc>
      </w:tr>
      <w:tr w:rsidR="00F56C13">
        <w:trPr>
          <w:jc w:val="center"/>
        </w:trPr>
        <w:tc>
          <w:tcPr>
            <w:tcW w:w="0" w:type="auto"/>
            <w:vAlign w:val="center"/>
          </w:tcPr>
          <w:p w:rsidR="00F56C13" w:rsidRDefault="0085089C">
            <w:pPr>
              <w:jc w:val="center"/>
            </w:pPr>
            <w:r>
              <w:rPr>
                <w:color w:val="000000"/>
                <w:sz w:val="24"/>
              </w:rPr>
              <w:t>10</w:t>
            </w:r>
          </w:p>
        </w:tc>
        <w:tc>
          <w:tcPr>
            <w:tcW w:w="0" w:type="auto"/>
            <w:vAlign w:val="center"/>
          </w:tcPr>
          <w:p w:rsidR="00F56C13" w:rsidRDefault="0085089C">
            <w:pPr>
              <w:jc w:val="center"/>
            </w:pPr>
            <w:r>
              <w:rPr>
                <w:color w:val="000000"/>
                <w:sz w:val="24"/>
              </w:rPr>
              <w:t>111771696</w:t>
            </w:r>
          </w:p>
        </w:tc>
        <w:tc>
          <w:tcPr>
            <w:tcW w:w="0" w:type="auto"/>
            <w:vAlign w:val="center"/>
          </w:tcPr>
          <w:p w:rsidR="00F56C13" w:rsidRDefault="0085089C">
            <w:pPr>
              <w:jc w:val="center"/>
            </w:pPr>
            <w:r>
              <w:rPr>
                <w:color w:val="000000"/>
                <w:sz w:val="24"/>
              </w:rPr>
              <w:t>17</w:t>
            </w:r>
            <w:r>
              <w:rPr>
                <w:color w:val="000000"/>
                <w:sz w:val="24"/>
              </w:rPr>
              <w:t>成都银行</w:t>
            </w:r>
            <w:r>
              <w:rPr>
                <w:color w:val="000000"/>
                <w:sz w:val="24"/>
              </w:rPr>
              <w:t>CD202</w:t>
            </w:r>
          </w:p>
        </w:tc>
        <w:tc>
          <w:tcPr>
            <w:tcW w:w="0" w:type="auto"/>
            <w:vAlign w:val="center"/>
          </w:tcPr>
          <w:p w:rsidR="00F56C13" w:rsidRDefault="0085089C">
            <w:pPr>
              <w:jc w:val="right"/>
            </w:pPr>
            <w:r>
              <w:rPr>
                <w:color w:val="000000"/>
                <w:sz w:val="24"/>
              </w:rPr>
              <w:t>2,000,000</w:t>
            </w:r>
          </w:p>
        </w:tc>
        <w:tc>
          <w:tcPr>
            <w:tcW w:w="0" w:type="auto"/>
            <w:vAlign w:val="center"/>
          </w:tcPr>
          <w:p w:rsidR="00F56C13" w:rsidRDefault="0085089C">
            <w:pPr>
              <w:jc w:val="right"/>
            </w:pPr>
            <w:r>
              <w:rPr>
                <w:color w:val="000000"/>
                <w:sz w:val="24"/>
              </w:rPr>
              <w:t>195,158,028.33</w:t>
            </w:r>
          </w:p>
        </w:tc>
        <w:tc>
          <w:tcPr>
            <w:tcW w:w="0" w:type="auto"/>
            <w:vAlign w:val="center"/>
          </w:tcPr>
          <w:p w:rsidR="00F56C13" w:rsidRDefault="0085089C">
            <w:pPr>
              <w:jc w:val="right"/>
            </w:pPr>
            <w:r>
              <w:rPr>
                <w:color w:val="000000"/>
                <w:sz w:val="24"/>
              </w:rPr>
              <w:t>0.81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0.0289%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-0.0431%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0.0183%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lastRenderedPageBreak/>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126,954.71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82,302,620.42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87,018,005.10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169,447,580.23</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6,985,281,601.63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4,307,231,325.78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20,851,433,692.91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13,317,500,083.94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16,887,093,381.93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4,616,197,863.48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10,949,621,912.61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13,008,533,546.24</w:t>
            </w:r>
          </w:p>
        </w:tc>
      </w:tr>
    </w:tbl>
    <w:p w:rsidR="00F56C13" w:rsidRDefault="0085089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基金管理人运用固有资金投资本基金交易明细</w:t>
      </w:r>
    </w:p>
    <w:p w:rsidR="000F2DA3" w:rsidRPr="000E4C40" w:rsidRDefault="002B1899" w:rsidP="00281564">
      <w:pPr>
        <w:autoSpaceDE w:val="0"/>
        <w:autoSpaceDN w:val="0"/>
        <w:adjustRightInd w:val="0"/>
        <w:spacing w:before="29" w:line="288" w:lineRule="auto"/>
        <w:jc w:val="left"/>
        <w:rPr>
          <w:color w:val="000000"/>
          <w:sz w:val="24"/>
        </w:rPr>
      </w:pPr>
      <w:r w:rsidRPr="002B1899">
        <w:rPr>
          <w:rFonts w:hint="eastAsia"/>
          <w:color w:val="000000"/>
          <w:sz w:val="24"/>
        </w:rPr>
        <w:t>本基金管理人本报告期内未进行本基金的申购、赎回、红利再投等；本基金管理人本报告期末持有本基金份额</w:t>
      </w:r>
      <w:r w:rsidRPr="002B1899">
        <w:rPr>
          <w:rFonts w:hint="eastAsia"/>
          <w:color w:val="000000"/>
          <w:sz w:val="24"/>
        </w:rPr>
        <w:t>0.00</w:t>
      </w:r>
      <w:r w:rsidRPr="002B1899">
        <w:rPr>
          <w:rFonts w:hint="eastAsia"/>
          <w:color w:val="000000"/>
          <w:sz w:val="24"/>
        </w:rPr>
        <w:t>份，占本基金期末总份额的</w:t>
      </w:r>
      <w:r w:rsidRPr="002B1899">
        <w:rPr>
          <w:rFonts w:hint="eastAsia"/>
          <w:color w:val="000000"/>
          <w:sz w:val="24"/>
        </w:rPr>
        <w:t>0.00%</w:t>
      </w:r>
      <w:r w:rsidRPr="002B1899">
        <w:rPr>
          <w:rFonts w:hint="eastAsia"/>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F56C13" w:rsidRDefault="0085089C">
      <w:pPr>
        <w:spacing w:before="29" w:line="288" w:lineRule="auto"/>
        <w:ind w:firstLineChars="200" w:firstLine="480"/>
        <w:rPr>
          <w:color w:val="000000"/>
          <w:sz w:val="24"/>
        </w:rPr>
      </w:pPr>
      <w:r>
        <w:rPr>
          <w:color w:val="000000"/>
          <w:sz w:val="24"/>
        </w:rPr>
        <w:t>1</w:t>
      </w:r>
      <w:r>
        <w:rPr>
          <w:color w:val="000000"/>
          <w:sz w:val="24"/>
        </w:rPr>
        <w:t>、中国证监会准予交银施罗德活期通货币市场基金募集注册的文件；</w:t>
      </w:r>
      <w:r>
        <w:rPr>
          <w:color w:val="000000"/>
          <w:sz w:val="24"/>
        </w:rPr>
        <w:t xml:space="preserve"> </w:t>
      </w:r>
    </w:p>
    <w:p w:rsidR="00F56C13" w:rsidRDefault="0085089C">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F56C13" w:rsidRDefault="0085089C">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F56C13" w:rsidRDefault="0085089C">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F56C13" w:rsidRDefault="0085089C">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F56C13" w:rsidRDefault="0085089C">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56C13" w:rsidRDefault="0085089C">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F56C13" w:rsidRDefault="0085089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1EC" w:rsidRDefault="005931EC">
      <w:r>
        <w:separator/>
      </w:r>
    </w:p>
  </w:endnote>
  <w:endnote w:type="continuationSeparator" w:id="0">
    <w:p w:rsidR="005931EC" w:rsidRDefault="0059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A20099">
      <w:rPr>
        <w:noProof/>
        <w:kern w:val="0"/>
        <w:szCs w:val="21"/>
      </w:rPr>
      <w:t>1</w:t>
    </w:r>
    <w:r w:rsidR="0070378F">
      <w:rPr>
        <w:kern w:val="0"/>
        <w:szCs w:val="21"/>
      </w:rPr>
      <w:fldChar w:fldCharType="end"/>
    </w:r>
    <w:r>
      <w:rPr>
        <w:rFonts w:hint="eastAsia"/>
        <w:kern w:val="0"/>
        <w:szCs w:val="21"/>
      </w:rPr>
      <w:t>页共</w:t>
    </w:r>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A20099">
      <w:rPr>
        <w:noProof/>
        <w:kern w:val="0"/>
        <w:szCs w:val="21"/>
      </w:rPr>
      <w:t>14</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1EC" w:rsidRDefault="005931EC">
      <w:r>
        <w:separator/>
      </w:r>
    </w:p>
  </w:footnote>
  <w:footnote w:type="continuationSeparator" w:id="0">
    <w:p w:rsidR="005931EC" w:rsidRDefault="00593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1899"/>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31E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089C"/>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0099"/>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96F49"/>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6C13"/>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0C68FA9-9EF7-483C-B507-4109FFFD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B4EA1C-4E96-489C-BBD3-0152F57F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1274</Words>
  <Characters>7265</Characters>
  <Application>Microsoft Office Word</Application>
  <DocSecurity>0</DocSecurity>
  <Lines>60</Lines>
  <Paragraphs>17</Paragraphs>
  <ScaleCrop>false</ScaleCrop>
  <Company>jysld</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317</cp:revision>
  <cp:lastPrinted>2009-01-22T10:11:00Z</cp:lastPrinted>
  <dcterms:created xsi:type="dcterms:W3CDTF">2012-11-21T05:49:00Z</dcterms:created>
  <dcterms:modified xsi:type="dcterms:W3CDTF">2018-01-18T05:40:00Z</dcterms:modified>
</cp:coreProperties>
</file>