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proofErr w:type="gramStart"/>
      <w:r w:rsidRPr="005858C2">
        <w:rPr>
          <w:rFonts w:eastAsiaTheme="minorEastAsia"/>
          <w:b/>
          <w:sz w:val="36"/>
          <w:szCs w:val="36"/>
        </w:rPr>
        <w:t>交银施罗</w:t>
      </w:r>
      <w:proofErr w:type="gramEnd"/>
      <w:r w:rsidRPr="005858C2">
        <w:rPr>
          <w:rFonts w:eastAsiaTheme="minorEastAsia"/>
          <w:b/>
          <w:sz w:val="36"/>
          <w:szCs w:val="36"/>
        </w:rPr>
        <w:t>德卓越回报灵活配置混合型证券投资基金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二〇一八年一月二十二日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0D4DE7" w:rsidRDefault="00D44CA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0D4DE7" w:rsidRDefault="00D44CA8">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0D4DE7" w:rsidRDefault="00D44CA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0D4DE7" w:rsidRDefault="00D44CA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0D4DE7" w:rsidRDefault="00D44CA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交银卓越回报灵活配置混合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2</w:t>
            </w:r>
            <w:r w:rsidRPr="007F52FA">
              <w:rPr>
                <w:color w:val="000000"/>
                <w:kern w:val="0"/>
                <w:sz w:val="24"/>
              </w:rPr>
              <w:t>月</w:t>
            </w:r>
            <w:r w:rsidRPr="007F52FA">
              <w:rPr>
                <w:color w:val="000000"/>
                <w:kern w:val="0"/>
                <w:sz w:val="24"/>
              </w:rPr>
              <w:t>17</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140,394,563.95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本基金充分发挥基金管理人的研究优势，在分析和判断宏观经济周期和金融市场运行趋势的基础上，自上而下灵活调整基金大类资产配置比例，确定债券</w:t>
            </w:r>
            <w:proofErr w:type="gramStart"/>
            <w:r w:rsidRPr="007F52FA">
              <w:rPr>
                <w:color w:val="000000"/>
                <w:kern w:val="0"/>
                <w:sz w:val="24"/>
              </w:rPr>
              <w:t>组合久期和</w:t>
            </w:r>
            <w:proofErr w:type="gramEnd"/>
            <w:r w:rsidRPr="007F52FA">
              <w:rPr>
                <w:color w:val="000000"/>
                <w:kern w:val="0"/>
                <w:sz w:val="24"/>
              </w:rPr>
              <w:t>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w:t>
            </w:r>
            <w:proofErr w:type="gramStart"/>
            <w:r w:rsidRPr="007F52FA">
              <w:rPr>
                <w:color w:val="000000"/>
                <w:kern w:val="0"/>
                <w:sz w:val="24"/>
              </w:rPr>
              <w:t>债综合全价指数</w:t>
            </w:r>
            <w:proofErr w:type="gramEnd"/>
            <w:r w:rsidRPr="007F52FA">
              <w:rPr>
                <w:color w:val="000000"/>
                <w:kern w:val="0"/>
                <w:sz w:val="24"/>
              </w:rPr>
              <w:t>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交银卓越回报灵活配置混合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交银卓越回报灵活配置混合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519764</w:t>
            </w:r>
          </w:p>
        </w:tc>
        <w:tc>
          <w:tcPr>
            <w:tcW w:w="3048" w:type="dxa"/>
            <w:vAlign w:val="center"/>
          </w:tcPr>
          <w:p w:rsidR="00C23B30" w:rsidRPr="000E4C40" w:rsidRDefault="00C23B30" w:rsidP="00A52A9E">
            <w:pPr>
              <w:spacing w:before="29" w:line="288" w:lineRule="auto"/>
              <w:jc w:val="left"/>
              <w:rPr>
                <w:sz w:val="24"/>
              </w:rPr>
            </w:pPr>
            <w:r w:rsidRPr="000E4C40">
              <w:rPr>
                <w:sz w:val="24"/>
              </w:rPr>
              <w:t>519765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40,644,314.20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99,750,249.75</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交银卓越回报灵活配置混合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交银卓越回报灵活配置混合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4,135,458.47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16,362,240.08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2,661,107.72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3,090,517.65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0.0313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0.0160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44,093,977.39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107,943,605.73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1.085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1.082</w:t>
            </w:r>
          </w:p>
        </w:tc>
      </w:tr>
    </w:tbl>
    <w:p w:rsidR="000D4DE7" w:rsidRDefault="00D44CA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交银卓越回报灵活配置混合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D4DE7">
        <w:trPr>
          <w:jc w:val="center"/>
        </w:trPr>
        <w:tc>
          <w:tcPr>
            <w:tcW w:w="1266" w:type="dxa"/>
            <w:vAlign w:val="center"/>
          </w:tcPr>
          <w:p w:rsidR="000D4DE7" w:rsidRDefault="00D44CA8">
            <w:pPr>
              <w:jc w:val="left"/>
            </w:pPr>
            <w:r>
              <w:rPr>
                <w:color w:val="000000"/>
                <w:sz w:val="24"/>
              </w:rPr>
              <w:lastRenderedPageBreak/>
              <w:t>过去三个月</w:t>
            </w:r>
          </w:p>
        </w:tc>
        <w:tc>
          <w:tcPr>
            <w:tcW w:w="1267" w:type="dxa"/>
            <w:vAlign w:val="center"/>
          </w:tcPr>
          <w:p w:rsidR="000D4DE7" w:rsidRDefault="00D44CA8">
            <w:pPr>
              <w:jc w:val="center"/>
            </w:pPr>
            <w:r>
              <w:rPr>
                <w:color w:val="000000"/>
                <w:sz w:val="24"/>
              </w:rPr>
              <w:t>1.50%</w:t>
            </w:r>
          </w:p>
        </w:tc>
        <w:tc>
          <w:tcPr>
            <w:tcW w:w="1267" w:type="dxa"/>
            <w:vAlign w:val="center"/>
          </w:tcPr>
          <w:p w:rsidR="000D4DE7" w:rsidRDefault="00D44CA8">
            <w:pPr>
              <w:jc w:val="center"/>
            </w:pPr>
            <w:r>
              <w:rPr>
                <w:color w:val="000000"/>
                <w:sz w:val="24"/>
              </w:rPr>
              <w:t>0.18%</w:t>
            </w:r>
          </w:p>
        </w:tc>
        <w:tc>
          <w:tcPr>
            <w:tcW w:w="1267" w:type="dxa"/>
            <w:vAlign w:val="center"/>
          </w:tcPr>
          <w:p w:rsidR="000D4DE7" w:rsidRDefault="00D44CA8">
            <w:pPr>
              <w:jc w:val="center"/>
            </w:pPr>
            <w:r>
              <w:rPr>
                <w:color w:val="000000"/>
                <w:sz w:val="24"/>
              </w:rPr>
              <w:t>1.96%</w:t>
            </w:r>
          </w:p>
        </w:tc>
        <w:tc>
          <w:tcPr>
            <w:tcW w:w="1267" w:type="dxa"/>
            <w:vAlign w:val="center"/>
          </w:tcPr>
          <w:p w:rsidR="000D4DE7" w:rsidRDefault="00D44CA8">
            <w:pPr>
              <w:jc w:val="center"/>
            </w:pPr>
            <w:r>
              <w:rPr>
                <w:color w:val="000000"/>
                <w:sz w:val="24"/>
              </w:rPr>
              <w:t>0.40%</w:t>
            </w:r>
          </w:p>
        </w:tc>
        <w:tc>
          <w:tcPr>
            <w:tcW w:w="1267" w:type="dxa"/>
            <w:vAlign w:val="center"/>
          </w:tcPr>
          <w:p w:rsidR="000D4DE7" w:rsidRDefault="00D44CA8">
            <w:pPr>
              <w:jc w:val="center"/>
            </w:pPr>
            <w:r>
              <w:rPr>
                <w:color w:val="000000"/>
                <w:sz w:val="24"/>
              </w:rPr>
              <w:t>-0.46%</w:t>
            </w:r>
          </w:p>
        </w:tc>
        <w:tc>
          <w:tcPr>
            <w:tcW w:w="1267" w:type="dxa"/>
            <w:vAlign w:val="center"/>
          </w:tcPr>
          <w:p w:rsidR="000D4DE7" w:rsidRDefault="00D44CA8">
            <w:pPr>
              <w:jc w:val="center"/>
            </w:pPr>
            <w:r>
              <w:rPr>
                <w:color w:val="000000"/>
                <w:sz w:val="24"/>
              </w:rPr>
              <w:t>-0.22%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交银卓越回报灵活配置混合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D4DE7">
        <w:trPr>
          <w:jc w:val="center"/>
        </w:trPr>
        <w:tc>
          <w:tcPr>
            <w:tcW w:w="1266" w:type="dxa"/>
            <w:vAlign w:val="center"/>
          </w:tcPr>
          <w:p w:rsidR="000D4DE7" w:rsidRDefault="00D44CA8">
            <w:pPr>
              <w:jc w:val="left"/>
            </w:pPr>
            <w:r>
              <w:rPr>
                <w:color w:val="000000"/>
                <w:sz w:val="24"/>
              </w:rPr>
              <w:t>过去三个月</w:t>
            </w:r>
          </w:p>
        </w:tc>
        <w:tc>
          <w:tcPr>
            <w:tcW w:w="1267" w:type="dxa"/>
            <w:vAlign w:val="center"/>
          </w:tcPr>
          <w:p w:rsidR="000D4DE7" w:rsidRDefault="00D44CA8">
            <w:pPr>
              <w:jc w:val="center"/>
            </w:pPr>
            <w:r>
              <w:rPr>
                <w:color w:val="000000"/>
                <w:sz w:val="24"/>
              </w:rPr>
              <w:t>1.41%</w:t>
            </w:r>
          </w:p>
        </w:tc>
        <w:tc>
          <w:tcPr>
            <w:tcW w:w="1267" w:type="dxa"/>
            <w:vAlign w:val="center"/>
          </w:tcPr>
          <w:p w:rsidR="000D4DE7" w:rsidRDefault="00D44CA8">
            <w:pPr>
              <w:jc w:val="center"/>
            </w:pPr>
            <w:r>
              <w:rPr>
                <w:color w:val="000000"/>
                <w:sz w:val="24"/>
              </w:rPr>
              <w:t>0.17%</w:t>
            </w:r>
          </w:p>
        </w:tc>
        <w:tc>
          <w:tcPr>
            <w:tcW w:w="1267" w:type="dxa"/>
            <w:vAlign w:val="center"/>
          </w:tcPr>
          <w:p w:rsidR="000D4DE7" w:rsidRDefault="00D44CA8">
            <w:pPr>
              <w:jc w:val="center"/>
            </w:pPr>
            <w:r>
              <w:rPr>
                <w:color w:val="000000"/>
                <w:sz w:val="24"/>
              </w:rPr>
              <w:t>1.96%</w:t>
            </w:r>
          </w:p>
        </w:tc>
        <w:tc>
          <w:tcPr>
            <w:tcW w:w="1267" w:type="dxa"/>
            <w:vAlign w:val="center"/>
          </w:tcPr>
          <w:p w:rsidR="000D4DE7" w:rsidRDefault="00D44CA8">
            <w:pPr>
              <w:jc w:val="center"/>
            </w:pPr>
            <w:r>
              <w:rPr>
                <w:color w:val="000000"/>
                <w:sz w:val="24"/>
              </w:rPr>
              <w:t>0.40%</w:t>
            </w:r>
          </w:p>
        </w:tc>
        <w:tc>
          <w:tcPr>
            <w:tcW w:w="1267" w:type="dxa"/>
            <w:vAlign w:val="center"/>
          </w:tcPr>
          <w:p w:rsidR="000D4DE7" w:rsidRDefault="00D44CA8">
            <w:pPr>
              <w:jc w:val="center"/>
            </w:pPr>
            <w:r>
              <w:rPr>
                <w:color w:val="000000"/>
                <w:sz w:val="24"/>
              </w:rPr>
              <w:t>-0.55%</w:t>
            </w:r>
          </w:p>
        </w:tc>
        <w:tc>
          <w:tcPr>
            <w:tcW w:w="1267" w:type="dxa"/>
            <w:vAlign w:val="center"/>
          </w:tcPr>
          <w:p w:rsidR="000D4DE7" w:rsidRDefault="00D44CA8">
            <w:pPr>
              <w:jc w:val="center"/>
            </w:pPr>
            <w:r>
              <w:rPr>
                <w:color w:val="000000"/>
                <w:sz w:val="24"/>
              </w:rPr>
              <w:t>-0.23%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交银施罗德卓越回报灵活配置混合型证券投资基金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2</w:t>
      </w:r>
      <w:r w:rsidR="00D04410" w:rsidRPr="007F52FA">
        <w:rPr>
          <w:rFonts w:ascii="Times New Roman" w:hAnsi="Times New Roman"/>
          <w:sz w:val="24"/>
          <w:szCs w:val="24"/>
        </w:rPr>
        <w:t>月</w:t>
      </w:r>
      <w:r w:rsidR="00D04410" w:rsidRPr="007F52FA">
        <w:rPr>
          <w:rFonts w:ascii="Times New Roman" w:hAnsi="Times New Roman"/>
          <w:sz w:val="24"/>
          <w:szCs w:val="24"/>
        </w:rPr>
        <w:t>17</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交银卓越回报灵活配置混合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2016</w:t>
      </w:r>
      <w:r w:rsidRPr="007F52FA">
        <w:rPr>
          <w:color w:val="000000"/>
          <w:sz w:val="24"/>
        </w:rPr>
        <w:t>年</w:t>
      </w:r>
      <w:r w:rsidRPr="007F52FA">
        <w:rPr>
          <w:color w:val="000000"/>
          <w:sz w:val="24"/>
        </w:rPr>
        <w:t>2</w:t>
      </w:r>
      <w:r w:rsidRPr="007F52FA">
        <w:rPr>
          <w:color w:val="000000"/>
          <w:sz w:val="24"/>
        </w:rPr>
        <w:t>月</w:t>
      </w:r>
      <w:r w:rsidRPr="007F52FA">
        <w:rPr>
          <w:color w:val="000000"/>
          <w:sz w:val="24"/>
        </w:rPr>
        <w:t>17</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交银卓越回报灵活配置混合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27</w:t>
      </w:r>
      <w:r w:rsidRPr="007F52FA">
        <w:rPr>
          <w:color w:val="000000"/>
          <w:sz w:val="24"/>
        </w:rPr>
        <w:t>日起增加</w:t>
      </w:r>
      <w:r w:rsidRPr="007F52FA">
        <w:rPr>
          <w:color w:val="000000"/>
          <w:sz w:val="24"/>
        </w:rPr>
        <w:t>C</w:t>
      </w:r>
      <w:r w:rsidRPr="007F52FA">
        <w:rPr>
          <w:color w:val="000000"/>
          <w:sz w:val="24"/>
        </w:rPr>
        <w:t>类份额，投资者提交的申购申请于</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0D4DE7">
        <w:trPr>
          <w:jc w:val="center"/>
        </w:trPr>
        <w:tc>
          <w:tcPr>
            <w:tcW w:w="946" w:type="dxa"/>
            <w:vAlign w:val="center"/>
          </w:tcPr>
          <w:p w:rsidR="000D4DE7" w:rsidRDefault="00D44CA8">
            <w:pPr>
              <w:jc w:val="center"/>
            </w:pPr>
            <w:r>
              <w:rPr>
                <w:color w:val="000000"/>
                <w:sz w:val="24"/>
              </w:rPr>
              <w:t>李娜</w:t>
            </w:r>
          </w:p>
        </w:tc>
        <w:tc>
          <w:tcPr>
            <w:tcW w:w="924" w:type="dxa"/>
            <w:vAlign w:val="center"/>
          </w:tcPr>
          <w:p w:rsidR="000D4DE7" w:rsidRDefault="00D44CA8">
            <w:pPr>
              <w:jc w:val="center"/>
            </w:pPr>
            <w:r>
              <w:rPr>
                <w:color w:val="000000"/>
                <w:sz w:val="24"/>
              </w:rPr>
              <w:t>交银周期回报灵活配置混合、交银新回报灵</w:t>
            </w:r>
            <w:r>
              <w:rPr>
                <w:color w:val="000000"/>
                <w:sz w:val="24"/>
              </w:rPr>
              <w:lastRenderedPageBreak/>
              <w:t>活配置混合、交银多策略回报灵活配置混合、交银卓越回报灵活配置混合、交银优选回报灵活配置混合、交银优择回报灵活配置混合、交银领先回报灵活配置混合、交银瑞鑫定期开放灵活配置混合、交银瑞景定期开放</w:t>
            </w:r>
            <w:r>
              <w:rPr>
                <w:color w:val="000000"/>
                <w:sz w:val="24"/>
              </w:rPr>
              <w:lastRenderedPageBreak/>
              <w:t>灵活配置混合、交银启通灵活配置混合、交银瑞利定期开放灵活配置混合、交银瑞安定期开放灵活配置混合的基金经理</w:t>
            </w:r>
          </w:p>
        </w:tc>
        <w:tc>
          <w:tcPr>
            <w:tcW w:w="1202" w:type="dxa"/>
            <w:vAlign w:val="center"/>
          </w:tcPr>
          <w:p w:rsidR="000D4DE7" w:rsidRDefault="00D44CA8">
            <w:pPr>
              <w:jc w:val="center"/>
            </w:pPr>
            <w:r>
              <w:rPr>
                <w:color w:val="000000"/>
                <w:sz w:val="24"/>
              </w:rPr>
              <w:lastRenderedPageBreak/>
              <w:t>2016-02-17</w:t>
            </w:r>
          </w:p>
        </w:tc>
        <w:tc>
          <w:tcPr>
            <w:tcW w:w="1300" w:type="dxa"/>
            <w:vAlign w:val="center"/>
          </w:tcPr>
          <w:p w:rsidR="000D4DE7" w:rsidRDefault="00D44CA8">
            <w:pPr>
              <w:jc w:val="center"/>
            </w:pPr>
            <w:r>
              <w:rPr>
                <w:color w:val="000000"/>
                <w:sz w:val="24"/>
              </w:rPr>
              <w:t>-</w:t>
            </w:r>
          </w:p>
        </w:tc>
        <w:tc>
          <w:tcPr>
            <w:tcW w:w="1245" w:type="dxa"/>
            <w:vAlign w:val="center"/>
          </w:tcPr>
          <w:p w:rsidR="000D4DE7" w:rsidRDefault="00D44CA8">
            <w:pPr>
              <w:jc w:val="center"/>
            </w:pPr>
            <w:r>
              <w:rPr>
                <w:color w:val="000000"/>
                <w:sz w:val="24"/>
              </w:rPr>
              <w:t>7</w:t>
            </w:r>
            <w:r>
              <w:rPr>
                <w:color w:val="000000"/>
                <w:sz w:val="24"/>
              </w:rPr>
              <w:t>年</w:t>
            </w:r>
          </w:p>
        </w:tc>
        <w:tc>
          <w:tcPr>
            <w:tcW w:w="3251" w:type="dxa"/>
            <w:vAlign w:val="center"/>
          </w:tcPr>
          <w:p w:rsidR="000D4DE7" w:rsidRDefault="00D44CA8">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0D4DE7" w:rsidRDefault="00D44CA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D4DE7" w:rsidRDefault="00D44CA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w:t>
      </w:r>
      <w:r>
        <w:rPr>
          <w:color w:val="000000"/>
          <w:sz w:val="24"/>
        </w:rPr>
        <w:lastRenderedPageBreak/>
        <w:t>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D4DE7" w:rsidRDefault="00D44CA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0D4DE7" w:rsidRDefault="00D44CA8">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D15733" w:rsidRPr="007F52FA" w:rsidRDefault="00D15733" w:rsidP="007C14DF">
      <w:pPr>
        <w:spacing w:before="29" w:line="288" w:lineRule="auto"/>
        <w:ind w:firstLineChars="200" w:firstLine="480"/>
        <w:rPr>
          <w:color w:val="000000"/>
          <w:sz w:val="24"/>
        </w:rPr>
      </w:pP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0D4DE7" w:rsidRDefault="00D44CA8">
      <w:pPr>
        <w:spacing w:before="29" w:line="288" w:lineRule="auto"/>
        <w:ind w:firstLineChars="200" w:firstLine="480"/>
        <w:rPr>
          <w:color w:val="000000"/>
          <w:sz w:val="24"/>
        </w:rPr>
      </w:pPr>
      <w:r>
        <w:rPr>
          <w:color w:val="000000"/>
          <w:sz w:val="24"/>
        </w:rPr>
        <w:t>本报告期内，部分经济增长数据呈现出较强的韧性，通胀数据在十月触顶后略有回落，猪肉价格保持平稳，海外原油有上升压力。央行继续保持稳健中性的货币政策，在美联储加息后小幅跟随上调银行间利率，并先后宣布延迟定向降准和建立临时准备金动用安排。银行间流动性在年底显示出更强的季节性特征，银行超储率保持低位，整体资金价格中枢明显上移。股票市场受无风险利率上行和白马龙头股调整等因素的影响，风险偏好回落，指数在触及年内高点后开始调整。同期债券收益率上行后亦有回落，在高位震荡盘整，其中资管新规征求意见稿出炉、美联储加息靴子落地、年末流动性紧张等因素成为债券市场收益率变动的主要原因。报告期内，上证综指和创业板指分别下行</w:t>
      </w:r>
      <w:r>
        <w:rPr>
          <w:color w:val="000000"/>
          <w:sz w:val="24"/>
        </w:rPr>
        <w:t>1.25%</w:t>
      </w:r>
      <w:r>
        <w:rPr>
          <w:color w:val="000000"/>
          <w:sz w:val="24"/>
        </w:rPr>
        <w:t>和</w:t>
      </w:r>
      <w:r>
        <w:rPr>
          <w:color w:val="000000"/>
          <w:sz w:val="24"/>
        </w:rPr>
        <w:t>6.12%</w:t>
      </w:r>
      <w:r>
        <w:rPr>
          <w:color w:val="000000"/>
          <w:sz w:val="24"/>
        </w:rPr>
        <w:t>，</w:t>
      </w:r>
      <w:r>
        <w:rPr>
          <w:color w:val="000000"/>
          <w:sz w:val="24"/>
        </w:rPr>
        <w:t>10</w:t>
      </w:r>
      <w:r>
        <w:rPr>
          <w:color w:val="000000"/>
          <w:sz w:val="24"/>
        </w:rPr>
        <w:t>年期国债收益率上行</w:t>
      </w:r>
      <w:r>
        <w:rPr>
          <w:color w:val="000000"/>
          <w:sz w:val="24"/>
        </w:rPr>
        <w:t>26BP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63BP</w:t>
      </w:r>
      <w:r>
        <w:rPr>
          <w:color w:val="000000"/>
          <w:sz w:val="24"/>
        </w:rPr>
        <w:t>到</w:t>
      </w:r>
      <w:r>
        <w:rPr>
          <w:color w:val="000000"/>
          <w:sz w:val="24"/>
        </w:rPr>
        <w:t>4.82%</w:t>
      </w:r>
      <w:r>
        <w:rPr>
          <w:color w:val="000000"/>
          <w:sz w:val="24"/>
        </w:rPr>
        <w:t>。</w:t>
      </w:r>
    </w:p>
    <w:p w:rsidR="000D4DE7" w:rsidRDefault="00D44CA8">
      <w:pPr>
        <w:spacing w:before="29" w:line="288" w:lineRule="auto"/>
        <w:ind w:firstLineChars="200" w:firstLine="480"/>
        <w:rPr>
          <w:color w:val="000000"/>
          <w:sz w:val="24"/>
        </w:rPr>
      </w:pPr>
      <w:r>
        <w:rPr>
          <w:color w:val="000000"/>
          <w:sz w:val="24"/>
        </w:rPr>
        <w:t>策略层面，本基金重点关注短久期信用债以及同业存单的配置价值，适度加大配置力度，同时保持组合流动性。积极关注新股及转债发行动态，进行权益和转债一级市场投资，同时也关注二级市场的投资机会，从各方面争取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年一季度，基本面的韧性有可能延续，</w:t>
      </w:r>
      <w:r w:rsidRPr="007F52FA">
        <w:rPr>
          <w:color w:val="000000"/>
          <w:sz w:val="24"/>
        </w:rPr>
        <w:t>CPI</w:t>
      </w:r>
      <w:r w:rsidRPr="007F52FA">
        <w:rPr>
          <w:color w:val="000000"/>
          <w:sz w:val="24"/>
        </w:rPr>
        <w:t>在春节期间的触顶回调幅度值得观察，宏观经济对债市影响的增强仍需要时间演化。在货币政策</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基调下，利率或处于高位震荡格局之中，但长端收益率上行空间有限，具备一定配置价值。我们将密切关注金融监管的落地实施、供给侧等改革推进、通胀预期变化、海外货币政策变化等因素对市场的影响。股票方面，力争继续保持稳健、审慎投资，积极关注一级</w:t>
      </w:r>
      <w:r w:rsidRPr="007F52FA">
        <w:rPr>
          <w:color w:val="000000"/>
          <w:sz w:val="24"/>
        </w:rPr>
        <w:lastRenderedPageBreak/>
        <w:t>市场动态。债券方面，在保持组合流动性的前提下积极关注交易窗口，把握适中久期，同时继续关注信用风险。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D44CA8" w:rsidP="00E90340">
      <w:pPr>
        <w:spacing w:before="29" w:line="288" w:lineRule="auto"/>
        <w:ind w:firstLineChars="200" w:firstLine="480"/>
        <w:rPr>
          <w:color w:val="000000"/>
          <w:sz w:val="24"/>
        </w:rPr>
      </w:pPr>
      <w:r>
        <w:rPr>
          <w:color w:val="000000"/>
          <w:sz w:val="24"/>
        </w:rPr>
        <w:t>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日，交银卓越回报</w:t>
      </w:r>
      <w:r>
        <w:rPr>
          <w:color w:val="000000"/>
          <w:sz w:val="24"/>
        </w:rPr>
        <w:t>A</w:t>
      </w:r>
      <w:r>
        <w:rPr>
          <w:color w:val="000000"/>
          <w:sz w:val="24"/>
        </w:rPr>
        <w:t>份额净值为</w:t>
      </w:r>
      <w:r>
        <w:rPr>
          <w:color w:val="000000"/>
          <w:sz w:val="24"/>
        </w:rPr>
        <w:t>1.085</w:t>
      </w:r>
      <w:r>
        <w:rPr>
          <w:color w:val="000000"/>
          <w:sz w:val="24"/>
        </w:rPr>
        <w:t>元，本报告期份额净值增长率为</w:t>
      </w:r>
      <w:r>
        <w:rPr>
          <w:color w:val="000000"/>
          <w:sz w:val="24"/>
        </w:rPr>
        <w:t>1.50%</w:t>
      </w:r>
      <w:r>
        <w:rPr>
          <w:color w:val="000000"/>
          <w:sz w:val="24"/>
        </w:rPr>
        <w:t>，同期业绩比较基准增长率为</w:t>
      </w:r>
      <w:r>
        <w:rPr>
          <w:color w:val="000000"/>
          <w:sz w:val="24"/>
        </w:rPr>
        <w:t>1.96%</w:t>
      </w:r>
      <w:r w:rsidR="00323F25" w:rsidRPr="007F52FA">
        <w:rPr>
          <w:color w:val="000000"/>
          <w:sz w:val="24"/>
        </w:rPr>
        <w:t>；交银卓越回报</w:t>
      </w:r>
      <w:r w:rsidR="00323F25" w:rsidRPr="007F52FA">
        <w:rPr>
          <w:color w:val="000000"/>
          <w:sz w:val="24"/>
        </w:rPr>
        <w:t>C</w:t>
      </w:r>
      <w:r w:rsidR="00323F25" w:rsidRPr="007F52FA">
        <w:rPr>
          <w:color w:val="000000"/>
          <w:sz w:val="24"/>
        </w:rPr>
        <w:t>份额净值为</w:t>
      </w:r>
      <w:r w:rsidR="00323F25" w:rsidRPr="007F52FA">
        <w:rPr>
          <w:color w:val="000000"/>
          <w:sz w:val="24"/>
        </w:rPr>
        <w:t>1.082</w:t>
      </w:r>
      <w:r w:rsidR="00323F25" w:rsidRPr="007F52FA">
        <w:rPr>
          <w:color w:val="000000"/>
          <w:sz w:val="24"/>
        </w:rPr>
        <w:t>元，本报告期份额净值增长率为</w:t>
      </w:r>
      <w:r w:rsidR="00323F25" w:rsidRPr="007F52FA">
        <w:rPr>
          <w:color w:val="000000"/>
          <w:sz w:val="24"/>
        </w:rPr>
        <w:t>1.41%</w:t>
      </w:r>
      <w:r w:rsidR="00323F25" w:rsidRPr="007F52FA">
        <w:rPr>
          <w:color w:val="000000"/>
          <w:sz w:val="24"/>
        </w:rPr>
        <w:t>，同期业绩比较基准增长率为</w:t>
      </w:r>
      <w:r w:rsidR="00323F25" w:rsidRPr="007F52FA">
        <w:rPr>
          <w:color w:val="000000"/>
          <w:sz w:val="24"/>
        </w:rPr>
        <w:t>1.96%</w:t>
      </w:r>
      <w:r w:rsidR="00323F25"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211,444.95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0.13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211,444.95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0.13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138,534,259.40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86.62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138,534,259.40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86.62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7,500,000.00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4.69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4,623,253.45</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2.89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9,065,876.70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5.67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159,934,834.50</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211,444.95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211,444.95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0.14</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0D4DE7">
        <w:trPr>
          <w:jc w:val="center"/>
        </w:trPr>
        <w:tc>
          <w:tcPr>
            <w:tcW w:w="850" w:type="dxa"/>
            <w:vAlign w:val="center"/>
          </w:tcPr>
          <w:p w:rsidR="000D4DE7" w:rsidRDefault="00D44CA8">
            <w:pPr>
              <w:jc w:val="center"/>
            </w:pPr>
            <w:r>
              <w:rPr>
                <w:color w:val="000000"/>
                <w:sz w:val="24"/>
              </w:rPr>
              <w:t>1</w:t>
            </w:r>
          </w:p>
        </w:tc>
        <w:tc>
          <w:tcPr>
            <w:tcW w:w="1327" w:type="dxa"/>
            <w:vAlign w:val="center"/>
          </w:tcPr>
          <w:p w:rsidR="000D4DE7" w:rsidRDefault="00D44CA8">
            <w:pPr>
              <w:jc w:val="center"/>
            </w:pPr>
            <w:r>
              <w:rPr>
                <w:color w:val="000000"/>
                <w:sz w:val="24"/>
              </w:rPr>
              <w:t>601100</w:t>
            </w:r>
          </w:p>
        </w:tc>
        <w:tc>
          <w:tcPr>
            <w:tcW w:w="1769" w:type="dxa"/>
            <w:vAlign w:val="center"/>
          </w:tcPr>
          <w:p w:rsidR="000D4DE7" w:rsidRDefault="00D44CA8">
            <w:pPr>
              <w:jc w:val="center"/>
            </w:pPr>
            <w:r>
              <w:rPr>
                <w:color w:val="000000"/>
                <w:sz w:val="24"/>
              </w:rPr>
              <w:t>恒立液压</w:t>
            </w:r>
          </w:p>
        </w:tc>
        <w:tc>
          <w:tcPr>
            <w:tcW w:w="1327" w:type="dxa"/>
            <w:vAlign w:val="center"/>
          </w:tcPr>
          <w:p w:rsidR="000D4DE7" w:rsidRDefault="00D44CA8">
            <w:pPr>
              <w:jc w:val="right"/>
            </w:pPr>
            <w:r>
              <w:rPr>
                <w:color w:val="000000"/>
                <w:sz w:val="24"/>
              </w:rPr>
              <w:t>5,600</w:t>
            </w:r>
          </w:p>
        </w:tc>
        <w:tc>
          <w:tcPr>
            <w:tcW w:w="1915" w:type="dxa"/>
            <w:vAlign w:val="center"/>
          </w:tcPr>
          <w:p w:rsidR="000D4DE7" w:rsidRDefault="00D44CA8">
            <w:pPr>
              <w:jc w:val="right"/>
            </w:pPr>
            <w:r>
              <w:rPr>
                <w:color w:val="000000"/>
                <w:sz w:val="24"/>
              </w:rPr>
              <w:t>153,664.00</w:t>
            </w:r>
          </w:p>
        </w:tc>
        <w:tc>
          <w:tcPr>
            <w:tcW w:w="1680" w:type="dxa"/>
            <w:vAlign w:val="center"/>
          </w:tcPr>
          <w:p w:rsidR="000D4DE7" w:rsidRDefault="00D44CA8">
            <w:pPr>
              <w:jc w:val="right"/>
            </w:pPr>
            <w:r>
              <w:rPr>
                <w:color w:val="000000"/>
                <w:sz w:val="24"/>
              </w:rPr>
              <w:t>0.10</w:t>
            </w:r>
          </w:p>
        </w:tc>
      </w:tr>
      <w:tr w:rsidR="000D4DE7">
        <w:trPr>
          <w:jc w:val="center"/>
        </w:trPr>
        <w:tc>
          <w:tcPr>
            <w:tcW w:w="850" w:type="dxa"/>
            <w:vAlign w:val="center"/>
          </w:tcPr>
          <w:p w:rsidR="000D4DE7" w:rsidRDefault="00D44CA8">
            <w:pPr>
              <w:jc w:val="center"/>
            </w:pPr>
            <w:r>
              <w:rPr>
                <w:color w:val="000000"/>
                <w:sz w:val="24"/>
              </w:rPr>
              <w:t>2</w:t>
            </w:r>
          </w:p>
        </w:tc>
        <w:tc>
          <w:tcPr>
            <w:tcW w:w="1327" w:type="dxa"/>
            <w:vAlign w:val="center"/>
          </w:tcPr>
          <w:p w:rsidR="000D4DE7" w:rsidRDefault="00D44CA8">
            <w:pPr>
              <w:jc w:val="center"/>
            </w:pPr>
            <w:r>
              <w:rPr>
                <w:color w:val="000000"/>
                <w:sz w:val="24"/>
              </w:rPr>
              <w:t>603477</w:t>
            </w:r>
          </w:p>
        </w:tc>
        <w:tc>
          <w:tcPr>
            <w:tcW w:w="1769" w:type="dxa"/>
            <w:vAlign w:val="center"/>
          </w:tcPr>
          <w:p w:rsidR="000D4DE7" w:rsidRDefault="00D44CA8">
            <w:pPr>
              <w:jc w:val="center"/>
            </w:pPr>
            <w:r>
              <w:rPr>
                <w:color w:val="000000"/>
                <w:sz w:val="24"/>
              </w:rPr>
              <w:t>振静股份</w:t>
            </w:r>
          </w:p>
        </w:tc>
        <w:tc>
          <w:tcPr>
            <w:tcW w:w="1327" w:type="dxa"/>
            <w:vAlign w:val="center"/>
          </w:tcPr>
          <w:p w:rsidR="000D4DE7" w:rsidRDefault="00D44CA8">
            <w:pPr>
              <w:jc w:val="right"/>
            </w:pPr>
            <w:r>
              <w:rPr>
                <w:color w:val="000000"/>
                <w:sz w:val="24"/>
              </w:rPr>
              <w:t>1,955</w:t>
            </w:r>
          </w:p>
        </w:tc>
        <w:tc>
          <w:tcPr>
            <w:tcW w:w="1915" w:type="dxa"/>
            <w:vAlign w:val="center"/>
          </w:tcPr>
          <w:p w:rsidR="000D4DE7" w:rsidRDefault="00D44CA8">
            <w:pPr>
              <w:jc w:val="right"/>
            </w:pPr>
            <w:r>
              <w:rPr>
                <w:color w:val="000000"/>
                <w:sz w:val="24"/>
              </w:rPr>
              <w:t>37,027.70</w:t>
            </w:r>
          </w:p>
        </w:tc>
        <w:tc>
          <w:tcPr>
            <w:tcW w:w="1680" w:type="dxa"/>
            <w:vAlign w:val="center"/>
          </w:tcPr>
          <w:p w:rsidR="000D4DE7" w:rsidRDefault="00D44CA8">
            <w:pPr>
              <w:jc w:val="right"/>
            </w:pPr>
            <w:r>
              <w:rPr>
                <w:color w:val="000000"/>
                <w:sz w:val="24"/>
              </w:rPr>
              <w:t>0.02</w:t>
            </w:r>
          </w:p>
        </w:tc>
      </w:tr>
      <w:tr w:rsidR="000D4DE7">
        <w:trPr>
          <w:jc w:val="center"/>
        </w:trPr>
        <w:tc>
          <w:tcPr>
            <w:tcW w:w="850" w:type="dxa"/>
            <w:vAlign w:val="center"/>
          </w:tcPr>
          <w:p w:rsidR="000D4DE7" w:rsidRDefault="00D44CA8">
            <w:pPr>
              <w:jc w:val="center"/>
            </w:pPr>
            <w:r>
              <w:rPr>
                <w:color w:val="000000"/>
                <w:sz w:val="24"/>
              </w:rPr>
              <w:t>3</w:t>
            </w:r>
          </w:p>
        </w:tc>
        <w:tc>
          <w:tcPr>
            <w:tcW w:w="1327" w:type="dxa"/>
            <w:vAlign w:val="center"/>
          </w:tcPr>
          <w:p w:rsidR="000D4DE7" w:rsidRDefault="00D44CA8">
            <w:pPr>
              <w:jc w:val="center"/>
            </w:pPr>
            <w:r>
              <w:rPr>
                <w:color w:val="000000"/>
                <w:sz w:val="24"/>
              </w:rPr>
              <w:t>603161</w:t>
            </w:r>
          </w:p>
        </w:tc>
        <w:tc>
          <w:tcPr>
            <w:tcW w:w="1769" w:type="dxa"/>
            <w:vAlign w:val="center"/>
          </w:tcPr>
          <w:p w:rsidR="000D4DE7" w:rsidRDefault="00D44CA8">
            <w:pPr>
              <w:jc w:val="center"/>
            </w:pPr>
            <w:r>
              <w:rPr>
                <w:color w:val="000000"/>
                <w:sz w:val="24"/>
              </w:rPr>
              <w:t>科华控股</w:t>
            </w:r>
          </w:p>
        </w:tc>
        <w:tc>
          <w:tcPr>
            <w:tcW w:w="1327" w:type="dxa"/>
            <w:vAlign w:val="center"/>
          </w:tcPr>
          <w:p w:rsidR="000D4DE7" w:rsidRDefault="00D44CA8">
            <w:pPr>
              <w:jc w:val="right"/>
            </w:pPr>
            <w:r>
              <w:rPr>
                <w:color w:val="000000"/>
                <w:sz w:val="24"/>
              </w:rPr>
              <w:t>1,239</w:t>
            </w:r>
          </w:p>
        </w:tc>
        <w:tc>
          <w:tcPr>
            <w:tcW w:w="1915" w:type="dxa"/>
            <w:vAlign w:val="center"/>
          </w:tcPr>
          <w:p w:rsidR="000D4DE7" w:rsidRDefault="00D44CA8">
            <w:pPr>
              <w:jc w:val="right"/>
            </w:pPr>
            <w:r>
              <w:rPr>
                <w:color w:val="000000"/>
                <w:sz w:val="24"/>
              </w:rPr>
              <w:t>20,753.25</w:t>
            </w:r>
          </w:p>
        </w:tc>
        <w:tc>
          <w:tcPr>
            <w:tcW w:w="1680" w:type="dxa"/>
            <w:vAlign w:val="center"/>
          </w:tcPr>
          <w:p w:rsidR="000D4DE7" w:rsidRDefault="00D44CA8">
            <w:pPr>
              <w:jc w:val="right"/>
            </w:pPr>
            <w:r>
              <w:rPr>
                <w:color w:val="000000"/>
                <w:sz w:val="24"/>
              </w:rPr>
              <w:t>0.01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bookmarkStart w:id="0" w:name="_GoBack"/>
      <w:bookmarkEnd w:id="0"/>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9,985,000.00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6.57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28,002,000.00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18.42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28,002,000.00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18.42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965,259.40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0.63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99,582,000.00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65.50</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138,534,259.40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91.12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899"/>
        <w:gridCol w:w="1434"/>
      </w:tblGrid>
      <w:tr w:rsidR="00685FFC" w:rsidRPr="007F52FA" w:rsidTr="008519D3">
        <w:trPr>
          <w:jc w:val="center"/>
        </w:trPr>
        <w:tc>
          <w:tcPr>
            <w:tcW w:w="107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899"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34"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0D4DE7" w:rsidTr="008519D3">
        <w:trPr>
          <w:jc w:val="center"/>
        </w:trPr>
        <w:tc>
          <w:tcPr>
            <w:tcW w:w="1075" w:type="dxa"/>
            <w:vAlign w:val="center"/>
          </w:tcPr>
          <w:p w:rsidR="000D4DE7" w:rsidRDefault="00D44CA8">
            <w:pPr>
              <w:jc w:val="center"/>
            </w:pPr>
            <w:r>
              <w:rPr>
                <w:color w:val="000000"/>
                <w:sz w:val="24"/>
              </w:rPr>
              <w:t>1</w:t>
            </w:r>
          </w:p>
        </w:tc>
        <w:tc>
          <w:tcPr>
            <w:tcW w:w="1533" w:type="dxa"/>
            <w:vAlign w:val="center"/>
          </w:tcPr>
          <w:p w:rsidR="000D4DE7" w:rsidRDefault="00D44CA8">
            <w:pPr>
              <w:jc w:val="center"/>
            </w:pPr>
            <w:r>
              <w:rPr>
                <w:color w:val="000000"/>
                <w:sz w:val="24"/>
              </w:rPr>
              <w:t>111710631</w:t>
            </w:r>
          </w:p>
        </w:tc>
        <w:tc>
          <w:tcPr>
            <w:tcW w:w="1533" w:type="dxa"/>
            <w:vAlign w:val="center"/>
          </w:tcPr>
          <w:p w:rsidR="000D4DE7" w:rsidRDefault="00D44CA8">
            <w:pPr>
              <w:jc w:val="center"/>
            </w:pPr>
            <w:r>
              <w:rPr>
                <w:color w:val="000000"/>
                <w:sz w:val="24"/>
              </w:rPr>
              <w:t>17</w:t>
            </w:r>
            <w:r>
              <w:rPr>
                <w:color w:val="000000"/>
                <w:sz w:val="24"/>
              </w:rPr>
              <w:t>兴业银行</w:t>
            </w:r>
            <w:r>
              <w:rPr>
                <w:color w:val="000000"/>
                <w:sz w:val="24"/>
              </w:rPr>
              <w:t>CD631</w:t>
            </w:r>
          </w:p>
        </w:tc>
        <w:tc>
          <w:tcPr>
            <w:tcW w:w="1394" w:type="dxa"/>
            <w:vAlign w:val="center"/>
          </w:tcPr>
          <w:p w:rsidR="000D4DE7" w:rsidRDefault="00D44CA8">
            <w:pPr>
              <w:jc w:val="right"/>
            </w:pPr>
            <w:r>
              <w:rPr>
                <w:color w:val="000000"/>
                <w:sz w:val="24"/>
              </w:rPr>
              <w:t>300,000</w:t>
            </w:r>
          </w:p>
        </w:tc>
        <w:tc>
          <w:tcPr>
            <w:tcW w:w="1899" w:type="dxa"/>
            <w:vAlign w:val="center"/>
          </w:tcPr>
          <w:p w:rsidR="000D4DE7" w:rsidRDefault="00D44CA8">
            <w:pPr>
              <w:jc w:val="right"/>
            </w:pPr>
            <w:r>
              <w:rPr>
                <w:color w:val="000000"/>
                <w:sz w:val="24"/>
              </w:rPr>
              <w:t>29,877,000.00</w:t>
            </w:r>
          </w:p>
        </w:tc>
        <w:tc>
          <w:tcPr>
            <w:tcW w:w="1434" w:type="dxa"/>
            <w:vAlign w:val="center"/>
          </w:tcPr>
          <w:p w:rsidR="000D4DE7" w:rsidRDefault="00D44CA8">
            <w:pPr>
              <w:jc w:val="right"/>
            </w:pPr>
            <w:r>
              <w:rPr>
                <w:color w:val="000000"/>
                <w:sz w:val="24"/>
              </w:rPr>
              <w:t>19.65</w:t>
            </w:r>
          </w:p>
        </w:tc>
      </w:tr>
      <w:tr w:rsidR="000D4DE7" w:rsidTr="008519D3">
        <w:trPr>
          <w:jc w:val="center"/>
        </w:trPr>
        <w:tc>
          <w:tcPr>
            <w:tcW w:w="1075" w:type="dxa"/>
            <w:vAlign w:val="center"/>
          </w:tcPr>
          <w:p w:rsidR="000D4DE7" w:rsidRDefault="00D44CA8">
            <w:pPr>
              <w:jc w:val="center"/>
            </w:pPr>
            <w:r>
              <w:rPr>
                <w:color w:val="000000"/>
                <w:sz w:val="24"/>
              </w:rPr>
              <w:t>2</w:t>
            </w:r>
          </w:p>
        </w:tc>
        <w:tc>
          <w:tcPr>
            <w:tcW w:w="1533" w:type="dxa"/>
            <w:vAlign w:val="center"/>
          </w:tcPr>
          <w:p w:rsidR="000D4DE7" w:rsidRDefault="00D44CA8">
            <w:pPr>
              <w:jc w:val="center"/>
            </w:pPr>
            <w:r>
              <w:rPr>
                <w:color w:val="000000"/>
                <w:sz w:val="24"/>
              </w:rPr>
              <w:t>111715452</w:t>
            </w:r>
          </w:p>
        </w:tc>
        <w:tc>
          <w:tcPr>
            <w:tcW w:w="1533" w:type="dxa"/>
            <w:vAlign w:val="center"/>
          </w:tcPr>
          <w:p w:rsidR="000D4DE7" w:rsidRDefault="00D44CA8">
            <w:pPr>
              <w:jc w:val="center"/>
            </w:pPr>
            <w:r>
              <w:rPr>
                <w:color w:val="000000"/>
                <w:sz w:val="24"/>
              </w:rPr>
              <w:t>17</w:t>
            </w:r>
            <w:r>
              <w:rPr>
                <w:color w:val="000000"/>
                <w:sz w:val="24"/>
              </w:rPr>
              <w:t>民生银行</w:t>
            </w:r>
            <w:r>
              <w:rPr>
                <w:color w:val="000000"/>
                <w:sz w:val="24"/>
              </w:rPr>
              <w:t>CD452</w:t>
            </w:r>
          </w:p>
        </w:tc>
        <w:tc>
          <w:tcPr>
            <w:tcW w:w="1394" w:type="dxa"/>
            <w:vAlign w:val="center"/>
          </w:tcPr>
          <w:p w:rsidR="000D4DE7" w:rsidRDefault="00D44CA8">
            <w:pPr>
              <w:jc w:val="right"/>
            </w:pPr>
            <w:r>
              <w:rPr>
                <w:color w:val="000000"/>
                <w:sz w:val="24"/>
              </w:rPr>
              <w:t>300,000</w:t>
            </w:r>
          </w:p>
        </w:tc>
        <w:tc>
          <w:tcPr>
            <w:tcW w:w="1899" w:type="dxa"/>
            <w:vAlign w:val="center"/>
          </w:tcPr>
          <w:p w:rsidR="000D4DE7" w:rsidRDefault="00D44CA8">
            <w:pPr>
              <w:jc w:val="right"/>
            </w:pPr>
            <w:r>
              <w:rPr>
                <w:color w:val="000000"/>
                <w:sz w:val="24"/>
              </w:rPr>
              <w:t>29,877,000.00</w:t>
            </w:r>
          </w:p>
        </w:tc>
        <w:tc>
          <w:tcPr>
            <w:tcW w:w="1434" w:type="dxa"/>
            <w:vAlign w:val="center"/>
          </w:tcPr>
          <w:p w:rsidR="000D4DE7" w:rsidRDefault="00D44CA8">
            <w:pPr>
              <w:jc w:val="right"/>
            </w:pPr>
            <w:r>
              <w:rPr>
                <w:color w:val="000000"/>
                <w:sz w:val="24"/>
              </w:rPr>
              <w:t>19.65</w:t>
            </w:r>
          </w:p>
        </w:tc>
      </w:tr>
      <w:tr w:rsidR="000D4DE7" w:rsidTr="008519D3">
        <w:trPr>
          <w:jc w:val="center"/>
        </w:trPr>
        <w:tc>
          <w:tcPr>
            <w:tcW w:w="1075" w:type="dxa"/>
            <w:vAlign w:val="center"/>
          </w:tcPr>
          <w:p w:rsidR="000D4DE7" w:rsidRDefault="00D44CA8">
            <w:pPr>
              <w:jc w:val="center"/>
            </w:pPr>
            <w:r>
              <w:rPr>
                <w:color w:val="000000"/>
                <w:sz w:val="24"/>
              </w:rPr>
              <w:t>3</w:t>
            </w:r>
          </w:p>
        </w:tc>
        <w:tc>
          <w:tcPr>
            <w:tcW w:w="1533" w:type="dxa"/>
            <w:vAlign w:val="center"/>
          </w:tcPr>
          <w:p w:rsidR="000D4DE7" w:rsidRDefault="00D44CA8">
            <w:pPr>
              <w:jc w:val="center"/>
            </w:pPr>
            <w:r>
              <w:rPr>
                <w:color w:val="000000"/>
                <w:sz w:val="24"/>
              </w:rPr>
              <w:t>170210</w:t>
            </w:r>
          </w:p>
        </w:tc>
        <w:tc>
          <w:tcPr>
            <w:tcW w:w="1533" w:type="dxa"/>
            <w:vAlign w:val="center"/>
          </w:tcPr>
          <w:p w:rsidR="000D4DE7" w:rsidRDefault="00D44CA8">
            <w:pPr>
              <w:jc w:val="center"/>
            </w:pPr>
            <w:r>
              <w:rPr>
                <w:color w:val="000000"/>
                <w:sz w:val="24"/>
              </w:rPr>
              <w:t>17</w:t>
            </w:r>
            <w:r>
              <w:rPr>
                <w:color w:val="000000"/>
                <w:sz w:val="24"/>
              </w:rPr>
              <w:t>国开</w:t>
            </w:r>
            <w:r>
              <w:rPr>
                <w:color w:val="000000"/>
                <w:sz w:val="24"/>
              </w:rPr>
              <w:t>10</w:t>
            </w:r>
          </w:p>
        </w:tc>
        <w:tc>
          <w:tcPr>
            <w:tcW w:w="1394" w:type="dxa"/>
            <w:vAlign w:val="center"/>
          </w:tcPr>
          <w:p w:rsidR="000D4DE7" w:rsidRDefault="00D44CA8">
            <w:pPr>
              <w:jc w:val="right"/>
            </w:pPr>
            <w:r>
              <w:rPr>
                <w:color w:val="000000"/>
                <w:sz w:val="24"/>
              </w:rPr>
              <w:t>300,000</w:t>
            </w:r>
          </w:p>
        </w:tc>
        <w:tc>
          <w:tcPr>
            <w:tcW w:w="1899" w:type="dxa"/>
            <w:vAlign w:val="center"/>
          </w:tcPr>
          <w:p w:rsidR="000D4DE7" w:rsidRDefault="00D44CA8">
            <w:pPr>
              <w:jc w:val="right"/>
            </w:pPr>
            <w:r>
              <w:rPr>
                <w:color w:val="000000"/>
                <w:sz w:val="24"/>
              </w:rPr>
              <w:t>28,002,000.00</w:t>
            </w:r>
          </w:p>
        </w:tc>
        <w:tc>
          <w:tcPr>
            <w:tcW w:w="1434" w:type="dxa"/>
            <w:vAlign w:val="center"/>
          </w:tcPr>
          <w:p w:rsidR="000D4DE7" w:rsidRDefault="00D44CA8">
            <w:pPr>
              <w:jc w:val="right"/>
            </w:pPr>
            <w:r>
              <w:rPr>
                <w:color w:val="000000"/>
                <w:sz w:val="24"/>
              </w:rPr>
              <w:t>18.42</w:t>
            </w:r>
          </w:p>
        </w:tc>
      </w:tr>
      <w:tr w:rsidR="000D4DE7" w:rsidTr="008519D3">
        <w:trPr>
          <w:jc w:val="center"/>
        </w:trPr>
        <w:tc>
          <w:tcPr>
            <w:tcW w:w="1075" w:type="dxa"/>
            <w:vAlign w:val="center"/>
          </w:tcPr>
          <w:p w:rsidR="000D4DE7" w:rsidRDefault="00D44CA8">
            <w:pPr>
              <w:jc w:val="center"/>
            </w:pPr>
            <w:r>
              <w:rPr>
                <w:color w:val="000000"/>
                <w:sz w:val="24"/>
              </w:rPr>
              <w:t>4</w:t>
            </w:r>
          </w:p>
        </w:tc>
        <w:tc>
          <w:tcPr>
            <w:tcW w:w="1533" w:type="dxa"/>
            <w:vAlign w:val="center"/>
          </w:tcPr>
          <w:p w:rsidR="000D4DE7" w:rsidRDefault="00D44CA8">
            <w:pPr>
              <w:jc w:val="center"/>
            </w:pPr>
            <w:r>
              <w:rPr>
                <w:color w:val="000000"/>
                <w:sz w:val="24"/>
              </w:rPr>
              <w:t>111707286</w:t>
            </w:r>
          </w:p>
        </w:tc>
        <w:tc>
          <w:tcPr>
            <w:tcW w:w="1533" w:type="dxa"/>
            <w:vAlign w:val="center"/>
          </w:tcPr>
          <w:p w:rsidR="000D4DE7" w:rsidRDefault="00D44CA8">
            <w:pPr>
              <w:jc w:val="center"/>
            </w:pPr>
            <w:r>
              <w:rPr>
                <w:color w:val="000000"/>
                <w:sz w:val="24"/>
              </w:rPr>
              <w:t>17</w:t>
            </w:r>
            <w:r>
              <w:rPr>
                <w:color w:val="000000"/>
                <w:sz w:val="24"/>
              </w:rPr>
              <w:t>招商银行</w:t>
            </w:r>
            <w:r>
              <w:rPr>
                <w:color w:val="000000"/>
                <w:sz w:val="24"/>
              </w:rPr>
              <w:t>CD286</w:t>
            </w:r>
          </w:p>
        </w:tc>
        <w:tc>
          <w:tcPr>
            <w:tcW w:w="1394" w:type="dxa"/>
            <w:vAlign w:val="center"/>
          </w:tcPr>
          <w:p w:rsidR="000D4DE7" w:rsidRDefault="00D44CA8">
            <w:pPr>
              <w:jc w:val="right"/>
            </w:pPr>
            <w:r>
              <w:rPr>
                <w:color w:val="000000"/>
                <w:sz w:val="24"/>
              </w:rPr>
              <w:t>200,000</w:t>
            </w:r>
          </w:p>
        </w:tc>
        <w:tc>
          <w:tcPr>
            <w:tcW w:w="1899" w:type="dxa"/>
            <w:vAlign w:val="center"/>
          </w:tcPr>
          <w:p w:rsidR="000D4DE7" w:rsidRDefault="00D44CA8">
            <w:pPr>
              <w:jc w:val="right"/>
            </w:pPr>
            <w:r>
              <w:rPr>
                <w:color w:val="000000"/>
                <w:sz w:val="24"/>
              </w:rPr>
              <w:t>19,914,000.00</w:t>
            </w:r>
          </w:p>
        </w:tc>
        <w:tc>
          <w:tcPr>
            <w:tcW w:w="1434" w:type="dxa"/>
            <w:vAlign w:val="center"/>
          </w:tcPr>
          <w:p w:rsidR="000D4DE7" w:rsidRDefault="00D44CA8">
            <w:pPr>
              <w:jc w:val="right"/>
            </w:pPr>
            <w:r>
              <w:rPr>
                <w:color w:val="000000"/>
                <w:sz w:val="24"/>
              </w:rPr>
              <w:t>13.10</w:t>
            </w:r>
          </w:p>
        </w:tc>
      </w:tr>
      <w:tr w:rsidR="000D4DE7" w:rsidTr="008519D3">
        <w:trPr>
          <w:jc w:val="center"/>
        </w:trPr>
        <w:tc>
          <w:tcPr>
            <w:tcW w:w="1075" w:type="dxa"/>
            <w:vAlign w:val="center"/>
          </w:tcPr>
          <w:p w:rsidR="000D4DE7" w:rsidRDefault="00D44CA8">
            <w:pPr>
              <w:jc w:val="center"/>
            </w:pPr>
            <w:r>
              <w:rPr>
                <w:color w:val="000000"/>
                <w:sz w:val="24"/>
              </w:rPr>
              <w:t>5</w:t>
            </w:r>
          </w:p>
        </w:tc>
        <w:tc>
          <w:tcPr>
            <w:tcW w:w="1533" w:type="dxa"/>
            <w:vAlign w:val="center"/>
          </w:tcPr>
          <w:p w:rsidR="000D4DE7" w:rsidRDefault="00D44CA8">
            <w:pPr>
              <w:jc w:val="center"/>
            </w:pPr>
            <w:r>
              <w:rPr>
                <w:color w:val="000000"/>
                <w:sz w:val="24"/>
              </w:rPr>
              <w:t>111718467</w:t>
            </w:r>
          </w:p>
        </w:tc>
        <w:tc>
          <w:tcPr>
            <w:tcW w:w="1533" w:type="dxa"/>
            <w:vAlign w:val="center"/>
          </w:tcPr>
          <w:p w:rsidR="000D4DE7" w:rsidRDefault="00D44CA8">
            <w:pPr>
              <w:jc w:val="center"/>
            </w:pPr>
            <w:r>
              <w:rPr>
                <w:color w:val="000000"/>
                <w:sz w:val="24"/>
              </w:rPr>
              <w:t>17</w:t>
            </w:r>
            <w:r>
              <w:rPr>
                <w:color w:val="000000"/>
                <w:sz w:val="24"/>
              </w:rPr>
              <w:t>华夏银行</w:t>
            </w:r>
            <w:r>
              <w:rPr>
                <w:color w:val="000000"/>
                <w:sz w:val="24"/>
              </w:rPr>
              <w:t>CD467</w:t>
            </w:r>
          </w:p>
        </w:tc>
        <w:tc>
          <w:tcPr>
            <w:tcW w:w="1394" w:type="dxa"/>
            <w:vAlign w:val="center"/>
          </w:tcPr>
          <w:p w:rsidR="000D4DE7" w:rsidRDefault="00D44CA8">
            <w:pPr>
              <w:jc w:val="right"/>
            </w:pPr>
            <w:r>
              <w:rPr>
                <w:color w:val="000000"/>
                <w:sz w:val="24"/>
              </w:rPr>
              <w:t>200,000</w:t>
            </w:r>
          </w:p>
        </w:tc>
        <w:tc>
          <w:tcPr>
            <w:tcW w:w="1899" w:type="dxa"/>
            <w:vAlign w:val="center"/>
          </w:tcPr>
          <w:p w:rsidR="000D4DE7" w:rsidRDefault="00D44CA8">
            <w:pPr>
              <w:jc w:val="right"/>
            </w:pPr>
            <w:r>
              <w:rPr>
                <w:color w:val="000000"/>
                <w:sz w:val="24"/>
              </w:rPr>
              <w:t>19,914,000.00</w:t>
            </w:r>
          </w:p>
        </w:tc>
        <w:tc>
          <w:tcPr>
            <w:tcW w:w="1434" w:type="dxa"/>
            <w:vAlign w:val="center"/>
          </w:tcPr>
          <w:p w:rsidR="000D4DE7" w:rsidRDefault="00D44CA8">
            <w:pPr>
              <w:jc w:val="right"/>
            </w:pPr>
            <w:r>
              <w:rPr>
                <w:color w:val="000000"/>
                <w:sz w:val="24"/>
              </w:rPr>
              <w:t>13.10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65,400.78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7,515,616.44</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1,480,394.41</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4,465.07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9,065,876.70</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1D5CD0" w:rsidRPr="007F52FA" w:rsidTr="00837861">
        <w:trPr>
          <w:jc w:val="center"/>
        </w:trPr>
        <w:tc>
          <w:tcPr>
            <w:tcW w:w="1083"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流通受限部分</w:t>
            </w:r>
            <w:r w:rsidRPr="007F52FA">
              <w:rPr>
                <w:rFonts w:eastAsiaTheme="minorEastAsia"/>
                <w:color w:val="000000"/>
                <w:sz w:val="24"/>
              </w:rPr>
              <w:lastRenderedPageBreak/>
              <w:t>的公允价值</w:t>
            </w:r>
            <w:r w:rsidR="00FA00C3" w:rsidRPr="007F52FA">
              <w:rPr>
                <w:color w:val="000000"/>
                <w:kern w:val="0"/>
                <w:sz w:val="24"/>
              </w:rPr>
              <w:t>(</w:t>
            </w:r>
            <w:r w:rsidRPr="007F52FA">
              <w:rPr>
                <w:rFonts w:eastAsiaTheme="minorEastAsia"/>
                <w:color w:val="000000"/>
                <w:sz w:val="24"/>
              </w:rPr>
              <w:t>元</w:t>
            </w:r>
            <w:r w:rsidR="00FA00C3" w:rsidRPr="007F52FA">
              <w:rPr>
                <w:color w:val="000000"/>
                <w:kern w:val="0"/>
                <w:sz w:val="24"/>
              </w:rPr>
              <w:t>)</w:t>
            </w:r>
          </w:p>
        </w:tc>
        <w:tc>
          <w:tcPr>
            <w:tcW w:w="165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lastRenderedPageBreak/>
              <w:t>占基金资产净</w:t>
            </w:r>
            <w:r w:rsidRPr="007F52FA">
              <w:rPr>
                <w:rFonts w:eastAsiaTheme="minorEastAsia"/>
                <w:color w:val="000000"/>
                <w:sz w:val="24"/>
              </w:rPr>
              <w:lastRenderedPageBreak/>
              <w:t>值比例</w:t>
            </w:r>
            <w:r w:rsidR="00664462" w:rsidRPr="007F52FA">
              <w:rPr>
                <w:color w:val="000000"/>
                <w:kern w:val="0"/>
                <w:sz w:val="24"/>
              </w:rPr>
              <w:t>（</w:t>
            </w:r>
            <w:r w:rsidR="00863A9A" w:rsidRPr="007F52FA">
              <w:rPr>
                <w:color w:val="000000"/>
                <w:kern w:val="0"/>
                <w:sz w:val="24"/>
              </w:rPr>
              <w:t>％</w:t>
            </w:r>
            <w:r w:rsidR="00664462" w:rsidRPr="007F52FA">
              <w:rPr>
                <w:color w:val="000000"/>
                <w:kern w:val="0"/>
                <w:sz w:val="24"/>
              </w:rPr>
              <w:t>）</w:t>
            </w:r>
          </w:p>
        </w:tc>
        <w:tc>
          <w:tcPr>
            <w:tcW w:w="136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lastRenderedPageBreak/>
              <w:t>流通受限</w:t>
            </w:r>
            <w:r w:rsidRPr="007F52FA">
              <w:rPr>
                <w:rFonts w:eastAsiaTheme="minorEastAsia"/>
                <w:color w:val="000000"/>
                <w:sz w:val="24"/>
              </w:rPr>
              <w:lastRenderedPageBreak/>
              <w:t>情况说明</w:t>
            </w:r>
          </w:p>
        </w:tc>
      </w:tr>
      <w:tr w:rsidR="000D4DE7">
        <w:trPr>
          <w:jc w:val="center"/>
        </w:trPr>
        <w:tc>
          <w:tcPr>
            <w:tcW w:w="1129" w:type="dxa"/>
            <w:vAlign w:val="center"/>
          </w:tcPr>
          <w:p w:rsidR="000D4DE7" w:rsidRDefault="00D44CA8">
            <w:pPr>
              <w:jc w:val="center"/>
            </w:pPr>
            <w:r>
              <w:rPr>
                <w:rFonts w:eastAsiaTheme="minorEastAsia"/>
                <w:color w:val="000000"/>
                <w:sz w:val="24"/>
              </w:rPr>
              <w:lastRenderedPageBreak/>
              <w:t>1</w:t>
            </w:r>
          </w:p>
        </w:tc>
        <w:tc>
          <w:tcPr>
            <w:tcW w:w="1356" w:type="dxa"/>
            <w:vAlign w:val="center"/>
          </w:tcPr>
          <w:p w:rsidR="000D4DE7" w:rsidRDefault="00D44CA8">
            <w:pPr>
              <w:jc w:val="center"/>
            </w:pPr>
            <w:r>
              <w:rPr>
                <w:rFonts w:eastAsiaTheme="minorEastAsia"/>
                <w:color w:val="000000"/>
                <w:sz w:val="24"/>
              </w:rPr>
              <w:t>603161</w:t>
            </w:r>
          </w:p>
        </w:tc>
        <w:tc>
          <w:tcPr>
            <w:tcW w:w="1355" w:type="dxa"/>
            <w:vAlign w:val="center"/>
          </w:tcPr>
          <w:p w:rsidR="000D4DE7" w:rsidRDefault="00D44CA8">
            <w:pPr>
              <w:jc w:val="center"/>
            </w:pPr>
            <w:r>
              <w:rPr>
                <w:rFonts w:eastAsiaTheme="minorEastAsia"/>
                <w:color w:val="000000"/>
                <w:sz w:val="24"/>
              </w:rPr>
              <w:t>科华控股</w:t>
            </w:r>
          </w:p>
        </w:tc>
        <w:tc>
          <w:tcPr>
            <w:tcW w:w="1880" w:type="dxa"/>
            <w:vAlign w:val="center"/>
          </w:tcPr>
          <w:p w:rsidR="000D4DE7" w:rsidRDefault="00D44CA8">
            <w:pPr>
              <w:jc w:val="right"/>
            </w:pPr>
            <w:r>
              <w:rPr>
                <w:rFonts w:eastAsiaTheme="minorEastAsia"/>
                <w:color w:val="000000"/>
                <w:sz w:val="24"/>
              </w:rPr>
              <w:t>20,753.25</w:t>
            </w:r>
          </w:p>
        </w:tc>
        <w:tc>
          <w:tcPr>
            <w:tcW w:w="1724" w:type="dxa"/>
            <w:vAlign w:val="center"/>
          </w:tcPr>
          <w:p w:rsidR="000D4DE7" w:rsidRDefault="00D44CA8">
            <w:pPr>
              <w:jc w:val="right"/>
            </w:pPr>
            <w:r>
              <w:rPr>
                <w:rFonts w:eastAsiaTheme="minorEastAsia"/>
                <w:color w:val="000000"/>
                <w:sz w:val="24"/>
              </w:rPr>
              <w:t>0.01</w:t>
            </w:r>
          </w:p>
        </w:tc>
        <w:tc>
          <w:tcPr>
            <w:tcW w:w="1424" w:type="dxa"/>
            <w:vAlign w:val="center"/>
          </w:tcPr>
          <w:p w:rsidR="000D4DE7" w:rsidRPr="00D44CA8" w:rsidRDefault="00D44CA8" w:rsidP="00D44CA8">
            <w:pPr>
              <w:jc w:val="center"/>
              <w:rPr>
                <w:rFonts w:eastAsiaTheme="minorEastAsia"/>
                <w:color w:val="000000"/>
                <w:sz w:val="24"/>
              </w:rPr>
            </w:pPr>
            <w:r>
              <w:rPr>
                <w:rFonts w:eastAsiaTheme="minorEastAsia" w:hint="eastAsia"/>
                <w:color w:val="000000"/>
                <w:sz w:val="24"/>
              </w:rPr>
              <w:t>新股申购</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交银卓越回报灵活配置混合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交银卓越回报灵活配置混合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304,083,561.56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249,750,249.75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130,789.68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263,570,037.04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150,000,000.00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40,644,314.20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99,750,249.75</w:t>
            </w:r>
          </w:p>
        </w:tc>
      </w:tr>
    </w:tbl>
    <w:p w:rsidR="000D4DE7" w:rsidRDefault="00D44CA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BE251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w:t>
            </w:r>
            <w:r>
              <w:rPr>
                <w:rFonts w:ascii="宋体" w:hAnsi="宋体" w:hint="eastAsia"/>
                <w:color w:val="000000"/>
                <w:kern w:val="0"/>
                <w:szCs w:val="21"/>
              </w:rPr>
              <w:lastRenderedPageBreak/>
              <w:t xml:space="preserve">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lastRenderedPageBreak/>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D4DE7">
        <w:tc>
          <w:tcPr>
            <w:tcW w:w="992" w:type="dxa"/>
            <w:vMerge w:val="restart"/>
          </w:tcPr>
          <w:p w:rsidR="000D4DE7" w:rsidRDefault="000D4DE7"/>
          <w:p w:rsidR="000D4DE7" w:rsidRDefault="00D44CA8">
            <w:r>
              <w:rPr>
                <w:rFonts w:ascii="宋体" w:hAnsi="宋体" w:hint="eastAsia"/>
                <w:bCs/>
                <w:color w:val="000000"/>
                <w:kern w:val="0"/>
                <w:szCs w:val="21"/>
              </w:rPr>
              <w:t>机构</w:t>
            </w:r>
          </w:p>
        </w:tc>
        <w:tc>
          <w:tcPr>
            <w:tcW w:w="991" w:type="dxa"/>
            <w:vAlign w:val="center"/>
          </w:tcPr>
          <w:p w:rsidR="000D4DE7" w:rsidRDefault="00D44CA8">
            <w:pPr>
              <w:jc w:val="center"/>
            </w:pPr>
            <w:r>
              <w:rPr>
                <w:rFonts w:ascii="宋体" w:hAnsi="宋体" w:hint="eastAsia"/>
                <w:color w:val="000000"/>
                <w:kern w:val="0"/>
                <w:szCs w:val="21"/>
              </w:rPr>
              <w:t>1</w:t>
            </w:r>
          </w:p>
        </w:tc>
        <w:tc>
          <w:tcPr>
            <w:tcW w:w="1843" w:type="dxa"/>
            <w:vAlign w:val="center"/>
          </w:tcPr>
          <w:p w:rsidR="000D4DE7" w:rsidRDefault="00D44CA8">
            <w:pPr>
              <w:jc w:val="center"/>
            </w:pPr>
            <w:r>
              <w:rPr>
                <w:rFonts w:ascii="宋体" w:hAnsi="宋体" w:hint="eastAsia"/>
                <w:color w:val="000000"/>
                <w:kern w:val="0"/>
                <w:szCs w:val="21"/>
              </w:rPr>
              <w:t>2017/10/1-2017/12/31</w:t>
            </w:r>
          </w:p>
        </w:tc>
        <w:tc>
          <w:tcPr>
            <w:tcW w:w="851" w:type="dxa"/>
            <w:vAlign w:val="center"/>
          </w:tcPr>
          <w:p w:rsidR="000D4DE7" w:rsidRDefault="00D44CA8">
            <w:pPr>
              <w:jc w:val="center"/>
            </w:pPr>
            <w:r>
              <w:rPr>
                <w:rFonts w:ascii="宋体" w:hAnsi="宋体" w:hint="eastAsia"/>
                <w:color w:val="000000"/>
                <w:kern w:val="0"/>
                <w:szCs w:val="21"/>
              </w:rPr>
              <w:t>249,499,500.50</w:t>
            </w:r>
          </w:p>
        </w:tc>
        <w:tc>
          <w:tcPr>
            <w:tcW w:w="850" w:type="dxa"/>
            <w:vAlign w:val="center"/>
          </w:tcPr>
          <w:p w:rsidR="000D4DE7" w:rsidRDefault="00D44CA8">
            <w:pPr>
              <w:jc w:val="center"/>
            </w:pPr>
            <w:r>
              <w:rPr>
                <w:rFonts w:ascii="宋体" w:hAnsi="宋体" w:hint="eastAsia"/>
                <w:color w:val="000000"/>
                <w:kern w:val="0"/>
                <w:szCs w:val="21"/>
              </w:rPr>
              <w:t>-</w:t>
            </w:r>
          </w:p>
        </w:tc>
        <w:tc>
          <w:tcPr>
            <w:tcW w:w="1134" w:type="dxa"/>
            <w:vAlign w:val="center"/>
          </w:tcPr>
          <w:p w:rsidR="000D4DE7" w:rsidRDefault="00D44CA8">
            <w:pPr>
              <w:jc w:val="center"/>
            </w:pPr>
            <w:r>
              <w:rPr>
                <w:rFonts w:ascii="宋体" w:hAnsi="宋体" w:hint="eastAsia"/>
                <w:color w:val="000000"/>
                <w:kern w:val="0"/>
                <w:szCs w:val="21"/>
              </w:rPr>
              <w:t>249,499,500.50</w:t>
            </w:r>
          </w:p>
        </w:tc>
        <w:tc>
          <w:tcPr>
            <w:tcW w:w="1419" w:type="dxa"/>
            <w:vAlign w:val="center"/>
          </w:tcPr>
          <w:p w:rsidR="000D4DE7" w:rsidRDefault="00D44CA8">
            <w:pPr>
              <w:jc w:val="center"/>
            </w:pPr>
            <w:r>
              <w:rPr>
                <w:rFonts w:ascii="宋体" w:hAnsi="宋体" w:hint="eastAsia"/>
                <w:color w:val="000000"/>
                <w:kern w:val="0"/>
                <w:szCs w:val="21"/>
              </w:rPr>
              <w:t>-</w:t>
            </w:r>
          </w:p>
        </w:tc>
        <w:tc>
          <w:tcPr>
            <w:tcW w:w="1130" w:type="dxa"/>
            <w:vAlign w:val="center"/>
          </w:tcPr>
          <w:p w:rsidR="000D4DE7" w:rsidRDefault="00D44CA8">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0D4DE7" w:rsidRDefault="00D44CA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、中国证监会准予交银施罗德卓越回报灵活配置混合型证券投资基金募集注册的文件；</w:t>
      </w:r>
      <w:r>
        <w:rPr>
          <w:rFonts w:eastAsiaTheme="minorEastAsia"/>
          <w:color w:val="000000"/>
          <w:sz w:val="24"/>
        </w:rPr>
        <w:t xml:space="preserve"> </w:t>
      </w:r>
    </w:p>
    <w:p w:rsidR="000D4DE7" w:rsidRDefault="00D44CA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、《交银施罗德卓越回报灵活配置混合型证券投资基金基金合同》；</w:t>
      </w:r>
      <w:r>
        <w:rPr>
          <w:rFonts w:eastAsiaTheme="minorEastAsia"/>
          <w:color w:val="000000"/>
          <w:sz w:val="24"/>
        </w:rPr>
        <w:t xml:space="preserve"> </w:t>
      </w:r>
    </w:p>
    <w:p w:rsidR="000D4DE7" w:rsidRDefault="00D44CA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、《交银施罗德卓越回报灵活配置混合型证券投资基金招募说明书》；</w:t>
      </w:r>
      <w:r>
        <w:rPr>
          <w:rFonts w:eastAsiaTheme="minorEastAsia"/>
          <w:color w:val="000000"/>
          <w:sz w:val="24"/>
        </w:rPr>
        <w:t xml:space="preserve"> </w:t>
      </w:r>
    </w:p>
    <w:p w:rsidR="000D4DE7" w:rsidRDefault="00D44CA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、《交银施罗德卓越回报灵活配置混合型证券投资基金托管协议》；</w:t>
      </w:r>
      <w:r>
        <w:rPr>
          <w:rFonts w:eastAsiaTheme="minorEastAsia"/>
          <w:color w:val="000000"/>
          <w:sz w:val="24"/>
        </w:rPr>
        <w:t xml:space="preserve"> </w:t>
      </w:r>
    </w:p>
    <w:p w:rsidR="000D4DE7" w:rsidRDefault="00D44CA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、关于申请募集注册交银施罗德卓越回报灵活配置混合型证券投资基金的法律意见书；</w:t>
      </w:r>
      <w:r>
        <w:rPr>
          <w:rFonts w:eastAsiaTheme="minorEastAsia"/>
          <w:color w:val="000000"/>
          <w:sz w:val="24"/>
        </w:rPr>
        <w:t xml:space="preserve"> </w:t>
      </w:r>
    </w:p>
    <w:p w:rsidR="000D4DE7" w:rsidRDefault="00D44CA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0D4DE7" w:rsidRDefault="00D44CA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、报告期内交银施罗德卓越回报灵活配置混合型证券投资基金在指定报刊上各项公告的原稿。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0D4DE7" w:rsidRDefault="00D44CA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9D3" w:rsidRDefault="008519D3">
      <w:r>
        <w:separator/>
      </w:r>
    </w:p>
  </w:endnote>
  <w:endnote w:type="continuationSeparator" w:id="0">
    <w:p w:rsidR="008519D3" w:rsidRDefault="00851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9D3" w:rsidRPr="001D0DB0" w:rsidRDefault="008519D3" w:rsidP="00F7094A">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46E0E">
      <w:rPr>
        <w:noProof/>
        <w:kern w:val="0"/>
        <w:szCs w:val="21"/>
      </w:rPr>
      <w:t>9</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046E0E">
      <w:rPr>
        <w:noProof/>
        <w:kern w:val="0"/>
        <w:szCs w:val="21"/>
      </w:rPr>
      <w:t>14</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9D3" w:rsidRDefault="008519D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519D3" w:rsidRDefault="008519D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9D3" w:rsidRDefault="008519D3">
      <w:r>
        <w:separator/>
      </w:r>
    </w:p>
  </w:footnote>
  <w:footnote w:type="continuationSeparator" w:id="0">
    <w:p w:rsidR="008519D3" w:rsidRDefault="00851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19D3" w:rsidRPr="002567DB" w:rsidRDefault="008519D3"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6E0E"/>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7"/>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19D3"/>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4CA8"/>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0340"/>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A7710940-143C-45B3-BD85-6BDA0F552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CD742-EBC2-4DC7-BD7E-0E4696448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213</TotalTime>
  <Pages>14</Pages>
  <Words>1162</Words>
  <Characters>6626</Characters>
  <Application>Microsoft Office Word</Application>
  <DocSecurity>0</DocSecurity>
  <Lines>55</Lines>
  <Paragraphs>15</Paragraphs>
  <ScaleCrop>false</ScaleCrop>
  <Company>TRT. Ltd. Co.</Company>
  <LinksUpToDate>false</LinksUpToDate>
  <CharactersWithSpaces>7773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祝妍</cp:lastModifiedBy>
  <cp:revision>372</cp:revision>
  <cp:lastPrinted>2007-07-19T00:46:00Z</cp:lastPrinted>
  <dcterms:created xsi:type="dcterms:W3CDTF">2014-01-17T06:19:00Z</dcterms:created>
  <dcterms:modified xsi:type="dcterms:W3CDTF">2018-01-16T07:13:00Z</dcterms:modified>
</cp:coreProperties>
</file>