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交银施罗德裕通纯债债券型证券投资基金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兴业银行股份有限公司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二〇一八年一月二十二日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FD1E29" w:rsidRDefault="00E55912">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FD1E29" w:rsidRDefault="00E55912">
      <w:pPr>
        <w:spacing w:before="29" w:line="288" w:lineRule="auto"/>
        <w:ind w:firstLineChars="200" w:firstLine="480"/>
        <w:rPr>
          <w:rFonts w:eastAsiaTheme="minorEastAsia"/>
          <w:color w:val="000000"/>
          <w:sz w:val="24"/>
        </w:rPr>
      </w:pPr>
      <w:r>
        <w:rPr>
          <w:rFonts w:eastAsiaTheme="minorEastAsia"/>
          <w:color w:val="000000"/>
          <w:sz w:val="24"/>
        </w:rPr>
        <w:t>基金托管人兴业银行股份有限公司根据本基金合同规定，于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FD1E29" w:rsidRDefault="00E55912">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FD1E29" w:rsidRDefault="00E55912">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FD1E29" w:rsidRDefault="00E55912">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交银裕通纯债债券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29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1,196,290,344.13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在严格控制风险的基础上，通过积极主动的投资管理，追求基金资产的长期稳健增值，力争实现超越业绩比较基准的投资回报。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w:t>
            </w:r>
            <w:r w:rsidRPr="007F52FA">
              <w:rPr>
                <w:color w:val="000000"/>
                <w:kern w:val="0"/>
                <w:sz w:val="24"/>
              </w:rPr>
              <w:lastRenderedPageBreak/>
              <w:t>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交银裕通纯债债券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交银裕通纯债债券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519762</w:t>
            </w:r>
          </w:p>
        </w:tc>
        <w:tc>
          <w:tcPr>
            <w:tcW w:w="3048" w:type="dxa"/>
            <w:vAlign w:val="center"/>
          </w:tcPr>
          <w:p w:rsidR="00C23B30" w:rsidRPr="000E4C40" w:rsidRDefault="00C23B30" w:rsidP="00A52A9E">
            <w:pPr>
              <w:spacing w:before="29" w:line="288" w:lineRule="auto"/>
              <w:jc w:val="left"/>
              <w:rPr>
                <w:sz w:val="24"/>
              </w:rPr>
            </w:pPr>
            <w:r w:rsidRPr="000E4C40">
              <w:rPr>
                <w:sz w:val="24"/>
              </w:rPr>
              <w:t>519763</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1,195,845,546.58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444,797.55</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交银裕通纯债债券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交银裕通纯债债券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11,505,875.00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3,806.77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4,697,058.03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1,290.40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0.0039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0.0029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1,204,788,019.95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444,435.21</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1.007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0.999</w:t>
            </w:r>
          </w:p>
        </w:tc>
      </w:tr>
    </w:tbl>
    <w:p w:rsidR="00FD1E29" w:rsidRDefault="00E5591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交银裕通纯债债券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D1E29">
        <w:trPr>
          <w:jc w:val="center"/>
        </w:trPr>
        <w:tc>
          <w:tcPr>
            <w:tcW w:w="1266" w:type="dxa"/>
            <w:vAlign w:val="center"/>
          </w:tcPr>
          <w:p w:rsidR="00FD1E29" w:rsidRDefault="00E55912">
            <w:pPr>
              <w:jc w:val="left"/>
            </w:pPr>
            <w:r>
              <w:rPr>
                <w:color w:val="000000"/>
                <w:sz w:val="24"/>
              </w:rPr>
              <w:lastRenderedPageBreak/>
              <w:t>过去三个月</w:t>
            </w:r>
          </w:p>
        </w:tc>
        <w:tc>
          <w:tcPr>
            <w:tcW w:w="1267" w:type="dxa"/>
            <w:vAlign w:val="center"/>
          </w:tcPr>
          <w:p w:rsidR="00FD1E29" w:rsidRDefault="00E55912">
            <w:pPr>
              <w:jc w:val="center"/>
            </w:pPr>
            <w:r>
              <w:rPr>
                <w:color w:val="000000"/>
                <w:sz w:val="24"/>
              </w:rPr>
              <w:t>0.30%</w:t>
            </w:r>
          </w:p>
        </w:tc>
        <w:tc>
          <w:tcPr>
            <w:tcW w:w="1267" w:type="dxa"/>
            <w:vAlign w:val="center"/>
          </w:tcPr>
          <w:p w:rsidR="00FD1E29" w:rsidRDefault="00E55912">
            <w:pPr>
              <w:jc w:val="center"/>
            </w:pPr>
            <w:r>
              <w:rPr>
                <w:color w:val="000000"/>
                <w:sz w:val="24"/>
              </w:rPr>
              <w:t>0.03%</w:t>
            </w:r>
          </w:p>
        </w:tc>
        <w:tc>
          <w:tcPr>
            <w:tcW w:w="1267" w:type="dxa"/>
            <w:vAlign w:val="center"/>
          </w:tcPr>
          <w:p w:rsidR="00FD1E29" w:rsidRDefault="00E55912">
            <w:pPr>
              <w:jc w:val="center"/>
            </w:pPr>
            <w:r>
              <w:rPr>
                <w:color w:val="000000"/>
                <w:sz w:val="24"/>
              </w:rPr>
              <w:t>-1.15%</w:t>
            </w:r>
          </w:p>
        </w:tc>
        <w:tc>
          <w:tcPr>
            <w:tcW w:w="1267" w:type="dxa"/>
            <w:vAlign w:val="center"/>
          </w:tcPr>
          <w:p w:rsidR="00FD1E29" w:rsidRDefault="00E55912">
            <w:pPr>
              <w:jc w:val="center"/>
            </w:pPr>
            <w:r>
              <w:rPr>
                <w:color w:val="000000"/>
                <w:sz w:val="24"/>
              </w:rPr>
              <w:t>0.06%</w:t>
            </w:r>
          </w:p>
        </w:tc>
        <w:tc>
          <w:tcPr>
            <w:tcW w:w="1267" w:type="dxa"/>
            <w:vAlign w:val="center"/>
          </w:tcPr>
          <w:p w:rsidR="00FD1E29" w:rsidRDefault="00E55912">
            <w:pPr>
              <w:jc w:val="center"/>
            </w:pPr>
            <w:r>
              <w:rPr>
                <w:color w:val="000000"/>
                <w:sz w:val="24"/>
              </w:rPr>
              <w:t>1.45%</w:t>
            </w:r>
          </w:p>
        </w:tc>
        <w:tc>
          <w:tcPr>
            <w:tcW w:w="1267" w:type="dxa"/>
            <w:vAlign w:val="center"/>
          </w:tcPr>
          <w:p w:rsidR="00FD1E29" w:rsidRDefault="00E55912">
            <w:pPr>
              <w:jc w:val="center"/>
            </w:pPr>
            <w:r>
              <w:rPr>
                <w:color w:val="000000"/>
                <w:sz w:val="24"/>
              </w:rPr>
              <w:t>-0.03%</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交银裕通纯债债券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D1E29">
        <w:trPr>
          <w:jc w:val="center"/>
        </w:trPr>
        <w:tc>
          <w:tcPr>
            <w:tcW w:w="1266" w:type="dxa"/>
            <w:vAlign w:val="center"/>
          </w:tcPr>
          <w:p w:rsidR="00FD1E29" w:rsidRDefault="00E55912">
            <w:pPr>
              <w:jc w:val="left"/>
            </w:pPr>
            <w:r>
              <w:rPr>
                <w:color w:val="000000"/>
                <w:sz w:val="24"/>
              </w:rPr>
              <w:t>过去三个月</w:t>
            </w:r>
          </w:p>
        </w:tc>
        <w:tc>
          <w:tcPr>
            <w:tcW w:w="1267" w:type="dxa"/>
            <w:vAlign w:val="center"/>
          </w:tcPr>
          <w:p w:rsidR="00FD1E29" w:rsidRDefault="00E55912">
            <w:pPr>
              <w:jc w:val="center"/>
            </w:pPr>
            <w:r>
              <w:rPr>
                <w:color w:val="000000"/>
                <w:sz w:val="24"/>
              </w:rPr>
              <w:t>0.30%</w:t>
            </w:r>
          </w:p>
        </w:tc>
        <w:tc>
          <w:tcPr>
            <w:tcW w:w="1267" w:type="dxa"/>
            <w:vAlign w:val="center"/>
          </w:tcPr>
          <w:p w:rsidR="00FD1E29" w:rsidRDefault="00E55912">
            <w:pPr>
              <w:jc w:val="center"/>
            </w:pPr>
            <w:r>
              <w:rPr>
                <w:color w:val="000000"/>
                <w:sz w:val="24"/>
              </w:rPr>
              <w:t>0.04%</w:t>
            </w:r>
          </w:p>
        </w:tc>
        <w:tc>
          <w:tcPr>
            <w:tcW w:w="1267" w:type="dxa"/>
            <w:vAlign w:val="center"/>
          </w:tcPr>
          <w:p w:rsidR="00FD1E29" w:rsidRDefault="00E55912">
            <w:pPr>
              <w:jc w:val="center"/>
            </w:pPr>
            <w:r>
              <w:rPr>
                <w:color w:val="000000"/>
                <w:sz w:val="24"/>
              </w:rPr>
              <w:t>-1.15%</w:t>
            </w:r>
          </w:p>
        </w:tc>
        <w:tc>
          <w:tcPr>
            <w:tcW w:w="1267" w:type="dxa"/>
            <w:vAlign w:val="center"/>
          </w:tcPr>
          <w:p w:rsidR="00FD1E29" w:rsidRDefault="00E55912">
            <w:pPr>
              <w:jc w:val="center"/>
            </w:pPr>
            <w:r>
              <w:rPr>
                <w:color w:val="000000"/>
                <w:sz w:val="24"/>
              </w:rPr>
              <w:t>0.06%</w:t>
            </w:r>
          </w:p>
        </w:tc>
        <w:tc>
          <w:tcPr>
            <w:tcW w:w="1267" w:type="dxa"/>
            <w:vAlign w:val="center"/>
          </w:tcPr>
          <w:p w:rsidR="00FD1E29" w:rsidRDefault="00E55912">
            <w:pPr>
              <w:jc w:val="center"/>
            </w:pPr>
            <w:r>
              <w:rPr>
                <w:color w:val="000000"/>
                <w:sz w:val="24"/>
              </w:rPr>
              <w:t>1.45%</w:t>
            </w:r>
          </w:p>
        </w:tc>
        <w:tc>
          <w:tcPr>
            <w:tcW w:w="1267" w:type="dxa"/>
            <w:vAlign w:val="center"/>
          </w:tcPr>
          <w:p w:rsidR="00FD1E29" w:rsidRDefault="00E55912">
            <w:pPr>
              <w:jc w:val="center"/>
            </w:pPr>
            <w:r>
              <w:rPr>
                <w:color w:val="000000"/>
                <w:sz w:val="24"/>
              </w:rPr>
              <w:t>-0.02%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交银施罗德裕通纯债债券型证券投资基金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29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交银裕通纯债债券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交银裕通纯债债券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FD1E29">
        <w:trPr>
          <w:jc w:val="center"/>
        </w:trPr>
        <w:tc>
          <w:tcPr>
            <w:tcW w:w="946" w:type="dxa"/>
            <w:vAlign w:val="center"/>
          </w:tcPr>
          <w:p w:rsidR="00FD1E29" w:rsidRDefault="00E55912">
            <w:pPr>
              <w:jc w:val="center"/>
            </w:pPr>
            <w:r>
              <w:rPr>
                <w:color w:val="000000"/>
                <w:sz w:val="24"/>
              </w:rPr>
              <w:t>黄莹洁</w:t>
            </w:r>
          </w:p>
        </w:tc>
        <w:tc>
          <w:tcPr>
            <w:tcW w:w="924" w:type="dxa"/>
            <w:vAlign w:val="center"/>
          </w:tcPr>
          <w:p w:rsidR="00FD1E29" w:rsidRDefault="00E55912">
            <w:pPr>
              <w:jc w:val="center"/>
            </w:pPr>
            <w:r>
              <w:rPr>
                <w:color w:val="000000"/>
                <w:sz w:val="24"/>
              </w:rPr>
              <w:t>交银货币、交银理财</w:t>
            </w:r>
            <w:r>
              <w:rPr>
                <w:color w:val="000000"/>
                <w:sz w:val="24"/>
              </w:rPr>
              <w:t>21</w:t>
            </w:r>
            <w:r>
              <w:rPr>
                <w:color w:val="000000"/>
                <w:sz w:val="24"/>
              </w:rPr>
              <w:t>天债券、交银现金宝货币、交银丰</w:t>
            </w:r>
            <w:r>
              <w:rPr>
                <w:color w:val="000000"/>
                <w:sz w:val="24"/>
              </w:rPr>
              <w:lastRenderedPageBreak/>
              <w:t>享收益债券、交银丰泽收益债券、交银裕通纯债债券、交银活期通货币、交银天利宝货币、交银裕隆纯债债券、交银天鑫宝货币、交银天益宝货币、交银境尚收益债券的基金经理</w:t>
            </w:r>
          </w:p>
        </w:tc>
        <w:tc>
          <w:tcPr>
            <w:tcW w:w="1202" w:type="dxa"/>
            <w:vAlign w:val="center"/>
          </w:tcPr>
          <w:p w:rsidR="00FD1E29" w:rsidRDefault="00E55912">
            <w:pPr>
              <w:jc w:val="center"/>
            </w:pPr>
            <w:r>
              <w:rPr>
                <w:color w:val="000000"/>
                <w:sz w:val="24"/>
              </w:rPr>
              <w:lastRenderedPageBreak/>
              <w:t>2015-12-29</w:t>
            </w:r>
          </w:p>
        </w:tc>
        <w:tc>
          <w:tcPr>
            <w:tcW w:w="1300" w:type="dxa"/>
            <w:vAlign w:val="center"/>
          </w:tcPr>
          <w:p w:rsidR="00FD1E29" w:rsidRDefault="00E55912">
            <w:pPr>
              <w:jc w:val="center"/>
            </w:pPr>
            <w:r>
              <w:rPr>
                <w:color w:val="000000"/>
                <w:sz w:val="24"/>
              </w:rPr>
              <w:t>-</w:t>
            </w:r>
          </w:p>
        </w:tc>
        <w:tc>
          <w:tcPr>
            <w:tcW w:w="1245" w:type="dxa"/>
            <w:vAlign w:val="center"/>
          </w:tcPr>
          <w:p w:rsidR="00FD1E29" w:rsidRDefault="00E55912">
            <w:pPr>
              <w:jc w:val="center"/>
            </w:pPr>
            <w:r>
              <w:rPr>
                <w:color w:val="000000"/>
                <w:sz w:val="24"/>
              </w:rPr>
              <w:t>9</w:t>
            </w:r>
            <w:r>
              <w:rPr>
                <w:color w:val="000000"/>
                <w:sz w:val="24"/>
              </w:rPr>
              <w:t>年</w:t>
            </w:r>
          </w:p>
        </w:tc>
        <w:tc>
          <w:tcPr>
            <w:tcW w:w="3251" w:type="dxa"/>
            <w:vAlign w:val="center"/>
          </w:tcPr>
          <w:p w:rsidR="00FD1E29" w:rsidRDefault="00E55912">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r w:rsidR="00FD1E29">
        <w:trPr>
          <w:jc w:val="center"/>
        </w:trPr>
        <w:tc>
          <w:tcPr>
            <w:tcW w:w="946" w:type="dxa"/>
            <w:vAlign w:val="center"/>
          </w:tcPr>
          <w:p w:rsidR="00FD1E29" w:rsidRDefault="00E55912">
            <w:pPr>
              <w:jc w:val="center"/>
            </w:pPr>
            <w:r>
              <w:rPr>
                <w:color w:val="000000"/>
                <w:sz w:val="24"/>
              </w:rPr>
              <w:t>唐赟</w:t>
            </w:r>
          </w:p>
        </w:tc>
        <w:tc>
          <w:tcPr>
            <w:tcW w:w="924" w:type="dxa"/>
            <w:vAlign w:val="center"/>
          </w:tcPr>
          <w:p w:rsidR="00FD1E29" w:rsidRDefault="00E55912">
            <w:pPr>
              <w:jc w:val="center"/>
            </w:pPr>
            <w:r>
              <w:rPr>
                <w:color w:val="000000"/>
                <w:sz w:val="24"/>
              </w:rPr>
              <w:t>交银信用添利债券</w:t>
            </w:r>
            <w:r>
              <w:rPr>
                <w:color w:val="000000"/>
                <w:sz w:val="24"/>
              </w:rPr>
              <w:t>(LOF)</w:t>
            </w:r>
            <w:r>
              <w:rPr>
                <w:color w:val="000000"/>
                <w:sz w:val="24"/>
              </w:rPr>
              <w:t>、交银双利债券、</w:t>
            </w:r>
            <w:r>
              <w:rPr>
                <w:color w:val="000000"/>
                <w:sz w:val="24"/>
              </w:rPr>
              <w:lastRenderedPageBreak/>
              <w:t>交银双轮动债券、交银荣和保本混合、交银裕通纯债债券的基金经理</w:t>
            </w:r>
          </w:p>
        </w:tc>
        <w:tc>
          <w:tcPr>
            <w:tcW w:w="1202" w:type="dxa"/>
            <w:vAlign w:val="center"/>
          </w:tcPr>
          <w:p w:rsidR="00FD1E29" w:rsidRDefault="00E55912">
            <w:pPr>
              <w:jc w:val="center"/>
            </w:pPr>
            <w:r>
              <w:rPr>
                <w:color w:val="000000"/>
                <w:sz w:val="24"/>
              </w:rPr>
              <w:lastRenderedPageBreak/>
              <w:t>2017-03-31</w:t>
            </w:r>
          </w:p>
        </w:tc>
        <w:tc>
          <w:tcPr>
            <w:tcW w:w="1300" w:type="dxa"/>
            <w:vAlign w:val="center"/>
          </w:tcPr>
          <w:p w:rsidR="00FD1E29" w:rsidRDefault="00E55912">
            <w:pPr>
              <w:jc w:val="center"/>
            </w:pPr>
            <w:r>
              <w:rPr>
                <w:color w:val="000000"/>
                <w:sz w:val="24"/>
              </w:rPr>
              <w:t>-</w:t>
            </w:r>
          </w:p>
        </w:tc>
        <w:tc>
          <w:tcPr>
            <w:tcW w:w="1245" w:type="dxa"/>
            <w:vAlign w:val="center"/>
          </w:tcPr>
          <w:p w:rsidR="00FD1E29" w:rsidRDefault="00E55912">
            <w:pPr>
              <w:jc w:val="center"/>
            </w:pPr>
            <w:r>
              <w:rPr>
                <w:color w:val="000000"/>
                <w:sz w:val="24"/>
              </w:rPr>
              <w:t>5</w:t>
            </w:r>
            <w:r>
              <w:rPr>
                <w:color w:val="000000"/>
                <w:sz w:val="24"/>
              </w:rPr>
              <w:t>年</w:t>
            </w:r>
          </w:p>
        </w:tc>
        <w:tc>
          <w:tcPr>
            <w:tcW w:w="3251" w:type="dxa"/>
            <w:vAlign w:val="center"/>
          </w:tcPr>
          <w:p w:rsidR="00FD1E29" w:rsidRDefault="00E55912">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FD1E29" w:rsidRDefault="00E5591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D1E29" w:rsidRDefault="00E5591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D1E29" w:rsidRDefault="00E5591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w:t>
      </w:r>
      <w:r w:rsidRPr="007F52FA">
        <w:rPr>
          <w:color w:val="000000"/>
          <w:sz w:val="24"/>
        </w:rPr>
        <w:lastRenderedPageBreak/>
        <w:t>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FD1E29" w:rsidRDefault="00E55912">
      <w:pPr>
        <w:spacing w:before="29" w:line="288" w:lineRule="auto"/>
        <w:ind w:firstLineChars="200" w:firstLine="480"/>
        <w:rPr>
          <w:color w:val="000000"/>
          <w:sz w:val="24"/>
        </w:rPr>
      </w:pPr>
      <w:r>
        <w:rPr>
          <w:color w:val="000000"/>
          <w:sz w:val="24"/>
        </w:rPr>
        <w:t>四季度以来债券市场经历了大幅度的调整，债券收益率大幅上行后维持高位震荡。十一长假过后市场对于节前央行公告的定向降准的</w:t>
      </w:r>
      <w:r>
        <w:rPr>
          <w:color w:val="000000"/>
          <w:sz w:val="24"/>
        </w:rPr>
        <w:t>“</w:t>
      </w:r>
      <w:r>
        <w:rPr>
          <w:color w:val="000000"/>
          <w:sz w:val="24"/>
        </w:rPr>
        <w:t>利好</w:t>
      </w:r>
      <w:r>
        <w:rPr>
          <w:color w:val="000000"/>
          <w:sz w:val="24"/>
        </w:rPr>
        <w:t>”</w:t>
      </w:r>
      <w:r>
        <w:rPr>
          <w:color w:val="000000"/>
          <w:sz w:val="24"/>
        </w:rPr>
        <w:t>并无反应，收益率反而小幅上行，市场对于经济增长韧性形成强烈预期，加之资金面紧张、金融数据超预期，美联储人选不确定导致美债收益率走高，国内债券收益率同时持续走高。十月下旬开始，市场趋向谨慎，资管新规征求意见稿发布后，债券收益率冲高到近三年高点。十一月底以来随着十年期国开债停发和基本面数据走弱，债券收益率维持高位震荡。</w:t>
      </w:r>
    </w:p>
    <w:p w:rsidR="00FD1E29" w:rsidRDefault="00E55912">
      <w:pPr>
        <w:spacing w:before="29" w:line="288" w:lineRule="auto"/>
        <w:ind w:firstLineChars="200" w:firstLine="480"/>
        <w:rPr>
          <w:color w:val="000000"/>
          <w:sz w:val="24"/>
        </w:rPr>
      </w:pPr>
      <w:r>
        <w:rPr>
          <w:color w:val="000000"/>
          <w:sz w:val="24"/>
        </w:rPr>
        <w:t>报告期内，基于对债券市场偏悲观的判断，本基金始终维持短融、存单为主的短久期债券底仓组合，在市场收益率大幅上行的过程中获取了稳定的票息收入。</w:t>
      </w:r>
    </w:p>
    <w:p w:rsidR="00FD1E29" w:rsidRDefault="00E55912">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房地产、基建和出口均显出一定的疲态，预计将带动经济增速逐步下行，对债市形成一定支撑，而收益率上行到高位之后具有一定的配置价值。但一季度通胀回升压力加大，监管政策落地的力度和节奏以及金融机构的应对行为不甚明朗，超储率低位及银行流动性监管指标强化将导致资金利率波动加大等负面因素仍然存在，债券收益率或将继续维持高位震荡。</w:t>
      </w:r>
    </w:p>
    <w:p w:rsidR="00952A72" w:rsidRPr="007F52FA" w:rsidRDefault="00323F25" w:rsidP="007C14DF">
      <w:pPr>
        <w:spacing w:before="29" w:line="288" w:lineRule="auto"/>
        <w:ind w:firstLineChars="200" w:firstLine="480"/>
        <w:rPr>
          <w:color w:val="000000"/>
          <w:sz w:val="24"/>
        </w:rPr>
      </w:pPr>
      <w:r w:rsidRPr="007F52FA">
        <w:rPr>
          <w:color w:val="000000"/>
          <w:sz w:val="24"/>
        </w:rPr>
        <w:t>信用债方面，</w:t>
      </w:r>
      <w:r w:rsidRPr="007F52FA">
        <w:rPr>
          <w:color w:val="000000"/>
          <w:sz w:val="24"/>
        </w:rPr>
        <w:t>2017</w:t>
      </w:r>
      <w:r w:rsidRPr="007F52FA">
        <w:rPr>
          <w:color w:val="000000"/>
          <w:sz w:val="24"/>
        </w:rPr>
        <w:t>年以来信用利差有所走阔，信用债投资模式的改变是否会导致信用利差中枢抬高值得关注。此外，低等级信用债利差未能充分反映未来的信用风险，我们将一如既往地规避中低评级信用债，在利率曲线平坦的情况下，或将维持目前的债券偏短的久期配置，并择机谨慎进行利率债的波段操作。</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日，交银裕通纯债</w:t>
      </w:r>
      <w:r w:rsidRPr="007F52FA">
        <w:rPr>
          <w:color w:val="000000"/>
          <w:sz w:val="24"/>
        </w:rPr>
        <w:t>A</w:t>
      </w:r>
      <w:r w:rsidRPr="007F52FA">
        <w:rPr>
          <w:color w:val="000000"/>
          <w:sz w:val="24"/>
        </w:rPr>
        <w:t>份额净值为</w:t>
      </w:r>
      <w:r w:rsidRPr="007F52FA">
        <w:rPr>
          <w:color w:val="000000"/>
          <w:sz w:val="24"/>
        </w:rPr>
        <w:t>1.007</w:t>
      </w:r>
      <w:r w:rsidRPr="007F52FA">
        <w:rPr>
          <w:color w:val="000000"/>
          <w:sz w:val="24"/>
        </w:rPr>
        <w:t>元，本报告期份额净值增长率为</w:t>
      </w:r>
      <w:r w:rsidRPr="007F52FA">
        <w:rPr>
          <w:color w:val="000000"/>
          <w:sz w:val="24"/>
        </w:rPr>
        <w:t>0.30%</w:t>
      </w:r>
      <w:r w:rsidRPr="007F52FA">
        <w:rPr>
          <w:color w:val="000000"/>
          <w:sz w:val="24"/>
        </w:rPr>
        <w:t>，同期业绩比较基准增长率为</w:t>
      </w:r>
      <w:r w:rsidRPr="007F52FA">
        <w:rPr>
          <w:color w:val="000000"/>
          <w:sz w:val="24"/>
        </w:rPr>
        <w:t>-1.15%</w:t>
      </w:r>
      <w:r w:rsidRPr="007F52FA">
        <w:rPr>
          <w:color w:val="000000"/>
          <w:sz w:val="24"/>
        </w:rPr>
        <w:t>；交银裕通纯债</w:t>
      </w:r>
      <w:r w:rsidRPr="007F52FA">
        <w:rPr>
          <w:color w:val="000000"/>
          <w:sz w:val="24"/>
        </w:rPr>
        <w:t>C</w:t>
      </w:r>
      <w:r w:rsidRPr="007F52FA">
        <w:rPr>
          <w:color w:val="000000"/>
          <w:sz w:val="24"/>
        </w:rPr>
        <w:t>份额净值为</w:t>
      </w:r>
      <w:r w:rsidRPr="007F52FA">
        <w:rPr>
          <w:color w:val="000000"/>
          <w:sz w:val="24"/>
        </w:rPr>
        <w:t>0.999</w:t>
      </w:r>
      <w:r w:rsidRPr="007F52FA">
        <w:rPr>
          <w:color w:val="000000"/>
          <w:sz w:val="24"/>
        </w:rPr>
        <w:t>元，本报告期份额净值增长率为</w:t>
      </w:r>
      <w:r w:rsidR="00E55912">
        <w:rPr>
          <w:color w:val="000000"/>
          <w:sz w:val="24"/>
        </w:rPr>
        <w:t>0.30</w:t>
      </w:r>
      <w:r w:rsidRPr="007F52FA">
        <w:rPr>
          <w:color w:val="000000"/>
          <w:sz w:val="24"/>
        </w:rPr>
        <w:t>%</w:t>
      </w:r>
      <w:r w:rsidRPr="007F52FA">
        <w:rPr>
          <w:color w:val="000000"/>
          <w:sz w:val="24"/>
        </w:rPr>
        <w:t>，同期业绩比较基准增长率为</w:t>
      </w:r>
      <w:r w:rsidRPr="007F52FA">
        <w:rPr>
          <w:color w:val="000000"/>
          <w:sz w:val="24"/>
        </w:rPr>
        <w:t>-1.15%</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本基金本报告期内曾连续二十个工作日以上出现基金份额持有人数量不满</w:t>
      </w:r>
      <w:r w:rsidRPr="002070B4">
        <w:rPr>
          <w:color w:val="000000"/>
          <w:sz w:val="24"/>
        </w:rPr>
        <w:t>200</w:t>
      </w:r>
      <w:r w:rsidRPr="002070B4">
        <w:rPr>
          <w:color w:val="000000"/>
          <w:sz w:val="24"/>
        </w:rPr>
        <w:t>人的情形，但截至本报告期末，本基金基金份额持有人数量已高于</w:t>
      </w:r>
      <w:r w:rsidRPr="002070B4">
        <w:rPr>
          <w:color w:val="000000"/>
          <w:sz w:val="24"/>
        </w:rPr>
        <w:t>200</w:t>
      </w:r>
      <w:r w:rsidRPr="002070B4">
        <w:rPr>
          <w:color w:val="000000"/>
          <w:sz w:val="24"/>
        </w:rPr>
        <w:t>人。</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lastRenderedPageBreak/>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1,391,134,692.00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97.71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1,391,134,692.00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97.71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4,089,171.09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0.29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28,527,330.01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2.00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1,423,751,193.10</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60,985,800.00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60,985,800.00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190,016,892.00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15.77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531,051,000.00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44.06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427,140,000.00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35.44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181,941,000.00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15.10</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1,391,134,692.00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115.42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FD1E29">
        <w:trPr>
          <w:jc w:val="center"/>
        </w:trPr>
        <w:tc>
          <w:tcPr>
            <w:tcW w:w="1075" w:type="dxa"/>
            <w:vAlign w:val="center"/>
          </w:tcPr>
          <w:p w:rsidR="00FD1E29" w:rsidRDefault="00E55912">
            <w:pPr>
              <w:jc w:val="center"/>
            </w:pPr>
            <w:r>
              <w:rPr>
                <w:color w:val="000000"/>
                <w:sz w:val="24"/>
              </w:rPr>
              <w:t>1</w:t>
            </w:r>
          </w:p>
        </w:tc>
        <w:tc>
          <w:tcPr>
            <w:tcW w:w="1533" w:type="dxa"/>
            <w:vAlign w:val="center"/>
          </w:tcPr>
          <w:p w:rsidR="00FD1E29" w:rsidRDefault="00E55912">
            <w:pPr>
              <w:jc w:val="center"/>
            </w:pPr>
            <w:r>
              <w:rPr>
                <w:color w:val="000000"/>
                <w:sz w:val="24"/>
              </w:rPr>
              <w:t>1182277</w:t>
            </w:r>
          </w:p>
        </w:tc>
        <w:tc>
          <w:tcPr>
            <w:tcW w:w="1533" w:type="dxa"/>
            <w:vAlign w:val="center"/>
          </w:tcPr>
          <w:p w:rsidR="00FD1E29" w:rsidRDefault="00E55912">
            <w:pPr>
              <w:jc w:val="center"/>
            </w:pPr>
            <w:r>
              <w:rPr>
                <w:color w:val="000000"/>
                <w:sz w:val="24"/>
              </w:rPr>
              <w:t>11</w:t>
            </w:r>
            <w:r>
              <w:rPr>
                <w:color w:val="000000"/>
                <w:sz w:val="24"/>
              </w:rPr>
              <w:t>中铁建</w:t>
            </w:r>
            <w:r>
              <w:rPr>
                <w:color w:val="000000"/>
                <w:sz w:val="24"/>
              </w:rPr>
              <w:t>MTN1</w:t>
            </w:r>
          </w:p>
        </w:tc>
        <w:tc>
          <w:tcPr>
            <w:tcW w:w="1394" w:type="dxa"/>
            <w:vAlign w:val="center"/>
          </w:tcPr>
          <w:p w:rsidR="00FD1E29" w:rsidRDefault="00E55912">
            <w:pPr>
              <w:jc w:val="right"/>
            </w:pPr>
            <w:r>
              <w:rPr>
                <w:color w:val="000000"/>
                <w:sz w:val="24"/>
              </w:rPr>
              <w:t>600,000</w:t>
            </w:r>
          </w:p>
        </w:tc>
        <w:tc>
          <w:tcPr>
            <w:tcW w:w="1944" w:type="dxa"/>
            <w:vAlign w:val="center"/>
          </w:tcPr>
          <w:p w:rsidR="00FD1E29" w:rsidRDefault="00E55912">
            <w:pPr>
              <w:jc w:val="right"/>
            </w:pPr>
            <w:r>
              <w:rPr>
                <w:color w:val="000000"/>
                <w:sz w:val="24"/>
              </w:rPr>
              <w:t>60,528,000.00</w:t>
            </w:r>
          </w:p>
        </w:tc>
        <w:tc>
          <w:tcPr>
            <w:tcW w:w="1389" w:type="dxa"/>
            <w:vAlign w:val="center"/>
          </w:tcPr>
          <w:p w:rsidR="00FD1E29" w:rsidRDefault="00E55912">
            <w:pPr>
              <w:jc w:val="right"/>
            </w:pPr>
            <w:r>
              <w:rPr>
                <w:color w:val="000000"/>
                <w:sz w:val="24"/>
              </w:rPr>
              <w:t>5.02</w:t>
            </w:r>
          </w:p>
        </w:tc>
      </w:tr>
      <w:tr w:rsidR="00FD1E29">
        <w:trPr>
          <w:jc w:val="center"/>
        </w:trPr>
        <w:tc>
          <w:tcPr>
            <w:tcW w:w="1075" w:type="dxa"/>
            <w:vAlign w:val="center"/>
          </w:tcPr>
          <w:p w:rsidR="00FD1E29" w:rsidRDefault="00E55912">
            <w:pPr>
              <w:jc w:val="center"/>
            </w:pPr>
            <w:r>
              <w:rPr>
                <w:color w:val="000000"/>
                <w:sz w:val="24"/>
              </w:rPr>
              <w:t>2</w:t>
            </w:r>
          </w:p>
        </w:tc>
        <w:tc>
          <w:tcPr>
            <w:tcW w:w="1533" w:type="dxa"/>
            <w:vAlign w:val="center"/>
          </w:tcPr>
          <w:p w:rsidR="00FD1E29" w:rsidRDefault="00E55912">
            <w:pPr>
              <w:jc w:val="center"/>
            </w:pPr>
            <w:r>
              <w:rPr>
                <w:color w:val="000000"/>
                <w:sz w:val="24"/>
              </w:rPr>
              <w:t>041763005</w:t>
            </w:r>
          </w:p>
        </w:tc>
        <w:tc>
          <w:tcPr>
            <w:tcW w:w="1533" w:type="dxa"/>
            <w:vAlign w:val="center"/>
          </w:tcPr>
          <w:p w:rsidR="00FD1E29" w:rsidRDefault="00E55912">
            <w:pPr>
              <w:jc w:val="center"/>
            </w:pPr>
            <w:r>
              <w:rPr>
                <w:color w:val="000000"/>
                <w:sz w:val="24"/>
              </w:rPr>
              <w:t>17</w:t>
            </w:r>
            <w:r>
              <w:rPr>
                <w:color w:val="000000"/>
                <w:sz w:val="24"/>
              </w:rPr>
              <w:t>湖北科投</w:t>
            </w:r>
            <w:r>
              <w:rPr>
                <w:color w:val="000000"/>
                <w:sz w:val="24"/>
              </w:rPr>
              <w:t>CP001</w:t>
            </w:r>
          </w:p>
        </w:tc>
        <w:tc>
          <w:tcPr>
            <w:tcW w:w="1394" w:type="dxa"/>
            <w:vAlign w:val="center"/>
          </w:tcPr>
          <w:p w:rsidR="00FD1E29" w:rsidRDefault="00E55912">
            <w:pPr>
              <w:jc w:val="right"/>
            </w:pPr>
            <w:r>
              <w:rPr>
                <w:color w:val="000000"/>
                <w:sz w:val="24"/>
              </w:rPr>
              <w:t>600,000</w:t>
            </w:r>
          </w:p>
        </w:tc>
        <w:tc>
          <w:tcPr>
            <w:tcW w:w="1944" w:type="dxa"/>
            <w:vAlign w:val="center"/>
          </w:tcPr>
          <w:p w:rsidR="00FD1E29" w:rsidRDefault="00E55912">
            <w:pPr>
              <w:jc w:val="right"/>
            </w:pPr>
            <w:r>
              <w:rPr>
                <w:color w:val="000000"/>
                <w:sz w:val="24"/>
              </w:rPr>
              <w:t>60,180,000.00</w:t>
            </w:r>
          </w:p>
        </w:tc>
        <w:tc>
          <w:tcPr>
            <w:tcW w:w="1389" w:type="dxa"/>
            <w:vAlign w:val="center"/>
          </w:tcPr>
          <w:p w:rsidR="00FD1E29" w:rsidRDefault="00E55912">
            <w:pPr>
              <w:jc w:val="right"/>
            </w:pPr>
            <w:r>
              <w:rPr>
                <w:color w:val="000000"/>
                <w:sz w:val="24"/>
              </w:rPr>
              <w:t>4.99</w:t>
            </w:r>
          </w:p>
        </w:tc>
      </w:tr>
      <w:tr w:rsidR="00FD1E29">
        <w:trPr>
          <w:jc w:val="center"/>
        </w:trPr>
        <w:tc>
          <w:tcPr>
            <w:tcW w:w="1075" w:type="dxa"/>
            <w:vAlign w:val="center"/>
          </w:tcPr>
          <w:p w:rsidR="00FD1E29" w:rsidRDefault="00E55912">
            <w:pPr>
              <w:jc w:val="center"/>
            </w:pPr>
            <w:r>
              <w:rPr>
                <w:color w:val="000000"/>
                <w:sz w:val="24"/>
              </w:rPr>
              <w:t>3</w:t>
            </w:r>
          </w:p>
        </w:tc>
        <w:tc>
          <w:tcPr>
            <w:tcW w:w="1533" w:type="dxa"/>
            <w:vAlign w:val="center"/>
          </w:tcPr>
          <w:p w:rsidR="00FD1E29" w:rsidRDefault="00E55912">
            <w:pPr>
              <w:jc w:val="center"/>
            </w:pPr>
            <w:r>
              <w:rPr>
                <w:color w:val="000000"/>
                <w:sz w:val="24"/>
              </w:rPr>
              <w:t>170401</w:t>
            </w:r>
          </w:p>
        </w:tc>
        <w:tc>
          <w:tcPr>
            <w:tcW w:w="1533" w:type="dxa"/>
            <w:vAlign w:val="center"/>
          </w:tcPr>
          <w:p w:rsidR="00FD1E29" w:rsidRDefault="00E55912">
            <w:pPr>
              <w:jc w:val="center"/>
            </w:pPr>
            <w:r>
              <w:rPr>
                <w:color w:val="000000"/>
                <w:sz w:val="24"/>
              </w:rPr>
              <w:t>17</w:t>
            </w:r>
            <w:r>
              <w:rPr>
                <w:color w:val="000000"/>
                <w:sz w:val="24"/>
              </w:rPr>
              <w:t>农发</w:t>
            </w:r>
            <w:r>
              <w:rPr>
                <w:color w:val="000000"/>
                <w:sz w:val="24"/>
              </w:rPr>
              <w:t>01</w:t>
            </w:r>
          </w:p>
        </w:tc>
        <w:tc>
          <w:tcPr>
            <w:tcW w:w="1394" w:type="dxa"/>
            <w:vAlign w:val="center"/>
          </w:tcPr>
          <w:p w:rsidR="00FD1E29" w:rsidRDefault="00E55912">
            <w:pPr>
              <w:jc w:val="right"/>
            </w:pPr>
            <w:r>
              <w:rPr>
                <w:color w:val="000000"/>
                <w:sz w:val="24"/>
              </w:rPr>
              <w:t>600,000</w:t>
            </w:r>
          </w:p>
        </w:tc>
        <w:tc>
          <w:tcPr>
            <w:tcW w:w="1944" w:type="dxa"/>
            <w:vAlign w:val="center"/>
          </w:tcPr>
          <w:p w:rsidR="00FD1E29" w:rsidRDefault="00E55912">
            <w:pPr>
              <w:jc w:val="right"/>
            </w:pPr>
            <w:r>
              <w:rPr>
                <w:color w:val="000000"/>
                <w:sz w:val="24"/>
              </w:rPr>
              <w:t>59,988,000.00</w:t>
            </w:r>
          </w:p>
        </w:tc>
        <w:tc>
          <w:tcPr>
            <w:tcW w:w="1389" w:type="dxa"/>
            <w:vAlign w:val="center"/>
          </w:tcPr>
          <w:p w:rsidR="00FD1E29" w:rsidRDefault="00E55912">
            <w:pPr>
              <w:jc w:val="right"/>
            </w:pPr>
            <w:r>
              <w:rPr>
                <w:color w:val="000000"/>
                <w:sz w:val="24"/>
              </w:rPr>
              <w:t>4.98</w:t>
            </w:r>
          </w:p>
        </w:tc>
      </w:tr>
      <w:tr w:rsidR="00FD1E29">
        <w:trPr>
          <w:jc w:val="center"/>
        </w:trPr>
        <w:tc>
          <w:tcPr>
            <w:tcW w:w="1075" w:type="dxa"/>
            <w:vAlign w:val="center"/>
          </w:tcPr>
          <w:p w:rsidR="00FD1E29" w:rsidRDefault="00E55912">
            <w:pPr>
              <w:jc w:val="center"/>
            </w:pPr>
            <w:r>
              <w:rPr>
                <w:color w:val="000000"/>
                <w:sz w:val="24"/>
              </w:rPr>
              <w:t>4</w:t>
            </w:r>
          </w:p>
        </w:tc>
        <w:tc>
          <w:tcPr>
            <w:tcW w:w="1533" w:type="dxa"/>
            <w:vAlign w:val="center"/>
          </w:tcPr>
          <w:p w:rsidR="00FD1E29" w:rsidRDefault="00E55912">
            <w:pPr>
              <w:jc w:val="center"/>
            </w:pPr>
            <w:r>
              <w:rPr>
                <w:color w:val="000000"/>
                <w:sz w:val="24"/>
              </w:rPr>
              <w:t>011761063</w:t>
            </w:r>
          </w:p>
        </w:tc>
        <w:tc>
          <w:tcPr>
            <w:tcW w:w="1533" w:type="dxa"/>
            <w:vAlign w:val="center"/>
          </w:tcPr>
          <w:p w:rsidR="00FD1E29" w:rsidRDefault="00E55912">
            <w:pPr>
              <w:jc w:val="center"/>
            </w:pPr>
            <w:r>
              <w:rPr>
                <w:color w:val="000000"/>
                <w:sz w:val="24"/>
              </w:rPr>
              <w:t>17</w:t>
            </w:r>
            <w:r>
              <w:rPr>
                <w:color w:val="000000"/>
                <w:sz w:val="24"/>
              </w:rPr>
              <w:t>柯桥国资</w:t>
            </w:r>
            <w:r>
              <w:rPr>
                <w:color w:val="000000"/>
                <w:sz w:val="24"/>
              </w:rPr>
              <w:t>SCP004</w:t>
            </w:r>
          </w:p>
        </w:tc>
        <w:tc>
          <w:tcPr>
            <w:tcW w:w="1394" w:type="dxa"/>
            <w:vAlign w:val="center"/>
          </w:tcPr>
          <w:p w:rsidR="00FD1E29" w:rsidRDefault="00E55912">
            <w:pPr>
              <w:jc w:val="right"/>
            </w:pPr>
            <w:r>
              <w:rPr>
                <w:color w:val="000000"/>
                <w:sz w:val="24"/>
              </w:rPr>
              <w:t>500,000</w:t>
            </w:r>
          </w:p>
        </w:tc>
        <w:tc>
          <w:tcPr>
            <w:tcW w:w="1944" w:type="dxa"/>
            <w:vAlign w:val="center"/>
          </w:tcPr>
          <w:p w:rsidR="00FD1E29" w:rsidRDefault="00E55912">
            <w:pPr>
              <w:jc w:val="right"/>
            </w:pPr>
            <w:r>
              <w:rPr>
                <w:color w:val="000000"/>
                <w:sz w:val="24"/>
              </w:rPr>
              <w:t>50,015,000.00</w:t>
            </w:r>
          </w:p>
        </w:tc>
        <w:tc>
          <w:tcPr>
            <w:tcW w:w="1389" w:type="dxa"/>
            <w:vAlign w:val="center"/>
          </w:tcPr>
          <w:p w:rsidR="00FD1E29" w:rsidRDefault="00E55912">
            <w:pPr>
              <w:jc w:val="right"/>
            </w:pPr>
            <w:r>
              <w:rPr>
                <w:color w:val="000000"/>
                <w:sz w:val="24"/>
              </w:rPr>
              <w:t>4.15</w:t>
            </w:r>
          </w:p>
        </w:tc>
      </w:tr>
      <w:tr w:rsidR="00FD1E29">
        <w:trPr>
          <w:jc w:val="center"/>
        </w:trPr>
        <w:tc>
          <w:tcPr>
            <w:tcW w:w="1075" w:type="dxa"/>
            <w:vAlign w:val="center"/>
          </w:tcPr>
          <w:p w:rsidR="00FD1E29" w:rsidRDefault="00E55912">
            <w:pPr>
              <w:jc w:val="center"/>
            </w:pPr>
            <w:r>
              <w:rPr>
                <w:color w:val="000000"/>
                <w:sz w:val="24"/>
              </w:rPr>
              <w:t>5</w:t>
            </w:r>
          </w:p>
        </w:tc>
        <w:tc>
          <w:tcPr>
            <w:tcW w:w="1533" w:type="dxa"/>
            <w:vAlign w:val="center"/>
          </w:tcPr>
          <w:p w:rsidR="00FD1E29" w:rsidRDefault="00E55912">
            <w:pPr>
              <w:jc w:val="center"/>
            </w:pPr>
            <w:r>
              <w:rPr>
                <w:color w:val="000000"/>
                <w:sz w:val="24"/>
              </w:rPr>
              <w:t>011758104</w:t>
            </w:r>
          </w:p>
        </w:tc>
        <w:tc>
          <w:tcPr>
            <w:tcW w:w="1533" w:type="dxa"/>
            <w:vAlign w:val="center"/>
          </w:tcPr>
          <w:p w:rsidR="00FD1E29" w:rsidRDefault="00E55912">
            <w:pPr>
              <w:jc w:val="center"/>
            </w:pPr>
            <w:r>
              <w:rPr>
                <w:color w:val="000000"/>
                <w:sz w:val="24"/>
              </w:rPr>
              <w:t>17</w:t>
            </w:r>
            <w:r>
              <w:rPr>
                <w:color w:val="000000"/>
                <w:sz w:val="24"/>
              </w:rPr>
              <w:t>中航资本</w:t>
            </w:r>
            <w:r>
              <w:rPr>
                <w:color w:val="000000"/>
                <w:sz w:val="24"/>
              </w:rPr>
              <w:t>SCP003</w:t>
            </w:r>
          </w:p>
        </w:tc>
        <w:tc>
          <w:tcPr>
            <w:tcW w:w="1394" w:type="dxa"/>
            <w:vAlign w:val="center"/>
          </w:tcPr>
          <w:p w:rsidR="00FD1E29" w:rsidRDefault="00E55912">
            <w:pPr>
              <w:jc w:val="right"/>
            </w:pPr>
            <w:r>
              <w:rPr>
                <w:color w:val="000000"/>
                <w:sz w:val="24"/>
              </w:rPr>
              <w:t>500,000</w:t>
            </w:r>
          </w:p>
        </w:tc>
        <w:tc>
          <w:tcPr>
            <w:tcW w:w="1944" w:type="dxa"/>
            <w:vAlign w:val="center"/>
          </w:tcPr>
          <w:p w:rsidR="00FD1E29" w:rsidRDefault="00E55912">
            <w:pPr>
              <w:jc w:val="right"/>
            </w:pPr>
            <w:r>
              <w:rPr>
                <w:color w:val="000000"/>
                <w:sz w:val="24"/>
              </w:rPr>
              <w:t>49,895,000.00</w:t>
            </w:r>
          </w:p>
        </w:tc>
        <w:tc>
          <w:tcPr>
            <w:tcW w:w="1389" w:type="dxa"/>
            <w:vAlign w:val="center"/>
          </w:tcPr>
          <w:p w:rsidR="00FD1E29" w:rsidRDefault="00E55912">
            <w:pPr>
              <w:jc w:val="right"/>
            </w:pPr>
            <w:r>
              <w:rPr>
                <w:color w:val="000000"/>
                <w:sz w:val="24"/>
              </w:rPr>
              <w:t>4.14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lastRenderedPageBreak/>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报告期内本基金投资的前十名证券的发行主体除</w:t>
      </w:r>
      <w:r w:rsidRPr="00384E65">
        <w:rPr>
          <w:kern w:val="0"/>
          <w:sz w:val="24"/>
        </w:rPr>
        <w:t>17</w:t>
      </w:r>
      <w:r w:rsidRPr="00384E65">
        <w:rPr>
          <w:kern w:val="0"/>
          <w:sz w:val="24"/>
        </w:rPr>
        <w:t>中航资本</w:t>
      </w:r>
      <w:r w:rsidRPr="00384E65">
        <w:rPr>
          <w:kern w:val="0"/>
          <w:sz w:val="24"/>
        </w:rPr>
        <w:t>SCP003</w:t>
      </w:r>
      <w:r w:rsidRPr="00384E65">
        <w:rPr>
          <w:kern w:val="0"/>
          <w:sz w:val="24"/>
        </w:rPr>
        <w:t>（证券代码：</w:t>
      </w:r>
      <w:r w:rsidRPr="00384E65">
        <w:rPr>
          <w:kern w:val="0"/>
          <w:sz w:val="24"/>
        </w:rPr>
        <w:t>011758104</w:t>
      </w:r>
      <w:r w:rsidRPr="00384E65">
        <w:rPr>
          <w:kern w:val="0"/>
          <w:sz w:val="24"/>
        </w:rPr>
        <w:t>）外，未出现被监管部门立案调查，或在报告编制日前一年内受到公开谴责、处罚的情形。</w:t>
      </w:r>
    </w:p>
    <w:p w:rsidR="00FD1E29" w:rsidRDefault="00E55912">
      <w:pPr>
        <w:autoSpaceDE w:val="0"/>
        <w:autoSpaceDN w:val="0"/>
        <w:adjustRightInd w:val="0"/>
        <w:spacing w:before="29" w:line="288" w:lineRule="auto"/>
        <w:rPr>
          <w:kern w:val="0"/>
          <w:sz w:val="24"/>
        </w:rPr>
      </w:pPr>
      <w:r>
        <w:rPr>
          <w:kern w:val="0"/>
          <w:sz w:val="24"/>
        </w:rPr>
        <w:t>报告期内本基金投资的前十名证券之一</w:t>
      </w:r>
      <w:r>
        <w:rPr>
          <w:kern w:val="0"/>
          <w:sz w:val="24"/>
        </w:rPr>
        <w:t>17</w:t>
      </w:r>
      <w:r>
        <w:rPr>
          <w:kern w:val="0"/>
          <w:sz w:val="24"/>
        </w:rPr>
        <w:t>中航资本</w:t>
      </w:r>
      <w:r>
        <w:rPr>
          <w:kern w:val="0"/>
          <w:sz w:val="24"/>
        </w:rPr>
        <w:t>SCP003</w:t>
      </w:r>
      <w:r>
        <w:rPr>
          <w:kern w:val="0"/>
          <w:sz w:val="24"/>
        </w:rPr>
        <w:t>（证券代码：</w:t>
      </w:r>
      <w:r>
        <w:rPr>
          <w:kern w:val="0"/>
          <w:sz w:val="24"/>
        </w:rPr>
        <w:t>011758104</w:t>
      </w:r>
      <w:r>
        <w:rPr>
          <w:kern w:val="0"/>
          <w:sz w:val="24"/>
        </w:rPr>
        <w:t>）的发行主体中航资本于</w:t>
      </w:r>
      <w:r>
        <w:rPr>
          <w:kern w:val="0"/>
          <w:sz w:val="24"/>
        </w:rPr>
        <w:t>2017</w:t>
      </w:r>
      <w:r>
        <w:rPr>
          <w:kern w:val="0"/>
          <w:sz w:val="24"/>
        </w:rPr>
        <w:t>年</w:t>
      </w:r>
      <w:r>
        <w:rPr>
          <w:kern w:val="0"/>
          <w:sz w:val="24"/>
        </w:rPr>
        <w:t>12</w:t>
      </w:r>
      <w:r>
        <w:rPr>
          <w:kern w:val="0"/>
          <w:sz w:val="24"/>
        </w:rPr>
        <w:t>月</w:t>
      </w:r>
      <w:r>
        <w:rPr>
          <w:kern w:val="0"/>
          <w:sz w:val="24"/>
        </w:rPr>
        <w:t>13</w:t>
      </w:r>
      <w:r>
        <w:rPr>
          <w:kern w:val="0"/>
          <w:sz w:val="24"/>
        </w:rPr>
        <w:t>日公告，</w:t>
      </w:r>
      <w:r>
        <w:rPr>
          <w:kern w:val="0"/>
          <w:sz w:val="24"/>
        </w:rPr>
        <w:t>2017</w:t>
      </w:r>
      <w:r>
        <w:rPr>
          <w:kern w:val="0"/>
          <w:sz w:val="24"/>
        </w:rPr>
        <w:t>年</w:t>
      </w:r>
      <w:r>
        <w:rPr>
          <w:kern w:val="0"/>
          <w:sz w:val="24"/>
        </w:rPr>
        <w:t>12</w:t>
      </w:r>
      <w:r>
        <w:rPr>
          <w:kern w:val="0"/>
          <w:sz w:val="24"/>
        </w:rPr>
        <w:t>月</w:t>
      </w:r>
      <w:r>
        <w:rPr>
          <w:kern w:val="0"/>
          <w:sz w:val="24"/>
        </w:rPr>
        <w:t>11</w:t>
      </w:r>
      <w:r>
        <w:rPr>
          <w:kern w:val="0"/>
          <w:sz w:val="24"/>
        </w:rPr>
        <w:t>日公司子公司中航财务收到北京银监局的行政处罚决定书（京银监罚决字</w:t>
      </w:r>
      <w:r>
        <w:rPr>
          <w:kern w:val="0"/>
          <w:sz w:val="24"/>
        </w:rPr>
        <w:t>[2017]27</w:t>
      </w:r>
      <w:r>
        <w:rPr>
          <w:kern w:val="0"/>
          <w:sz w:val="24"/>
        </w:rPr>
        <w:t>号），北京银监局决定对中航财务做出如下行政处罚：责令中航财务改正，并给予</w:t>
      </w:r>
      <w:r>
        <w:rPr>
          <w:kern w:val="0"/>
          <w:sz w:val="24"/>
        </w:rPr>
        <w:t>50</w:t>
      </w:r>
      <w:r>
        <w:rPr>
          <w:kern w:val="0"/>
          <w:sz w:val="24"/>
        </w:rPr>
        <w:t>万元罚款的行政处罚。公司于</w:t>
      </w:r>
      <w:r>
        <w:rPr>
          <w:kern w:val="0"/>
          <w:sz w:val="24"/>
        </w:rPr>
        <w:t>2017</w:t>
      </w:r>
      <w:r>
        <w:rPr>
          <w:kern w:val="0"/>
          <w:sz w:val="24"/>
        </w:rPr>
        <w:t>年</w:t>
      </w:r>
      <w:r>
        <w:rPr>
          <w:kern w:val="0"/>
          <w:sz w:val="24"/>
        </w:rPr>
        <w:t>12</w:t>
      </w:r>
      <w:r>
        <w:rPr>
          <w:kern w:val="0"/>
          <w:sz w:val="24"/>
        </w:rPr>
        <w:t>月</w:t>
      </w:r>
      <w:r>
        <w:rPr>
          <w:kern w:val="0"/>
          <w:sz w:val="24"/>
        </w:rPr>
        <w:t>13</w:t>
      </w:r>
      <w:r>
        <w:rPr>
          <w:kern w:val="0"/>
          <w:sz w:val="24"/>
        </w:rPr>
        <w:t>日公告，近日公司控股子公司中航信托收到江西银监局出具的《行政处罚决定书》（赣银监罚决字</w:t>
      </w:r>
      <w:r>
        <w:rPr>
          <w:kern w:val="0"/>
          <w:sz w:val="24"/>
        </w:rPr>
        <w:t>[2017]48</w:t>
      </w:r>
      <w:r>
        <w:rPr>
          <w:kern w:val="0"/>
          <w:sz w:val="24"/>
        </w:rPr>
        <w:t>号），江西银监局决定对中航信托处以</w:t>
      </w:r>
      <w:r>
        <w:rPr>
          <w:kern w:val="0"/>
          <w:sz w:val="24"/>
        </w:rPr>
        <w:t>20</w:t>
      </w:r>
      <w:r>
        <w:rPr>
          <w:kern w:val="0"/>
          <w:sz w:val="24"/>
        </w:rPr>
        <w:t>万元罚款。</w:t>
      </w:r>
    </w:p>
    <w:p w:rsidR="00FD1E29" w:rsidRDefault="00E55912">
      <w:pPr>
        <w:autoSpaceDE w:val="0"/>
        <w:autoSpaceDN w:val="0"/>
        <w:adjustRightInd w:val="0"/>
        <w:spacing w:before="29" w:line="288" w:lineRule="auto"/>
        <w:rPr>
          <w:kern w:val="0"/>
          <w:sz w:val="24"/>
        </w:rPr>
      </w:pPr>
      <w:r>
        <w:rPr>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4,350.36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3,800,000.00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24,722,979.65</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28,527,330.01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交银裕通纯债债券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交银裕通纯债债券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1,198,384,115.07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447,740.38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1,058.19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2,538,568.49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4,001.02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1,195,845,546.58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444,797.55</w:t>
            </w:r>
          </w:p>
        </w:tc>
      </w:tr>
    </w:tbl>
    <w:p w:rsidR="00FD1E29" w:rsidRDefault="00E5591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BE251D">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lastRenderedPageBreak/>
        <w:t xml:space="preserve">§8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FD1E29">
        <w:tc>
          <w:tcPr>
            <w:tcW w:w="992" w:type="dxa"/>
            <w:vMerge w:val="restart"/>
          </w:tcPr>
          <w:p w:rsidR="00FD1E29" w:rsidRDefault="00FD1E29"/>
          <w:p w:rsidR="00FD1E29" w:rsidRDefault="00E55912">
            <w:r>
              <w:rPr>
                <w:rFonts w:ascii="宋体" w:hAnsi="宋体" w:hint="eastAsia"/>
                <w:bCs/>
                <w:color w:val="000000"/>
                <w:kern w:val="0"/>
                <w:szCs w:val="21"/>
              </w:rPr>
              <w:t>机构</w:t>
            </w:r>
          </w:p>
        </w:tc>
        <w:tc>
          <w:tcPr>
            <w:tcW w:w="991" w:type="dxa"/>
            <w:vAlign w:val="center"/>
          </w:tcPr>
          <w:p w:rsidR="00FD1E29" w:rsidRDefault="00E55912">
            <w:pPr>
              <w:jc w:val="center"/>
            </w:pPr>
            <w:r>
              <w:rPr>
                <w:rFonts w:ascii="宋体" w:hAnsi="宋体" w:hint="eastAsia"/>
                <w:color w:val="000000"/>
                <w:kern w:val="0"/>
                <w:szCs w:val="21"/>
              </w:rPr>
              <w:t>1</w:t>
            </w:r>
          </w:p>
        </w:tc>
        <w:tc>
          <w:tcPr>
            <w:tcW w:w="1843" w:type="dxa"/>
            <w:vAlign w:val="center"/>
          </w:tcPr>
          <w:p w:rsidR="00FD1E29" w:rsidRDefault="00E55912">
            <w:pPr>
              <w:jc w:val="center"/>
            </w:pPr>
            <w:r>
              <w:rPr>
                <w:rFonts w:ascii="宋体" w:hAnsi="宋体" w:hint="eastAsia"/>
                <w:color w:val="000000"/>
                <w:kern w:val="0"/>
                <w:szCs w:val="21"/>
              </w:rPr>
              <w:t>2017/10/1-2017/12/31</w:t>
            </w:r>
          </w:p>
        </w:tc>
        <w:tc>
          <w:tcPr>
            <w:tcW w:w="851" w:type="dxa"/>
            <w:vAlign w:val="center"/>
          </w:tcPr>
          <w:p w:rsidR="00FD1E29" w:rsidRDefault="00E55912">
            <w:pPr>
              <w:jc w:val="center"/>
            </w:pPr>
            <w:r>
              <w:rPr>
                <w:rFonts w:ascii="宋体" w:hAnsi="宋体" w:hint="eastAsia"/>
                <w:color w:val="000000"/>
                <w:kern w:val="0"/>
                <w:szCs w:val="21"/>
              </w:rPr>
              <w:t>1,093,550,141.68</w:t>
            </w:r>
          </w:p>
        </w:tc>
        <w:tc>
          <w:tcPr>
            <w:tcW w:w="850" w:type="dxa"/>
            <w:vAlign w:val="center"/>
          </w:tcPr>
          <w:p w:rsidR="00FD1E29" w:rsidRDefault="00E55912">
            <w:pPr>
              <w:jc w:val="center"/>
            </w:pPr>
            <w:r>
              <w:rPr>
                <w:rFonts w:ascii="宋体" w:hAnsi="宋体" w:hint="eastAsia"/>
                <w:color w:val="000000"/>
                <w:kern w:val="0"/>
                <w:szCs w:val="21"/>
              </w:rPr>
              <w:t>-</w:t>
            </w:r>
          </w:p>
        </w:tc>
        <w:tc>
          <w:tcPr>
            <w:tcW w:w="1134" w:type="dxa"/>
            <w:vAlign w:val="center"/>
          </w:tcPr>
          <w:p w:rsidR="00FD1E29" w:rsidRDefault="00E55912">
            <w:pPr>
              <w:jc w:val="center"/>
            </w:pPr>
            <w:r>
              <w:rPr>
                <w:rFonts w:ascii="宋体" w:hAnsi="宋体" w:hint="eastAsia"/>
                <w:color w:val="000000"/>
                <w:kern w:val="0"/>
                <w:szCs w:val="21"/>
              </w:rPr>
              <w:t>-</w:t>
            </w:r>
          </w:p>
        </w:tc>
        <w:tc>
          <w:tcPr>
            <w:tcW w:w="1419" w:type="dxa"/>
            <w:vAlign w:val="center"/>
          </w:tcPr>
          <w:p w:rsidR="00FD1E29" w:rsidRDefault="00E55912">
            <w:pPr>
              <w:jc w:val="center"/>
            </w:pPr>
            <w:r>
              <w:rPr>
                <w:rFonts w:ascii="宋体" w:hAnsi="宋体" w:hint="eastAsia"/>
                <w:color w:val="000000"/>
                <w:kern w:val="0"/>
                <w:szCs w:val="21"/>
              </w:rPr>
              <w:t>1,093,550,141.68</w:t>
            </w:r>
          </w:p>
        </w:tc>
        <w:tc>
          <w:tcPr>
            <w:tcW w:w="1130" w:type="dxa"/>
            <w:vAlign w:val="center"/>
          </w:tcPr>
          <w:p w:rsidR="00FD1E29" w:rsidRDefault="00E55912">
            <w:pPr>
              <w:jc w:val="center"/>
            </w:pPr>
            <w:r>
              <w:rPr>
                <w:rFonts w:ascii="宋体" w:hAnsi="宋体" w:hint="eastAsia"/>
                <w:color w:val="000000"/>
                <w:kern w:val="0"/>
                <w:szCs w:val="21"/>
              </w:rPr>
              <w:t>91.41%</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FD1E29" w:rsidRDefault="00E55912">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、中国证监会准予交银施罗德裕通纯债债券型证券投资基金募集注册的文件；</w:t>
      </w:r>
      <w:r>
        <w:rPr>
          <w:rFonts w:eastAsiaTheme="minorEastAsia"/>
          <w:color w:val="000000"/>
          <w:sz w:val="24"/>
        </w:rPr>
        <w:t xml:space="preserve"> </w:t>
      </w:r>
    </w:p>
    <w:p w:rsidR="00FD1E29" w:rsidRDefault="00E55912">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、《交银施罗德裕通纯债债券型证券投资基金基金合同》；</w:t>
      </w:r>
    </w:p>
    <w:p w:rsidR="00FD1E29" w:rsidRDefault="00E55912">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、《交银施罗德裕通纯债债券型证券投资基金招募说明书》；</w:t>
      </w:r>
      <w:r>
        <w:rPr>
          <w:rFonts w:eastAsiaTheme="minorEastAsia"/>
          <w:color w:val="000000"/>
          <w:sz w:val="24"/>
        </w:rPr>
        <w:t xml:space="preserve"> </w:t>
      </w:r>
    </w:p>
    <w:p w:rsidR="00FD1E29" w:rsidRDefault="00E55912">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、《交银施罗德裕通纯债债券型证券投资基金托管协议》；</w:t>
      </w:r>
      <w:r>
        <w:rPr>
          <w:rFonts w:eastAsiaTheme="minorEastAsia"/>
          <w:color w:val="000000"/>
          <w:sz w:val="24"/>
        </w:rPr>
        <w:t xml:space="preserve"> </w:t>
      </w:r>
    </w:p>
    <w:p w:rsidR="00FD1E29" w:rsidRDefault="00E55912">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FD1E29" w:rsidRDefault="00E55912">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FD1E29" w:rsidRDefault="00E55912">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、关于申请募集注册交银施罗德裕通纯债债券型证券投资基金的法律意见书；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、报告期内交银施罗德裕通纯债债券型证券投资基金在指定报刊上各项公告的原稿。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FD1E29" w:rsidRDefault="00E55912">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lastRenderedPageBreak/>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64A" w:rsidRDefault="00AC764A">
      <w:r>
        <w:separator/>
      </w:r>
    </w:p>
  </w:endnote>
  <w:endnote w:type="continuationSeparator" w:id="0">
    <w:p w:rsidR="00AC764A" w:rsidRDefault="00AC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20442D">
      <w:rPr>
        <w:noProof/>
        <w:kern w:val="0"/>
        <w:szCs w:val="21"/>
      </w:rPr>
      <w:t>1</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20442D">
      <w:rPr>
        <w:noProof/>
        <w:kern w:val="0"/>
        <w:szCs w:val="21"/>
      </w:rPr>
      <w:t>14</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64A" w:rsidRDefault="00AC764A">
      <w:r>
        <w:separator/>
      </w:r>
    </w:p>
  </w:footnote>
  <w:footnote w:type="continuationSeparator" w:id="0">
    <w:p w:rsidR="00AC764A" w:rsidRDefault="00AC7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AC764A"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442D"/>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C764A"/>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5912"/>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E29"/>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964B80D2-B6AD-42D7-BAFB-C9159FA8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E1B8E-7364-429D-BEDE-E9CA0CF66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196</TotalTime>
  <Pages>1</Pages>
  <Words>1141</Words>
  <Characters>6510</Characters>
  <Application>Microsoft Office Word</Application>
  <DocSecurity>0</DocSecurity>
  <Lines>54</Lines>
  <Paragraphs>15</Paragraphs>
  <ScaleCrop>false</ScaleCrop>
  <Company>TRT. Ltd. Co.</Company>
  <LinksUpToDate>false</LinksUpToDate>
  <CharactersWithSpaces>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372</cp:revision>
  <cp:lastPrinted>2007-07-19T00:46:00Z</cp:lastPrinted>
  <dcterms:created xsi:type="dcterms:W3CDTF">2014-01-17T06:19:00Z</dcterms:created>
  <dcterms:modified xsi:type="dcterms:W3CDTF">2018-01-18T05:40:00Z</dcterms:modified>
</cp:coreProperties>
</file>