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交银施罗德丰硕收益债券型证券投资基金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基金托管人：中信银行股份有限公司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二〇一八年一月二十二日</w:t>
      </w:r>
    </w:p>
    <w:p w:rsidR="004061AC" w:rsidRPr="00414345" w:rsidRDefault="004061AC" w:rsidP="00EE49FE">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B7D9E" w:rsidRDefault="00A169E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基金托管人中信银行股份有限公司根据本基金合同规定，于</w:t>
      </w:r>
      <w:r>
        <w:rPr>
          <w:color w:val="000000"/>
          <w:sz w:val="24"/>
          <w:szCs w:val="24"/>
        </w:rPr>
        <w:t>2018</w:t>
      </w:r>
      <w:r>
        <w:rPr>
          <w:color w:val="000000"/>
          <w:sz w:val="24"/>
          <w:szCs w:val="24"/>
        </w:rPr>
        <w:t>年</w:t>
      </w:r>
      <w:r>
        <w:rPr>
          <w:color w:val="000000"/>
          <w:sz w:val="24"/>
          <w:szCs w:val="24"/>
        </w:rPr>
        <w:t>1</w:t>
      </w:r>
      <w:r>
        <w:rPr>
          <w:color w:val="000000"/>
          <w:sz w:val="24"/>
          <w:szCs w:val="24"/>
        </w:rPr>
        <w:t>月</w:t>
      </w:r>
      <w:r>
        <w:rPr>
          <w:color w:val="000000"/>
          <w:sz w:val="24"/>
          <w:szCs w:val="24"/>
        </w:rPr>
        <w:t>19</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交银丰硕收益债券</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519758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519758</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w:t>
            </w:r>
            <w:r w:rsidRPr="00414345">
              <w:rPr>
                <w:color w:val="000000"/>
                <w:kern w:val="0"/>
                <w:sz w:val="24"/>
                <w:szCs w:val="24"/>
              </w:rPr>
              <w:t>,</w:t>
            </w:r>
            <w:r w:rsidRPr="00414345">
              <w:rPr>
                <w:color w:val="000000"/>
                <w:kern w:val="0"/>
                <w:sz w:val="24"/>
                <w:szCs w:val="24"/>
              </w:rPr>
              <w:t>本基金在基金合同生效之日起两年（含两年）的期间内封闭式运作（按照基金合同的约定提前转换基金运作方式的除外），封闭期结束后转为开放式运作。</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2015</w:t>
            </w:r>
            <w:r w:rsidRPr="00414345">
              <w:rPr>
                <w:color w:val="000000"/>
                <w:kern w:val="0"/>
                <w:sz w:val="24"/>
                <w:szCs w:val="24"/>
              </w:rPr>
              <w:t>年</w:t>
            </w:r>
            <w:r w:rsidRPr="00414345">
              <w:rPr>
                <w:color w:val="000000"/>
                <w:kern w:val="0"/>
                <w:sz w:val="24"/>
                <w:szCs w:val="24"/>
              </w:rPr>
              <w:t>11</w:t>
            </w:r>
            <w:r w:rsidRPr="00414345">
              <w:rPr>
                <w:color w:val="000000"/>
                <w:kern w:val="0"/>
                <w:sz w:val="24"/>
                <w:szCs w:val="24"/>
              </w:rPr>
              <w:t>月</w:t>
            </w:r>
            <w:r w:rsidRPr="00414345">
              <w:rPr>
                <w:color w:val="000000"/>
                <w:kern w:val="0"/>
                <w:sz w:val="24"/>
                <w:szCs w:val="24"/>
              </w:rPr>
              <w:t>9</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53,688,629.82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在有效控制风险的前提下</w:t>
            </w:r>
            <w:r w:rsidRPr="00414345">
              <w:rPr>
                <w:color w:val="000000"/>
                <w:kern w:val="0"/>
                <w:sz w:val="24"/>
                <w:szCs w:val="24"/>
              </w:rPr>
              <w:t>,</w:t>
            </w:r>
            <w:r w:rsidRPr="00414345">
              <w:rPr>
                <w:color w:val="000000"/>
                <w:kern w:val="0"/>
                <w:sz w:val="24"/>
                <w:szCs w:val="24"/>
              </w:rPr>
              <w:t>力求获得高于业绩基准的投资收益。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AB7D9E" w:rsidRDefault="00A169E0">
            <w:pPr>
              <w:adjustRightInd w:val="0"/>
              <w:spacing w:before="29" w:line="288" w:lineRule="auto"/>
              <w:ind w:left="17"/>
              <w:jc w:val="left"/>
              <w:rPr>
                <w:color w:val="000000"/>
                <w:sz w:val="24"/>
                <w:szCs w:val="24"/>
              </w:rPr>
            </w:pPr>
            <w:r>
              <w:rPr>
                <w:color w:val="000000"/>
                <w:kern w:val="0"/>
                <w:sz w:val="24"/>
                <w:szCs w:val="24"/>
              </w:rPr>
              <w:t>封闭期内投资策略：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w:t>
            </w:r>
            <w:r>
              <w:rPr>
                <w:color w:val="000000"/>
                <w:kern w:val="0"/>
                <w:sz w:val="24"/>
                <w:szCs w:val="24"/>
              </w:rPr>
              <w:lastRenderedPageBreak/>
              <w:t>券的流动性、供求关系和收益率水平等，自下而上精选投资标的。</w:t>
            </w:r>
          </w:p>
          <w:p w:rsidR="00AB7D9E" w:rsidRDefault="00AB7D9E">
            <w:pPr>
              <w:adjustRightInd w:val="0"/>
              <w:spacing w:before="29" w:line="288" w:lineRule="auto"/>
              <w:ind w:left="17"/>
              <w:jc w:val="left"/>
              <w:rPr>
                <w:color w:val="000000"/>
                <w:sz w:val="24"/>
                <w:szCs w:val="24"/>
              </w:rPr>
            </w:pP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开放期内投资策略：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投资标的。</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AB7D9E" w:rsidRDefault="00A169E0">
            <w:pPr>
              <w:adjustRightInd w:val="0"/>
              <w:spacing w:before="29" w:line="288" w:lineRule="auto"/>
              <w:ind w:left="17"/>
              <w:jc w:val="left"/>
              <w:rPr>
                <w:color w:val="000000"/>
                <w:sz w:val="24"/>
                <w:szCs w:val="24"/>
              </w:rPr>
            </w:pPr>
            <w:r>
              <w:rPr>
                <w:color w:val="000000"/>
                <w:kern w:val="0"/>
                <w:sz w:val="24"/>
                <w:szCs w:val="24"/>
              </w:rPr>
              <w:t>封闭期内业绩比较基准：两年期银行定期存款税后收益率</w:t>
            </w:r>
            <w:r>
              <w:rPr>
                <w:color w:val="000000"/>
                <w:kern w:val="0"/>
                <w:sz w:val="24"/>
                <w:szCs w:val="24"/>
              </w:rPr>
              <w:t>+1.25%</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开放期内业绩比较基准：中债综合全价指数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本基金是一只债券型基金，其风险与预期收益高于货币市场基金，低于混合型基金和股票型基金，属于证券投资基金中中等风险的品种。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中信银行股份有限公司</w:t>
            </w:r>
          </w:p>
        </w:tc>
      </w:tr>
    </w:tbl>
    <w:p w:rsidR="004061AC" w:rsidRPr="00414345" w:rsidRDefault="00A169E0" w:rsidP="00C15CAC">
      <w:pPr>
        <w:autoSpaceDE w:val="0"/>
        <w:autoSpaceDN w:val="0"/>
        <w:adjustRightInd w:val="0"/>
        <w:spacing w:before="29" w:line="288" w:lineRule="auto"/>
        <w:jc w:val="left"/>
        <w:rPr>
          <w:color w:val="000000"/>
          <w:sz w:val="24"/>
          <w:szCs w:val="24"/>
        </w:rPr>
      </w:pPr>
      <w:r>
        <w:rPr>
          <w:color w:val="000000"/>
          <w:sz w:val="24"/>
          <w:szCs w:val="24"/>
        </w:rPr>
        <w:t>注：</w:t>
      </w:r>
      <w:r w:rsidR="004061AC" w:rsidRPr="00414345">
        <w:rPr>
          <w:color w:val="000000"/>
          <w:sz w:val="24"/>
          <w:szCs w:val="24"/>
        </w:rPr>
        <w:t>本基金自</w:t>
      </w:r>
      <w:r w:rsidR="004061AC" w:rsidRPr="00414345">
        <w:rPr>
          <w:color w:val="000000"/>
          <w:sz w:val="24"/>
          <w:szCs w:val="24"/>
        </w:rPr>
        <w:t>2017</w:t>
      </w:r>
      <w:r w:rsidR="004061AC" w:rsidRPr="00414345">
        <w:rPr>
          <w:color w:val="000000"/>
          <w:sz w:val="24"/>
          <w:szCs w:val="24"/>
        </w:rPr>
        <w:t>年</w:t>
      </w:r>
      <w:r w:rsidR="004061AC" w:rsidRPr="00414345">
        <w:rPr>
          <w:color w:val="000000"/>
          <w:sz w:val="24"/>
          <w:szCs w:val="24"/>
        </w:rPr>
        <w:t>11</w:t>
      </w:r>
      <w:r w:rsidR="004061AC" w:rsidRPr="00414345">
        <w:rPr>
          <w:color w:val="000000"/>
          <w:sz w:val="24"/>
          <w:szCs w:val="24"/>
        </w:rPr>
        <w:t>月</w:t>
      </w:r>
      <w:r w:rsidR="004061AC" w:rsidRPr="00414345">
        <w:rPr>
          <w:color w:val="000000"/>
          <w:sz w:val="24"/>
          <w:szCs w:val="24"/>
        </w:rPr>
        <w:t>10</w:t>
      </w:r>
      <w:r w:rsidR="004061AC" w:rsidRPr="00414345">
        <w:rPr>
          <w:color w:val="000000"/>
          <w:sz w:val="24"/>
          <w:szCs w:val="24"/>
        </w:rPr>
        <w:t>日起转为开放式运作。</w:t>
      </w:r>
    </w:p>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A169E0" w:rsidRPr="00414345" w:rsidTr="00A169E0">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A169E0" w:rsidRPr="00414345" w:rsidTr="00A169E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1,636,854.58</w:t>
            </w:r>
          </w:p>
        </w:tc>
      </w:tr>
      <w:tr w:rsidR="00A169E0" w:rsidRPr="00414345" w:rsidTr="00A169E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1,546,409.66</w:t>
            </w:r>
          </w:p>
        </w:tc>
      </w:tr>
      <w:tr w:rsidR="00A169E0" w:rsidRPr="00414345" w:rsidTr="00A169E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0.0064</w:t>
            </w:r>
          </w:p>
        </w:tc>
      </w:tr>
      <w:tr w:rsidR="00A169E0" w:rsidRPr="00414345" w:rsidTr="00A169E0">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53,790,748.64</w:t>
            </w:r>
          </w:p>
        </w:tc>
      </w:tr>
      <w:tr w:rsidR="00A169E0" w:rsidRPr="00414345" w:rsidTr="00A169E0">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1.002</w:t>
            </w:r>
          </w:p>
        </w:tc>
      </w:tr>
    </w:tbl>
    <w:p w:rsidR="00AB7D9E" w:rsidRDefault="00A169E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B7D9E">
        <w:trPr>
          <w:jc w:val="center"/>
        </w:trPr>
        <w:tc>
          <w:tcPr>
            <w:tcW w:w="1701" w:type="dxa"/>
            <w:vAlign w:val="center"/>
          </w:tcPr>
          <w:p w:rsidR="00AB7D9E" w:rsidRDefault="00A169E0">
            <w:pPr>
              <w:jc w:val="left"/>
            </w:pPr>
            <w:r>
              <w:rPr>
                <w:color w:val="000000"/>
                <w:sz w:val="24"/>
                <w:szCs w:val="24"/>
              </w:rPr>
              <w:t>过去三个月</w:t>
            </w:r>
          </w:p>
        </w:tc>
        <w:tc>
          <w:tcPr>
            <w:tcW w:w="1045" w:type="dxa"/>
            <w:vAlign w:val="center"/>
          </w:tcPr>
          <w:p w:rsidR="00AB7D9E" w:rsidRDefault="00A169E0">
            <w:pPr>
              <w:jc w:val="center"/>
            </w:pPr>
            <w:r>
              <w:rPr>
                <w:color w:val="000000"/>
                <w:sz w:val="24"/>
                <w:szCs w:val="24"/>
              </w:rPr>
              <w:t>0.40%</w:t>
            </w:r>
          </w:p>
        </w:tc>
        <w:tc>
          <w:tcPr>
            <w:tcW w:w="1344" w:type="dxa"/>
            <w:vAlign w:val="center"/>
          </w:tcPr>
          <w:p w:rsidR="00AB7D9E" w:rsidRDefault="00A169E0">
            <w:pPr>
              <w:jc w:val="center"/>
            </w:pPr>
            <w:r>
              <w:rPr>
                <w:color w:val="000000"/>
                <w:sz w:val="24"/>
                <w:szCs w:val="24"/>
              </w:rPr>
              <w:t>0.04%</w:t>
            </w:r>
          </w:p>
        </w:tc>
        <w:tc>
          <w:tcPr>
            <w:tcW w:w="1194" w:type="dxa"/>
            <w:vAlign w:val="center"/>
          </w:tcPr>
          <w:p w:rsidR="00AB7D9E" w:rsidRDefault="00A169E0">
            <w:pPr>
              <w:jc w:val="center"/>
            </w:pPr>
            <w:r>
              <w:rPr>
                <w:color w:val="000000"/>
                <w:sz w:val="24"/>
                <w:szCs w:val="24"/>
              </w:rPr>
              <w:t>-0.09%</w:t>
            </w:r>
          </w:p>
        </w:tc>
        <w:tc>
          <w:tcPr>
            <w:tcW w:w="1492" w:type="dxa"/>
            <w:vAlign w:val="center"/>
          </w:tcPr>
          <w:p w:rsidR="00AB7D9E" w:rsidRDefault="00A169E0">
            <w:pPr>
              <w:jc w:val="center"/>
            </w:pPr>
            <w:r>
              <w:rPr>
                <w:color w:val="000000"/>
                <w:sz w:val="24"/>
                <w:szCs w:val="24"/>
              </w:rPr>
              <w:t>0.04%</w:t>
            </w:r>
          </w:p>
        </w:tc>
        <w:tc>
          <w:tcPr>
            <w:tcW w:w="1194" w:type="dxa"/>
            <w:vAlign w:val="center"/>
          </w:tcPr>
          <w:p w:rsidR="00AB7D9E" w:rsidRDefault="00A169E0">
            <w:pPr>
              <w:jc w:val="center"/>
            </w:pPr>
            <w:r>
              <w:rPr>
                <w:color w:val="000000"/>
                <w:sz w:val="24"/>
                <w:szCs w:val="24"/>
              </w:rPr>
              <w:t>0.49%</w:t>
            </w:r>
          </w:p>
        </w:tc>
        <w:tc>
          <w:tcPr>
            <w:tcW w:w="898" w:type="dxa"/>
            <w:vAlign w:val="center"/>
          </w:tcPr>
          <w:p w:rsidR="00AB7D9E" w:rsidRDefault="00A169E0">
            <w:pPr>
              <w:jc w:val="center"/>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注：本基金自</w:t>
      </w:r>
      <w:r w:rsidRPr="00414345">
        <w:rPr>
          <w:color w:val="000000"/>
          <w:sz w:val="24"/>
          <w:szCs w:val="24"/>
        </w:rPr>
        <w:t>2017</w:t>
      </w:r>
      <w:r w:rsidRPr="00414345">
        <w:rPr>
          <w:color w:val="000000"/>
          <w:sz w:val="24"/>
          <w:szCs w:val="24"/>
        </w:rPr>
        <w:t>年</w:t>
      </w:r>
      <w:r w:rsidRPr="00414345">
        <w:rPr>
          <w:color w:val="000000"/>
          <w:sz w:val="24"/>
          <w:szCs w:val="24"/>
        </w:rPr>
        <w:t>11</w:t>
      </w:r>
      <w:r w:rsidRPr="00414345">
        <w:rPr>
          <w:color w:val="000000"/>
          <w:sz w:val="24"/>
          <w:szCs w:val="24"/>
        </w:rPr>
        <w:t>月</w:t>
      </w:r>
      <w:r w:rsidRPr="00414345">
        <w:rPr>
          <w:color w:val="000000"/>
          <w:sz w:val="24"/>
          <w:szCs w:val="24"/>
        </w:rPr>
        <w:t>10</w:t>
      </w:r>
      <w:r w:rsidRPr="00414345">
        <w:rPr>
          <w:color w:val="000000"/>
          <w:sz w:val="24"/>
          <w:szCs w:val="24"/>
        </w:rPr>
        <w:t>日起转为开放式运作，本基金的业绩比较基准由</w:t>
      </w:r>
      <w:r w:rsidRPr="00414345">
        <w:rPr>
          <w:color w:val="000000"/>
          <w:sz w:val="24"/>
          <w:szCs w:val="24"/>
        </w:rPr>
        <w:t>“</w:t>
      </w:r>
      <w:r w:rsidRPr="00414345">
        <w:rPr>
          <w:color w:val="000000"/>
          <w:sz w:val="24"/>
          <w:szCs w:val="24"/>
        </w:rPr>
        <w:t>两年期银行定期存款税后收益率</w:t>
      </w:r>
      <w:r w:rsidRPr="00414345">
        <w:rPr>
          <w:color w:val="000000"/>
          <w:sz w:val="24"/>
          <w:szCs w:val="24"/>
        </w:rPr>
        <w:t>+1.25%”</w:t>
      </w:r>
      <w:r w:rsidRPr="00414345">
        <w:rPr>
          <w:color w:val="000000"/>
          <w:sz w:val="24"/>
          <w:szCs w:val="24"/>
        </w:rPr>
        <w:t>变更为</w:t>
      </w:r>
      <w:r w:rsidRPr="00414345">
        <w:rPr>
          <w:color w:val="000000"/>
          <w:sz w:val="24"/>
          <w:szCs w:val="24"/>
        </w:rPr>
        <w:t>“</w:t>
      </w:r>
      <w:r w:rsidRPr="00414345">
        <w:rPr>
          <w:color w:val="000000"/>
          <w:sz w:val="24"/>
          <w:szCs w:val="24"/>
        </w:rPr>
        <w:t>中债综合全价指数</w:t>
      </w:r>
      <w:r w:rsidRPr="00414345">
        <w:rPr>
          <w:color w:val="000000"/>
          <w:sz w:val="24"/>
          <w:szCs w:val="24"/>
        </w:rPr>
        <w:t>”</w:t>
      </w:r>
      <w:r w:rsidRPr="00414345">
        <w:rPr>
          <w:color w:val="000000"/>
          <w:sz w:val="24"/>
          <w:szCs w:val="24"/>
        </w:rPr>
        <w:t>。</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交银施罗德丰硕收益债券型证券投资基金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2015</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11</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37A10" w:rsidP="00C15CAC">
      <w:pPr>
        <w:pStyle w:val="a5"/>
        <w:snapToGrid w:val="0"/>
        <w:spacing w:before="29" w:line="288" w:lineRule="auto"/>
        <w:jc w:val="center"/>
        <w:rPr>
          <w:rFonts w:ascii="Times New Roman" w:hAnsi="Times New Roman" w:cs="Times New Roman"/>
          <w:color w:val="000000"/>
          <w:sz w:val="24"/>
          <w:szCs w:val="24"/>
        </w:rPr>
      </w:pPr>
      <w:r>
        <w:rPr>
          <w:noProof/>
        </w:rPr>
        <w:drawing>
          <wp:inline distT="0" distB="0" distL="0" distR="0" wp14:anchorId="28DA049E" wp14:editId="4EEFD865">
            <wp:extent cx="5274310" cy="3095664"/>
            <wp:effectExtent l="0" t="0" r="2540" b="9525"/>
            <wp:docPr id="1"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走势图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274310" cy="3095664"/>
                    </a:xfrm>
                    <a:prstGeom prst="rect">
                      <a:avLst/>
                    </a:prstGeom>
                    <a:noFill/>
                    <a:ln>
                      <a:noFill/>
                    </a:ln>
                  </pic:spPr>
                </pic:pic>
              </a:graphicData>
            </a:graphic>
          </wp:inline>
        </w:drawing>
      </w:r>
      <w:bookmarkStart w:id="0" w:name="_GoBack"/>
      <w:bookmarkEnd w:id="0"/>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B7D9E">
        <w:trPr>
          <w:jc w:val="center"/>
        </w:trPr>
        <w:tc>
          <w:tcPr>
            <w:tcW w:w="846" w:type="dxa"/>
            <w:vAlign w:val="center"/>
          </w:tcPr>
          <w:p w:rsidR="00AB7D9E" w:rsidRDefault="00A169E0">
            <w:pPr>
              <w:jc w:val="center"/>
            </w:pPr>
            <w:r>
              <w:rPr>
                <w:color w:val="000000"/>
                <w:sz w:val="24"/>
                <w:szCs w:val="24"/>
              </w:rPr>
              <w:t>于海颖</w:t>
            </w:r>
          </w:p>
        </w:tc>
        <w:tc>
          <w:tcPr>
            <w:tcW w:w="845" w:type="dxa"/>
            <w:vAlign w:val="center"/>
          </w:tcPr>
          <w:p w:rsidR="00AB7D9E" w:rsidRDefault="00A169E0">
            <w:pPr>
              <w:jc w:val="center"/>
            </w:pPr>
            <w:r>
              <w:rPr>
                <w:color w:val="000000"/>
                <w:sz w:val="24"/>
                <w:szCs w:val="24"/>
              </w:rPr>
              <w:t>交银增利债券、交银纯债债券发起、交银荣祥保本混合、交银定期支付月月丰债券、交银增强收益债券、交银强化回报债券、交银丰盈收益债券、交银丰硕收益债券、交银荣鑫保本混合、交银增</w:t>
            </w:r>
            <w:r>
              <w:rPr>
                <w:color w:val="000000"/>
                <w:sz w:val="24"/>
                <w:szCs w:val="24"/>
              </w:rPr>
              <w:lastRenderedPageBreak/>
              <w:t>利增强债券的基金经理，公司固定收益（公募）投资总监</w:t>
            </w:r>
          </w:p>
        </w:tc>
        <w:tc>
          <w:tcPr>
            <w:tcW w:w="1549" w:type="dxa"/>
            <w:vAlign w:val="center"/>
          </w:tcPr>
          <w:p w:rsidR="00AB7D9E" w:rsidRDefault="00A169E0">
            <w:pPr>
              <w:jc w:val="center"/>
            </w:pPr>
            <w:r>
              <w:rPr>
                <w:color w:val="000000"/>
                <w:sz w:val="24"/>
                <w:szCs w:val="24"/>
              </w:rPr>
              <w:lastRenderedPageBreak/>
              <w:t>2017-06-10</w:t>
            </w:r>
          </w:p>
        </w:tc>
        <w:tc>
          <w:tcPr>
            <w:tcW w:w="1548" w:type="dxa"/>
            <w:vAlign w:val="center"/>
          </w:tcPr>
          <w:p w:rsidR="00AB7D9E" w:rsidRDefault="00A169E0">
            <w:pPr>
              <w:jc w:val="center"/>
            </w:pPr>
            <w:r>
              <w:rPr>
                <w:color w:val="000000"/>
                <w:sz w:val="24"/>
                <w:szCs w:val="24"/>
              </w:rPr>
              <w:t>-</w:t>
            </w:r>
          </w:p>
        </w:tc>
        <w:tc>
          <w:tcPr>
            <w:tcW w:w="1407" w:type="dxa"/>
            <w:vAlign w:val="center"/>
          </w:tcPr>
          <w:p w:rsidR="00AB7D9E" w:rsidRDefault="00A169E0">
            <w:pPr>
              <w:jc w:val="center"/>
            </w:pPr>
            <w:r>
              <w:rPr>
                <w:color w:val="000000"/>
                <w:sz w:val="24"/>
                <w:szCs w:val="24"/>
              </w:rPr>
              <w:t>11</w:t>
            </w:r>
            <w:r>
              <w:rPr>
                <w:color w:val="000000"/>
                <w:sz w:val="24"/>
                <w:szCs w:val="24"/>
              </w:rPr>
              <w:t>年</w:t>
            </w:r>
          </w:p>
        </w:tc>
        <w:tc>
          <w:tcPr>
            <w:tcW w:w="2673" w:type="dxa"/>
            <w:vAlign w:val="center"/>
          </w:tcPr>
          <w:p w:rsidR="00AB7D9E" w:rsidRDefault="00A169E0">
            <w:r>
              <w:rPr>
                <w:color w:val="000000"/>
                <w:sz w:val="24"/>
                <w:szCs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szCs w:val="24"/>
              </w:rPr>
              <w:t>2007</w:t>
            </w:r>
            <w:r>
              <w:rPr>
                <w:color w:val="000000"/>
                <w:sz w:val="24"/>
                <w:szCs w:val="24"/>
              </w:rPr>
              <w:t>年</w:t>
            </w:r>
            <w:r>
              <w:rPr>
                <w:color w:val="000000"/>
                <w:sz w:val="24"/>
                <w:szCs w:val="24"/>
              </w:rPr>
              <w:t>11</w:t>
            </w:r>
            <w:r>
              <w:rPr>
                <w:color w:val="000000"/>
                <w:sz w:val="24"/>
                <w:szCs w:val="24"/>
              </w:rPr>
              <w:t>月</w:t>
            </w:r>
            <w:r>
              <w:rPr>
                <w:color w:val="000000"/>
                <w:sz w:val="24"/>
                <w:szCs w:val="24"/>
              </w:rPr>
              <w:t>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日任光大保德信货币市场基金基金经理，</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29</w:t>
            </w:r>
            <w:r>
              <w:rPr>
                <w:color w:val="000000"/>
                <w:sz w:val="24"/>
                <w:szCs w:val="24"/>
              </w:rPr>
              <w:t>日至</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30</w:t>
            </w:r>
            <w:r>
              <w:rPr>
                <w:color w:val="000000"/>
                <w:sz w:val="24"/>
                <w:szCs w:val="24"/>
              </w:rPr>
              <w:t>日任光大保德信增利收益债券型证券投资基金基金经理，</w:t>
            </w:r>
            <w:r>
              <w:rPr>
                <w:color w:val="000000"/>
                <w:sz w:val="24"/>
                <w:szCs w:val="24"/>
              </w:rPr>
              <w:t>2011</w:t>
            </w:r>
            <w:r>
              <w:rPr>
                <w:color w:val="000000"/>
                <w:sz w:val="24"/>
                <w:szCs w:val="24"/>
              </w:rPr>
              <w:t>年</w:t>
            </w:r>
            <w:r>
              <w:rPr>
                <w:color w:val="000000"/>
                <w:sz w:val="24"/>
                <w:szCs w:val="24"/>
              </w:rPr>
              <w:t>6</w:t>
            </w:r>
            <w:r>
              <w:rPr>
                <w:color w:val="000000"/>
                <w:sz w:val="24"/>
                <w:szCs w:val="24"/>
              </w:rPr>
              <w:t>月</w:t>
            </w:r>
            <w:r>
              <w:rPr>
                <w:color w:val="000000"/>
                <w:sz w:val="24"/>
                <w:szCs w:val="24"/>
              </w:rPr>
              <w:t>28</w:t>
            </w:r>
            <w:r>
              <w:rPr>
                <w:color w:val="000000"/>
                <w:sz w:val="24"/>
                <w:szCs w:val="24"/>
              </w:rPr>
              <w:t>日至</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16</w:t>
            </w:r>
            <w:r>
              <w:rPr>
                <w:color w:val="000000"/>
                <w:sz w:val="24"/>
                <w:szCs w:val="24"/>
              </w:rPr>
              <w:t>日任银华永祥保本混合型证券投资基金基金经理，</w:t>
            </w:r>
            <w:r>
              <w:rPr>
                <w:color w:val="000000"/>
                <w:sz w:val="24"/>
                <w:szCs w:val="24"/>
              </w:rPr>
              <w:t>2011</w:t>
            </w:r>
            <w:r>
              <w:rPr>
                <w:color w:val="000000"/>
                <w:sz w:val="24"/>
                <w:szCs w:val="24"/>
              </w:rPr>
              <w:t>年</w:t>
            </w:r>
            <w:r>
              <w:rPr>
                <w:color w:val="000000"/>
                <w:sz w:val="24"/>
                <w:szCs w:val="24"/>
              </w:rPr>
              <w:t>8</w:t>
            </w:r>
            <w:r>
              <w:rPr>
                <w:color w:val="000000"/>
                <w:sz w:val="24"/>
                <w:szCs w:val="24"/>
              </w:rPr>
              <w:t>月</w:t>
            </w:r>
            <w:r>
              <w:rPr>
                <w:color w:val="000000"/>
                <w:sz w:val="24"/>
                <w:szCs w:val="24"/>
              </w:rPr>
              <w:t>2</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日任银华货币市场证券投资基金基金经理，</w:t>
            </w:r>
            <w:r>
              <w:rPr>
                <w:color w:val="000000"/>
                <w:sz w:val="24"/>
                <w:szCs w:val="24"/>
              </w:rPr>
              <w:t>2012</w:t>
            </w:r>
            <w:r>
              <w:rPr>
                <w:color w:val="000000"/>
                <w:sz w:val="24"/>
                <w:szCs w:val="24"/>
              </w:rPr>
              <w:t>年</w:t>
            </w:r>
            <w:r>
              <w:rPr>
                <w:color w:val="000000"/>
                <w:sz w:val="24"/>
                <w:szCs w:val="24"/>
              </w:rPr>
              <w:t>8</w:t>
            </w:r>
            <w:r>
              <w:rPr>
                <w:color w:val="000000"/>
                <w:sz w:val="24"/>
                <w:szCs w:val="24"/>
              </w:rPr>
              <w:t>月</w:t>
            </w:r>
            <w:r>
              <w:rPr>
                <w:color w:val="000000"/>
                <w:sz w:val="24"/>
                <w:szCs w:val="24"/>
              </w:rPr>
              <w:t>9</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日任银华纯债信用主题债券型证券投资基金（</w:t>
            </w:r>
            <w:r>
              <w:rPr>
                <w:color w:val="000000"/>
                <w:sz w:val="24"/>
                <w:szCs w:val="24"/>
              </w:rPr>
              <w:t>LOF</w:t>
            </w:r>
            <w:r>
              <w:rPr>
                <w:color w:val="000000"/>
                <w:sz w:val="24"/>
                <w:szCs w:val="24"/>
              </w:rPr>
              <w:t>）基金经理，</w:t>
            </w:r>
            <w:r>
              <w:rPr>
                <w:color w:val="000000"/>
                <w:sz w:val="24"/>
                <w:szCs w:val="24"/>
              </w:rPr>
              <w:t>2013</w:t>
            </w:r>
            <w:r>
              <w:rPr>
                <w:color w:val="000000"/>
                <w:sz w:val="24"/>
                <w:szCs w:val="24"/>
              </w:rPr>
              <w:t>年</w:t>
            </w:r>
            <w:r>
              <w:rPr>
                <w:color w:val="000000"/>
                <w:sz w:val="24"/>
                <w:szCs w:val="24"/>
              </w:rPr>
              <w:t>4</w:t>
            </w:r>
            <w:r>
              <w:rPr>
                <w:color w:val="000000"/>
                <w:sz w:val="24"/>
                <w:szCs w:val="24"/>
              </w:rPr>
              <w:t>月</w:t>
            </w:r>
            <w:r>
              <w:rPr>
                <w:color w:val="000000"/>
                <w:sz w:val="24"/>
                <w:szCs w:val="24"/>
              </w:rPr>
              <w:t>1</w:t>
            </w:r>
            <w:r>
              <w:rPr>
                <w:color w:val="000000"/>
                <w:sz w:val="24"/>
                <w:szCs w:val="24"/>
              </w:rPr>
              <w:t>日至</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24</w:t>
            </w:r>
            <w:r>
              <w:rPr>
                <w:color w:val="000000"/>
                <w:sz w:val="24"/>
                <w:szCs w:val="24"/>
              </w:rPr>
              <w:t>日任银华交易型货币市场基金基金经理，</w:t>
            </w:r>
            <w:r>
              <w:rPr>
                <w:color w:val="000000"/>
                <w:sz w:val="24"/>
                <w:szCs w:val="24"/>
              </w:rPr>
              <w:t>2013</w:t>
            </w:r>
            <w:r>
              <w:rPr>
                <w:color w:val="000000"/>
                <w:sz w:val="24"/>
                <w:szCs w:val="24"/>
              </w:rPr>
              <w:t>年</w:t>
            </w:r>
            <w:r>
              <w:rPr>
                <w:color w:val="000000"/>
                <w:sz w:val="24"/>
                <w:szCs w:val="24"/>
              </w:rPr>
              <w:t>8</w:t>
            </w:r>
            <w:r>
              <w:rPr>
                <w:color w:val="000000"/>
                <w:sz w:val="24"/>
                <w:szCs w:val="24"/>
              </w:rPr>
              <w:t>月</w:t>
            </w:r>
            <w:r>
              <w:rPr>
                <w:color w:val="000000"/>
                <w:sz w:val="24"/>
                <w:szCs w:val="24"/>
              </w:rPr>
              <w:t>7</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日任银华信用四季红债券型证券投资基金基金经理，</w:t>
            </w:r>
            <w:r>
              <w:rPr>
                <w:color w:val="000000"/>
                <w:sz w:val="24"/>
                <w:szCs w:val="24"/>
              </w:rPr>
              <w:lastRenderedPageBreak/>
              <w:t>2013</w:t>
            </w:r>
            <w:r>
              <w:rPr>
                <w:color w:val="000000"/>
                <w:sz w:val="24"/>
                <w:szCs w:val="24"/>
              </w:rPr>
              <w:t>年</w:t>
            </w:r>
            <w:r>
              <w:rPr>
                <w:color w:val="000000"/>
                <w:sz w:val="24"/>
                <w:szCs w:val="24"/>
              </w:rPr>
              <w:t>9</w:t>
            </w:r>
            <w:r>
              <w:rPr>
                <w:color w:val="000000"/>
                <w:sz w:val="24"/>
                <w:szCs w:val="24"/>
              </w:rPr>
              <w:t>月</w:t>
            </w:r>
            <w:r>
              <w:rPr>
                <w:color w:val="000000"/>
                <w:sz w:val="24"/>
                <w:szCs w:val="24"/>
              </w:rPr>
              <w:t>18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日任银华信用季季红债券型证券投资基金基金经理，</w:t>
            </w:r>
            <w:r>
              <w:rPr>
                <w:color w:val="000000"/>
                <w:sz w:val="24"/>
                <w:szCs w:val="24"/>
              </w:rPr>
              <w:t>2014</w:t>
            </w:r>
            <w:r>
              <w:rPr>
                <w:color w:val="000000"/>
                <w:sz w:val="24"/>
                <w:szCs w:val="24"/>
              </w:rPr>
              <w:t>年</w:t>
            </w:r>
            <w:r>
              <w:rPr>
                <w:color w:val="000000"/>
                <w:sz w:val="24"/>
                <w:szCs w:val="24"/>
              </w:rPr>
              <w:t>5</w:t>
            </w:r>
            <w:r>
              <w:rPr>
                <w:color w:val="000000"/>
                <w:sz w:val="24"/>
                <w:szCs w:val="24"/>
              </w:rPr>
              <w:t>月</w:t>
            </w:r>
            <w:r>
              <w:rPr>
                <w:color w:val="000000"/>
                <w:sz w:val="24"/>
                <w:szCs w:val="24"/>
              </w:rPr>
              <w:t>8</w:t>
            </w:r>
            <w:r>
              <w:rPr>
                <w:color w:val="000000"/>
                <w:sz w:val="24"/>
                <w:szCs w:val="24"/>
              </w:rPr>
              <w:t>日至</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7</w:t>
            </w:r>
            <w:r>
              <w:rPr>
                <w:color w:val="000000"/>
                <w:sz w:val="24"/>
                <w:szCs w:val="24"/>
              </w:rPr>
              <w:t>日任银华信用债券型证券投资基金</w:t>
            </w:r>
            <w:r>
              <w:rPr>
                <w:color w:val="000000"/>
                <w:sz w:val="24"/>
                <w:szCs w:val="24"/>
              </w:rPr>
              <w:t>(LOF)</w:t>
            </w:r>
            <w:r>
              <w:rPr>
                <w:color w:val="000000"/>
                <w:sz w:val="24"/>
                <w:szCs w:val="24"/>
              </w:rPr>
              <w:t>基金经理。</w:t>
            </w:r>
            <w:r>
              <w:rPr>
                <w:color w:val="000000"/>
                <w:sz w:val="24"/>
                <w:szCs w:val="24"/>
              </w:rPr>
              <w:t>2016</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B7D9E" w:rsidRDefault="00A169E0">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B7D9E" w:rsidRDefault="00A169E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B7D9E" w:rsidRDefault="00A169E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lastRenderedPageBreak/>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AB7D9E" w:rsidRDefault="00A169E0">
      <w:pPr>
        <w:spacing w:before="29" w:line="288" w:lineRule="auto"/>
        <w:ind w:firstLineChars="200" w:firstLine="480"/>
        <w:rPr>
          <w:color w:val="000000"/>
          <w:sz w:val="24"/>
          <w:szCs w:val="24"/>
        </w:rPr>
      </w:pPr>
      <w:r>
        <w:rPr>
          <w:color w:val="000000"/>
          <w:sz w:val="24"/>
          <w:szCs w:val="24"/>
        </w:rPr>
        <w:t>四季度以来债券市场经历了大幅度的调整，债券收益率大幅上行后维持高位震荡。十月初在市场对于经济增长韧性形成强烈预期，资金面紧张，金融数据超预期，海外美债持续上行的背景下，国内债券市场收益率稳步走高。十月下旬开始，市场趋向谨慎，资管新规征求意见稿发布后，债券收益率冲高到年内高点。十一月底以来随着十年期国开债停发和基本面数据走弱，债券收益率维持高位震荡。</w:t>
      </w:r>
    </w:p>
    <w:p w:rsidR="00AB7D9E" w:rsidRDefault="00A169E0">
      <w:pPr>
        <w:spacing w:before="29" w:line="288" w:lineRule="auto"/>
        <w:ind w:firstLineChars="200" w:firstLine="480"/>
        <w:rPr>
          <w:color w:val="000000"/>
          <w:sz w:val="24"/>
          <w:szCs w:val="24"/>
        </w:rPr>
      </w:pPr>
      <w:r>
        <w:rPr>
          <w:color w:val="000000"/>
          <w:sz w:val="24"/>
          <w:szCs w:val="24"/>
        </w:rPr>
        <w:t>报告期内，基金封闭期到期并转为开放式运作，目前组合主要配置高流动性资产，满足组合规模变动需求。</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2018</w:t>
      </w:r>
      <w:r w:rsidRPr="00414345">
        <w:rPr>
          <w:color w:val="000000"/>
          <w:sz w:val="24"/>
          <w:szCs w:val="24"/>
        </w:rPr>
        <w:t>年，房地产、基建和出口均显出一定的疲态，预计将带动经济增速逐步下行，对债市形成一定支撑，而收益率上行到高位之后具有一定的配置价值。但一季度经济数据真空期和通胀一季度回升压力较大，监管政策落地的力度和节奏以及金融机构的应对行为不甚明朗，超储率低位及银行流动性监管指标强化将导致资金利率波动加大等负面因素仍然存在，债券市场短期内预计较难有资本利得机会。信用债方面，</w:t>
      </w:r>
      <w:r w:rsidRPr="00414345">
        <w:rPr>
          <w:color w:val="000000"/>
          <w:sz w:val="24"/>
          <w:szCs w:val="24"/>
        </w:rPr>
        <w:t>2017</w:t>
      </w:r>
      <w:r w:rsidRPr="00414345">
        <w:rPr>
          <w:color w:val="000000"/>
          <w:sz w:val="24"/>
          <w:szCs w:val="24"/>
        </w:rPr>
        <w:t>年以来信用利差有所走阔，信用债投资模式的改变是否会导致信用利差中枢抬高值得关注。组合当前规模较小，我们仍将继续配置高流动性资产，应对组合规模变动需求。</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日，本基金份额净值为</w:t>
      </w:r>
      <w:r w:rsidRPr="00414345">
        <w:rPr>
          <w:color w:val="000000"/>
          <w:sz w:val="24"/>
          <w:szCs w:val="24"/>
        </w:rPr>
        <w:t>1.002</w:t>
      </w:r>
      <w:r w:rsidRPr="00414345">
        <w:rPr>
          <w:color w:val="000000"/>
          <w:sz w:val="24"/>
          <w:szCs w:val="24"/>
        </w:rPr>
        <w:t>元，本报告期份额净值增长率为</w:t>
      </w:r>
      <w:r w:rsidRPr="00414345">
        <w:rPr>
          <w:color w:val="000000"/>
          <w:sz w:val="24"/>
          <w:szCs w:val="24"/>
        </w:rPr>
        <w:t>0.40%</w:t>
      </w:r>
      <w:r w:rsidRPr="00414345">
        <w:rPr>
          <w:color w:val="000000"/>
          <w:sz w:val="24"/>
          <w:szCs w:val="24"/>
        </w:rPr>
        <w:t>，同期业绩比较基准增长率为</w:t>
      </w:r>
      <w:r w:rsidRPr="00414345">
        <w:rPr>
          <w:color w:val="000000"/>
          <w:sz w:val="24"/>
          <w:szCs w:val="24"/>
        </w:rPr>
        <w:t>-0.09%</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33,770,800.00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62.23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33,770,800.00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62.23</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10,800,000.00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19.90</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9,131,372.34</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16.83</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564,216.68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54,266,389.02</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23,814,800.00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44.27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23,814,800.00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44.27</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9,956,000.00</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18.51</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33,770,800.00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62.78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B7D9E">
        <w:trPr>
          <w:jc w:val="center"/>
        </w:trPr>
        <w:tc>
          <w:tcPr>
            <w:tcW w:w="850" w:type="dxa"/>
            <w:vAlign w:val="center"/>
          </w:tcPr>
          <w:p w:rsidR="00AB7D9E" w:rsidRDefault="00A169E0">
            <w:pPr>
              <w:jc w:val="center"/>
            </w:pPr>
            <w:r>
              <w:rPr>
                <w:color w:val="000000"/>
                <w:sz w:val="24"/>
                <w:szCs w:val="24"/>
              </w:rPr>
              <w:t>1</w:t>
            </w:r>
          </w:p>
        </w:tc>
        <w:tc>
          <w:tcPr>
            <w:tcW w:w="1475" w:type="dxa"/>
            <w:vAlign w:val="center"/>
          </w:tcPr>
          <w:p w:rsidR="00AB7D9E" w:rsidRDefault="00A169E0">
            <w:pPr>
              <w:jc w:val="center"/>
            </w:pPr>
            <w:r>
              <w:rPr>
                <w:color w:val="000000"/>
                <w:sz w:val="24"/>
                <w:szCs w:val="24"/>
              </w:rPr>
              <w:t>170410</w:t>
            </w:r>
          </w:p>
        </w:tc>
        <w:tc>
          <w:tcPr>
            <w:tcW w:w="1769" w:type="dxa"/>
            <w:vAlign w:val="center"/>
          </w:tcPr>
          <w:p w:rsidR="00AB7D9E" w:rsidRDefault="00A169E0">
            <w:pPr>
              <w:jc w:val="center"/>
            </w:pPr>
            <w:r>
              <w:rPr>
                <w:color w:val="000000"/>
                <w:sz w:val="24"/>
                <w:szCs w:val="24"/>
              </w:rPr>
              <w:t>17</w:t>
            </w:r>
            <w:r>
              <w:rPr>
                <w:color w:val="000000"/>
                <w:sz w:val="24"/>
                <w:szCs w:val="24"/>
              </w:rPr>
              <w:t>农发</w:t>
            </w:r>
            <w:r>
              <w:rPr>
                <w:color w:val="000000"/>
                <w:sz w:val="24"/>
                <w:szCs w:val="24"/>
              </w:rPr>
              <w:t>10</w:t>
            </w:r>
          </w:p>
        </w:tc>
        <w:tc>
          <w:tcPr>
            <w:tcW w:w="1387" w:type="dxa"/>
            <w:vAlign w:val="center"/>
          </w:tcPr>
          <w:p w:rsidR="00AB7D9E" w:rsidRDefault="00A169E0">
            <w:pPr>
              <w:jc w:val="right"/>
            </w:pPr>
            <w:r>
              <w:rPr>
                <w:color w:val="000000"/>
                <w:sz w:val="24"/>
                <w:szCs w:val="24"/>
              </w:rPr>
              <w:t>140,000</w:t>
            </w:r>
          </w:p>
        </w:tc>
        <w:tc>
          <w:tcPr>
            <w:tcW w:w="2150" w:type="dxa"/>
            <w:vAlign w:val="center"/>
          </w:tcPr>
          <w:p w:rsidR="00AB7D9E" w:rsidRDefault="00A169E0">
            <w:pPr>
              <w:jc w:val="right"/>
            </w:pPr>
            <w:r>
              <w:rPr>
                <w:color w:val="000000"/>
                <w:sz w:val="24"/>
                <w:szCs w:val="24"/>
              </w:rPr>
              <w:t>13,925,800.00</w:t>
            </w:r>
          </w:p>
        </w:tc>
        <w:tc>
          <w:tcPr>
            <w:tcW w:w="1237" w:type="dxa"/>
            <w:vAlign w:val="center"/>
          </w:tcPr>
          <w:p w:rsidR="00AB7D9E" w:rsidRDefault="00A169E0">
            <w:pPr>
              <w:jc w:val="right"/>
            </w:pPr>
            <w:r>
              <w:rPr>
                <w:color w:val="000000"/>
                <w:sz w:val="24"/>
                <w:szCs w:val="24"/>
              </w:rPr>
              <w:t>25.89</w:t>
            </w:r>
          </w:p>
        </w:tc>
      </w:tr>
      <w:tr w:rsidR="00AB7D9E">
        <w:trPr>
          <w:jc w:val="center"/>
        </w:trPr>
        <w:tc>
          <w:tcPr>
            <w:tcW w:w="850" w:type="dxa"/>
            <w:vAlign w:val="center"/>
          </w:tcPr>
          <w:p w:rsidR="00AB7D9E" w:rsidRDefault="00A169E0">
            <w:pPr>
              <w:jc w:val="center"/>
            </w:pPr>
            <w:r>
              <w:rPr>
                <w:color w:val="000000"/>
                <w:sz w:val="24"/>
                <w:szCs w:val="24"/>
              </w:rPr>
              <w:t>2</w:t>
            </w:r>
          </w:p>
        </w:tc>
        <w:tc>
          <w:tcPr>
            <w:tcW w:w="1475" w:type="dxa"/>
            <w:vAlign w:val="center"/>
          </w:tcPr>
          <w:p w:rsidR="00AB7D9E" w:rsidRDefault="00A169E0">
            <w:pPr>
              <w:jc w:val="center"/>
            </w:pPr>
            <w:r>
              <w:rPr>
                <w:color w:val="000000"/>
                <w:sz w:val="24"/>
                <w:szCs w:val="24"/>
              </w:rPr>
              <w:t>111716279</w:t>
            </w:r>
          </w:p>
        </w:tc>
        <w:tc>
          <w:tcPr>
            <w:tcW w:w="1769" w:type="dxa"/>
            <w:vAlign w:val="center"/>
          </w:tcPr>
          <w:p w:rsidR="00AB7D9E" w:rsidRDefault="00A169E0">
            <w:pPr>
              <w:jc w:val="center"/>
            </w:pPr>
            <w:r>
              <w:rPr>
                <w:color w:val="000000"/>
                <w:sz w:val="24"/>
                <w:szCs w:val="24"/>
              </w:rPr>
              <w:t>17</w:t>
            </w:r>
            <w:r>
              <w:rPr>
                <w:color w:val="000000"/>
                <w:sz w:val="24"/>
                <w:szCs w:val="24"/>
              </w:rPr>
              <w:t>上海银行</w:t>
            </w:r>
            <w:r>
              <w:rPr>
                <w:color w:val="000000"/>
                <w:sz w:val="24"/>
                <w:szCs w:val="24"/>
              </w:rPr>
              <w:t>CD279</w:t>
            </w:r>
          </w:p>
        </w:tc>
        <w:tc>
          <w:tcPr>
            <w:tcW w:w="1387" w:type="dxa"/>
            <w:vAlign w:val="center"/>
          </w:tcPr>
          <w:p w:rsidR="00AB7D9E" w:rsidRDefault="00A169E0">
            <w:pPr>
              <w:jc w:val="right"/>
            </w:pPr>
            <w:r>
              <w:rPr>
                <w:color w:val="000000"/>
                <w:sz w:val="24"/>
                <w:szCs w:val="24"/>
              </w:rPr>
              <w:t>100,000</w:t>
            </w:r>
          </w:p>
        </w:tc>
        <w:tc>
          <w:tcPr>
            <w:tcW w:w="2150" w:type="dxa"/>
            <w:vAlign w:val="center"/>
          </w:tcPr>
          <w:p w:rsidR="00AB7D9E" w:rsidRDefault="00A169E0">
            <w:pPr>
              <w:jc w:val="right"/>
            </w:pPr>
            <w:r>
              <w:rPr>
                <w:color w:val="000000"/>
                <w:sz w:val="24"/>
                <w:szCs w:val="24"/>
              </w:rPr>
              <w:t>9,956,000.00</w:t>
            </w:r>
          </w:p>
        </w:tc>
        <w:tc>
          <w:tcPr>
            <w:tcW w:w="1237" w:type="dxa"/>
            <w:vAlign w:val="center"/>
          </w:tcPr>
          <w:p w:rsidR="00AB7D9E" w:rsidRDefault="00A169E0">
            <w:pPr>
              <w:jc w:val="right"/>
            </w:pPr>
            <w:r>
              <w:rPr>
                <w:color w:val="000000"/>
                <w:sz w:val="24"/>
                <w:szCs w:val="24"/>
              </w:rPr>
              <w:t>18.51</w:t>
            </w:r>
          </w:p>
        </w:tc>
      </w:tr>
      <w:tr w:rsidR="00AB7D9E">
        <w:trPr>
          <w:jc w:val="center"/>
        </w:trPr>
        <w:tc>
          <w:tcPr>
            <w:tcW w:w="850" w:type="dxa"/>
            <w:vAlign w:val="center"/>
          </w:tcPr>
          <w:p w:rsidR="00AB7D9E" w:rsidRDefault="00A169E0">
            <w:pPr>
              <w:jc w:val="center"/>
            </w:pPr>
            <w:r>
              <w:rPr>
                <w:color w:val="000000"/>
                <w:sz w:val="24"/>
                <w:szCs w:val="24"/>
              </w:rPr>
              <w:t>3</w:t>
            </w:r>
          </w:p>
        </w:tc>
        <w:tc>
          <w:tcPr>
            <w:tcW w:w="1475" w:type="dxa"/>
            <w:vAlign w:val="center"/>
          </w:tcPr>
          <w:p w:rsidR="00AB7D9E" w:rsidRDefault="00A169E0">
            <w:pPr>
              <w:jc w:val="center"/>
            </w:pPr>
            <w:r>
              <w:rPr>
                <w:color w:val="000000"/>
                <w:sz w:val="24"/>
                <w:szCs w:val="24"/>
              </w:rPr>
              <w:t>018005</w:t>
            </w:r>
          </w:p>
        </w:tc>
        <w:tc>
          <w:tcPr>
            <w:tcW w:w="1769" w:type="dxa"/>
            <w:vAlign w:val="center"/>
          </w:tcPr>
          <w:p w:rsidR="00AB7D9E" w:rsidRDefault="00A169E0">
            <w:pPr>
              <w:jc w:val="center"/>
            </w:pPr>
            <w:r>
              <w:rPr>
                <w:color w:val="000000"/>
                <w:sz w:val="24"/>
                <w:szCs w:val="24"/>
              </w:rPr>
              <w:t>国开</w:t>
            </w:r>
            <w:r>
              <w:rPr>
                <w:color w:val="000000"/>
                <w:sz w:val="24"/>
                <w:szCs w:val="24"/>
              </w:rPr>
              <w:t>1701</w:t>
            </w:r>
          </w:p>
        </w:tc>
        <w:tc>
          <w:tcPr>
            <w:tcW w:w="1387" w:type="dxa"/>
            <w:vAlign w:val="center"/>
          </w:tcPr>
          <w:p w:rsidR="00AB7D9E" w:rsidRDefault="00A169E0">
            <w:pPr>
              <w:jc w:val="right"/>
            </w:pPr>
            <w:r>
              <w:rPr>
                <w:color w:val="000000"/>
                <w:sz w:val="24"/>
                <w:szCs w:val="24"/>
              </w:rPr>
              <w:t>100,000</w:t>
            </w:r>
          </w:p>
        </w:tc>
        <w:tc>
          <w:tcPr>
            <w:tcW w:w="2150" w:type="dxa"/>
            <w:vAlign w:val="center"/>
          </w:tcPr>
          <w:p w:rsidR="00AB7D9E" w:rsidRDefault="00A169E0">
            <w:pPr>
              <w:jc w:val="right"/>
            </w:pPr>
            <w:r>
              <w:rPr>
                <w:color w:val="000000"/>
                <w:sz w:val="24"/>
                <w:szCs w:val="24"/>
              </w:rPr>
              <w:t>9,889,000.00</w:t>
            </w:r>
          </w:p>
        </w:tc>
        <w:tc>
          <w:tcPr>
            <w:tcW w:w="1237" w:type="dxa"/>
            <w:vAlign w:val="center"/>
          </w:tcPr>
          <w:p w:rsidR="00AB7D9E" w:rsidRDefault="00A169E0">
            <w:pPr>
              <w:jc w:val="right"/>
            </w:pPr>
            <w:r>
              <w:rPr>
                <w:color w:val="000000"/>
                <w:sz w:val="24"/>
                <w:szCs w:val="24"/>
              </w:rPr>
              <w:t>18.38</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13,261.51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19,101.37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531,853.80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564,216.68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本基金本报告期末未持有股票。</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438,630,665.79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999.00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384,943,034.97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53,688,629.82</w:t>
            </w:r>
          </w:p>
        </w:tc>
      </w:tr>
    </w:tbl>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EE49FE">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533209" w:rsidRPr="000673DA" w:rsidRDefault="00533209" w:rsidP="00533209">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533209" w:rsidRPr="00AE55CC" w:rsidRDefault="00533209" w:rsidP="00533209">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533209" w:rsidRDefault="00533209" w:rsidP="00533209">
      <w:pPr>
        <w:autoSpaceDE w:val="0"/>
        <w:autoSpaceDN w:val="0"/>
        <w:adjustRightInd w:val="0"/>
        <w:spacing w:before="29" w:line="288" w:lineRule="auto"/>
        <w:jc w:val="left"/>
        <w:rPr>
          <w:color w:val="000000"/>
          <w:sz w:val="24"/>
        </w:rPr>
      </w:pPr>
    </w:p>
    <w:p w:rsidR="00533209" w:rsidRPr="008A3BCC" w:rsidRDefault="00533209" w:rsidP="00533209">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533209" w:rsidRDefault="00533209" w:rsidP="00533209">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533209" w:rsidRPr="007F52FA" w:rsidRDefault="00533209" w:rsidP="00533209">
      <w:pPr>
        <w:autoSpaceDE w:val="0"/>
        <w:autoSpaceDN w:val="0"/>
        <w:adjustRightInd w:val="0"/>
        <w:spacing w:before="29" w:line="288" w:lineRule="auto"/>
        <w:jc w:val="left"/>
        <w:rPr>
          <w:rFonts w:eastAsiaTheme="minorEastAsia"/>
          <w:color w:val="000000"/>
          <w:sz w:val="24"/>
        </w:rPr>
      </w:pPr>
    </w:p>
    <w:p w:rsidR="003C50AD" w:rsidRPr="00220C32" w:rsidRDefault="003C50AD" w:rsidP="00EE49FE">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本基金基金合同的规定，本基金在基金合同生效之日起两年（含两年）的期间内封闭式运作（按照基金合同的约定提前转换基金运作方式的除外），封闭期结束后转为开放式运作。封闭期在本基金的基金合同中如无特别指明即为自基金合同生效之日起至两个公历年后对应日止，若两年后对应日为非工作日的，相应顺延。本基金的封闭期自2015年11月9日开始至2017年11月9日止，自2017年11月10日起转为开放式运作。本基金在转为开放式运作后，自2017年11月10日开始办理日常申购、赎回等业务，并适用基金合同中关于转为开放式运作后的有关规定。详情请查阅本基金管理人于2017年11月3日发布的《交银施罗德基金管理有限公司关于交银施罗德丰硕收益债券型证券投资基金封闭期结束转为开放式运作的提示性公告》以及2017年11月8日发布的《交银施罗德基金管理有限公司关于交银施罗德丰硕收益债券型证券投资基金封闭期结束转为开放式运作暨开放日常申购、赎回业务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EE49FE">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B7D9E" w:rsidRDefault="00A169E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、中国证监会准予交银施罗德丰硕收益债券型证券投资基金募集注册的文件；</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、《交银施罗德丰硕收益债券型证券投资基金基金合同》；</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、《交银施罗德丰硕收益债券型证券投资基金招募说明书》；</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、《交银施罗德丰硕收益债券型证券投资基金托管协议》；</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、关于申请募集注册交银施罗德丰硕收益债券型证券投资基金的法律意见书；</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AB7D9E" w:rsidRDefault="00A169E0">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、报告期内交银施罗德丰硕收益债券型证券投资基金在指定报刊上各项公告的原稿。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B7D9E" w:rsidRDefault="00A169E0">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58" w:rsidRDefault="004C5258" w:rsidP="00876D65">
      <w:r>
        <w:separator/>
      </w:r>
    </w:p>
  </w:endnote>
  <w:endnote w:type="continuationSeparator" w:id="0">
    <w:p w:rsidR="004C5258" w:rsidRDefault="004C5258"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52479B">
      <w:rPr>
        <w:kern w:val="0"/>
        <w:szCs w:val="21"/>
      </w:rPr>
      <w:fldChar w:fldCharType="begin"/>
    </w:r>
    <w:r>
      <w:rPr>
        <w:kern w:val="0"/>
        <w:szCs w:val="21"/>
      </w:rPr>
      <w:instrText xml:space="preserve"> PAGE </w:instrText>
    </w:r>
    <w:r w:rsidR="0052479B">
      <w:rPr>
        <w:kern w:val="0"/>
        <w:szCs w:val="21"/>
      </w:rPr>
      <w:fldChar w:fldCharType="separate"/>
    </w:r>
    <w:r w:rsidR="00B37A10">
      <w:rPr>
        <w:noProof/>
        <w:kern w:val="0"/>
        <w:szCs w:val="21"/>
      </w:rPr>
      <w:t>4</w:t>
    </w:r>
    <w:r w:rsidR="0052479B">
      <w:rPr>
        <w:kern w:val="0"/>
        <w:szCs w:val="21"/>
      </w:rPr>
      <w:fldChar w:fldCharType="end"/>
    </w:r>
    <w:r>
      <w:rPr>
        <w:rFonts w:hint="eastAsia"/>
        <w:kern w:val="0"/>
        <w:szCs w:val="21"/>
      </w:rPr>
      <w:t>页共</w:t>
    </w:r>
    <w:r w:rsidR="0052479B">
      <w:rPr>
        <w:kern w:val="0"/>
        <w:szCs w:val="21"/>
      </w:rPr>
      <w:fldChar w:fldCharType="begin"/>
    </w:r>
    <w:r>
      <w:rPr>
        <w:kern w:val="0"/>
        <w:szCs w:val="21"/>
      </w:rPr>
      <w:instrText xml:space="preserve"> NUMPAGES </w:instrText>
    </w:r>
    <w:r w:rsidR="0052479B">
      <w:rPr>
        <w:kern w:val="0"/>
        <w:szCs w:val="21"/>
      </w:rPr>
      <w:fldChar w:fldCharType="separate"/>
    </w:r>
    <w:r w:rsidR="00B37A10">
      <w:rPr>
        <w:noProof/>
        <w:kern w:val="0"/>
        <w:szCs w:val="21"/>
      </w:rPr>
      <w:t>12</w:t>
    </w:r>
    <w:r w:rsidR="0052479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58" w:rsidRDefault="004C5258" w:rsidP="00876D65">
      <w:r>
        <w:separator/>
      </w:r>
    </w:p>
  </w:footnote>
  <w:footnote w:type="continuationSeparator" w:id="0">
    <w:p w:rsidR="004C5258" w:rsidRDefault="004C5258"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5258"/>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3209"/>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169E0"/>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B7D9E"/>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37A10"/>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262983-55E7-43CF-BF4C-C67B9201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38FA2.79A29B5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07A6-7B66-439F-8A49-67947B60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TotalTime>
  <Pages>12</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568</cp:revision>
  <dcterms:created xsi:type="dcterms:W3CDTF">2012-10-16T06:07:00Z</dcterms:created>
  <dcterms:modified xsi:type="dcterms:W3CDTF">2018-01-18T02:59:00Z</dcterms:modified>
</cp:coreProperties>
</file>