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交银施罗德丰泽收益债券型证券投资基金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二〇一八年一月二十二日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6075EA" w:rsidRDefault="00D7366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6075EA" w:rsidRDefault="00D73669">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6075EA" w:rsidRDefault="00D7366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6075EA" w:rsidRDefault="00D7366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6075EA" w:rsidRDefault="00D7366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交银丰泽收益债券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519749</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契约型，本基金在基金合同生效之日起两年（含两年）的期间内封闭式运作（按照基金合同的约定提前转换基金运作方式的除外），封闭期结束后转为开放式运作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30</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4,725,042.93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w:t>
            </w:r>
            <w:r w:rsidRPr="007F52FA">
              <w:rPr>
                <w:color w:val="000000"/>
                <w:kern w:val="0"/>
                <w:sz w:val="24"/>
              </w:rPr>
              <w:t>,</w:t>
            </w:r>
            <w:r w:rsidRPr="007F52FA">
              <w:rPr>
                <w:color w:val="000000"/>
                <w:kern w:val="0"/>
                <w:sz w:val="24"/>
              </w:rPr>
              <w:t>力争获取高于业绩比较基准的稳定收益。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6075EA" w:rsidRDefault="00D73669">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6075EA" w:rsidRDefault="006075EA">
            <w:pPr>
              <w:adjustRightInd w:val="0"/>
              <w:spacing w:before="29" w:line="288" w:lineRule="auto"/>
              <w:ind w:left="17"/>
              <w:jc w:val="left"/>
              <w:rPr>
                <w:color w:val="000000"/>
                <w:sz w:val="24"/>
              </w:rPr>
            </w:pP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lastRenderedPageBreak/>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6075EA" w:rsidRDefault="00D73669">
            <w:pPr>
              <w:adjustRightInd w:val="0"/>
              <w:spacing w:before="29" w:line="288" w:lineRule="auto"/>
              <w:ind w:left="17"/>
              <w:jc w:val="left"/>
              <w:rPr>
                <w:color w:val="000000"/>
                <w:sz w:val="24"/>
              </w:rPr>
            </w:pPr>
            <w:r>
              <w:rPr>
                <w:color w:val="000000"/>
                <w:kern w:val="0"/>
                <w:sz w:val="24"/>
              </w:rPr>
              <w:t>封闭期内业绩比较基准：两年期银行定期存款税后收益率</w:t>
            </w:r>
            <w:r>
              <w:rPr>
                <w:color w:val="000000"/>
                <w:kern w:val="0"/>
                <w:sz w:val="24"/>
              </w:rPr>
              <w:t>+1.25%</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交银丰泽收益债券</w:t>
            </w:r>
            <w:r w:rsidRPr="007F52FA">
              <w:rPr>
                <w:sz w:val="24"/>
              </w:rPr>
              <w:t xml:space="preserve">A </w:t>
            </w:r>
          </w:p>
        </w:tc>
        <w:tc>
          <w:tcPr>
            <w:tcW w:w="3048" w:type="dxa"/>
            <w:vAlign w:val="center"/>
          </w:tcPr>
          <w:p w:rsidR="008532F3" w:rsidRPr="007F52FA" w:rsidRDefault="008532F3" w:rsidP="007C14DF">
            <w:pPr>
              <w:spacing w:before="29" w:line="288" w:lineRule="auto"/>
              <w:jc w:val="left"/>
              <w:rPr>
                <w:sz w:val="24"/>
              </w:rPr>
            </w:pPr>
            <w:r w:rsidRPr="007F52FA">
              <w:rPr>
                <w:sz w:val="24"/>
              </w:rPr>
              <w:t>交银丰泽收益债券</w:t>
            </w:r>
            <w:r w:rsidRPr="007F52FA">
              <w:rPr>
                <w:sz w:val="24"/>
              </w:rPr>
              <w:t xml:space="preserve">C </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519749</w:t>
            </w:r>
          </w:p>
        </w:tc>
        <w:tc>
          <w:tcPr>
            <w:tcW w:w="3048" w:type="dxa"/>
            <w:vAlign w:val="center"/>
          </w:tcPr>
          <w:p w:rsidR="00C23B30" w:rsidRPr="000E4C40" w:rsidRDefault="00C23B30" w:rsidP="00A52A9E">
            <w:pPr>
              <w:spacing w:before="29" w:line="288" w:lineRule="auto"/>
              <w:jc w:val="left"/>
              <w:rPr>
                <w:sz w:val="24"/>
              </w:rPr>
            </w:pPr>
            <w:r w:rsidRPr="000E4C40">
              <w:rPr>
                <w:sz w:val="24"/>
              </w:rPr>
              <w:t>004711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4,724,803.20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239.73</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2</w:t>
      </w:r>
      <w:r w:rsidRPr="007F52FA">
        <w:rPr>
          <w:rFonts w:eastAsiaTheme="minorEastAsia"/>
          <w:color w:val="000000"/>
          <w:sz w:val="24"/>
        </w:rPr>
        <w:t>月</w:t>
      </w:r>
      <w:r w:rsidRPr="007F52FA">
        <w:rPr>
          <w:rFonts w:eastAsiaTheme="minorEastAsia"/>
          <w:color w:val="000000"/>
          <w:sz w:val="24"/>
        </w:rPr>
        <w:t>6</w:t>
      </w:r>
      <w:r w:rsidRPr="007F52FA">
        <w:rPr>
          <w:rFonts w:eastAsiaTheme="minorEastAsia"/>
          <w:color w:val="000000"/>
          <w:sz w:val="24"/>
        </w:rPr>
        <w:t>日起转为开放式运作</w:t>
      </w:r>
      <w:r w:rsidR="005F62AF" w:rsidRPr="005F62AF">
        <w:rPr>
          <w:rFonts w:eastAsiaTheme="minorEastAsia" w:hint="eastAsia"/>
          <w:color w:val="000000"/>
          <w:sz w:val="24"/>
        </w:rPr>
        <w:t>，自</w:t>
      </w:r>
      <w:r w:rsidR="005F62AF" w:rsidRPr="005F62AF">
        <w:rPr>
          <w:rFonts w:eastAsiaTheme="minorEastAsia" w:hint="eastAsia"/>
          <w:color w:val="000000"/>
          <w:sz w:val="24"/>
        </w:rPr>
        <w:t>2017</w:t>
      </w:r>
      <w:r w:rsidR="005F62AF" w:rsidRPr="005F62AF">
        <w:rPr>
          <w:rFonts w:eastAsiaTheme="minorEastAsia" w:hint="eastAsia"/>
          <w:color w:val="000000"/>
          <w:sz w:val="24"/>
        </w:rPr>
        <w:t>年</w:t>
      </w:r>
      <w:r w:rsidR="005F62AF" w:rsidRPr="005F62AF">
        <w:rPr>
          <w:rFonts w:eastAsiaTheme="minorEastAsia" w:hint="eastAsia"/>
          <w:color w:val="000000"/>
          <w:sz w:val="24"/>
        </w:rPr>
        <w:t>10</w:t>
      </w:r>
      <w:r w:rsidR="005F62AF" w:rsidRPr="005F62AF">
        <w:rPr>
          <w:rFonts w:eastAsiaTheme="minorEastAsia" w:hint="eastAsia"/>
          <w:color w:val="000000"/>
          <w:sz w:val="24"/>
        </w:rPr>
        <w:t>月</w:t>
      </w:r>
      <w:r w:rsidR="005F62AF" w:rsidRPr="005F62AF">
        <w:rPr>
          <w:rFonts w:eastAsiaTheme="minorEastAsia" w:hint="eastAsia"/>
          <w:color w:val="000000"/>
          <w:sz w:val="24"/>
        </w:rPr>
        <w:t>30</w:t>
      </w:r>
      <w:r w:rsidR="005F62AF" w:rsidRPr="005F62AF">
        <w:rPr>
          <w:rFonts w:eastAsiaTheme="minorEastAsia" w:hint="eastAsia"/>
          <w:color w:val="000000"/>
          <w:sz w:val="24"/>
        </w:rPr>
        <w:t>日起，本基金进入清算程序</w:t>
      </w:r>
      <w:bookmarkStart w:id="0" w:name="_GoBack"/>
      <w:bookmarkEnd w:id="0"/>
      <w:r w:rsidRPr="007F52FA">
        <w:rPr>
          <w:rFonts w:eastAsiaTheme="minorEastAsia"/>
          <w:color w:val="000000"/>
          <w:sz w:val="24"/>
        </w:rPr>
        <w:t>。</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交银丰泽收益债券</w:t>
            </w:r>
            <w:r w:rsidRPr="007F52FA">
              <w:rPr>
                <w:sz w:val="24"/>
              </w:rPr>
              <w:t xml:space="preserve">A </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交银丰泽收益债券</w:t>
            </w:r>
            <w:r w:rsidRPr="007F52FA">
              <w:rPr>
                <w:sz w:val="24"/>
              </w:rPr>
              <w:t xml:space="preserve">C </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55,235.10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2.96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70,144.72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3.34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D73669">
            <w:pPr>
              <w:adjustRightInd w:val="0"/>
              <w:spacing w:before="29" w:line="288" w:lineRule="auto"/>
              <w:ind w:left="17"/>
              <w:jc w:val="right"/>
              <w:rPr>
                <w:color w:val="000000"/>
                <w:sz w:val="24"/>
              </w:rPr>
            </w:pPr>
            <w:r w:rsidRPr="007F52FA">
              <w:rPr>
                <w:color w:val="000000"/>
                <w:sz w:val="24"/>
              </w:rPr>
              <w:t>0.0</w:t>
            </w:r>
            <w:r w:rsidR="00D73669">
              <w:rPr>
                <w:color w:val="000000"/>
                <w:sz w:val="24"/>
              </w:rPr>
              <w:t>1</w:t>
            </w:r>
            <w:r w:rsidRPr="007F52FA">
              <w:rPr>
                <w:color w:val="000000"/>
                <w:sz w:val="24"/>
              </w:rPr>
              <w:t>17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0.0139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lastRenderedPageBreak/>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4,844,366.48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243.92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1.017</w:t>
            </w:r>
          </w:p>
        </w:tc>
      </w:tr>
    </w:tbl>
    <w:p w:rsidR="006075EA" w:rsidRDefault="00D7366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交银丰泽收益债券</w:t>
      </w:r>
      <w:r w:rsidR="00A5643A" w:rsidRPr="007F52FA">
        <w:rPr>
          <w:b/>
          <w:color w:val="000000"/>
          <w:kern w:val="0"/>
          <w:sz w:val="24"/>
        </w:rPr>
        <w:t xml:space="preserve">A </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075EA">
        <w:trPr>
          <w:jc w:val="center"/>
        </w:trPr>
        <w:tc>
          <w:tcPr>
            <w:tcW w:w="1266" w:type="dxa"/>
            <w:vAlign w:val="center"/>
          </w:tcPr>
          <w:p w:rsidR="006075EA" w:rsidRDefault="00D73669">
            <w:pPr>
              <w:jc w:val="left"/>
            </w:pPr>
            <w:r>
              <w:rPr>
                <w:color w:val="000000"/>
                <w:sz w:val="24"/>
              </w:rPr>
              <w:t>过去三个月</w:t>
            </w:r>
          </w:p>
        </w:tc>
        <w:tc>
          <w:tcPr>
            <w:tcW w:w="1267" w:type="dxa"/>
            <w:vAlign w:val="center"/>
          </w:tcPr>
          <w:p w:rsidR="006075EA" w:rsidRDefault="00D73669">
            <w:pPr>
              <w:jc w:val="center"/>
            </w:pPr>
            <w:r>
              <w:rPr>
                <w:color w:val="000000"/>
                <w:sz w:val="24"/>
              </w:rPr>
              <w:t>1.28%</w:t>
            </w:r>
          </w:p>
        </w:tc>
        <w:tc>
          <w:tcPr>
            <w:tcW w:w="1267" w:type="dxa"/>
            <w:vAlign w:val="center"/>
          </w:tcPr>
          <w:p w:rsidR="006075EA" w:rsidRDefault="00D73669">
            <w:pPr>
              <w:jc w:val="center"/>
            </w:pPr>
            <w:r>
              <w:rPr>
                <w:color w:val="000000"/>
                <w:sz w:val="24"/>
              </w:rPr>
              <w:t>0.21%</w:t>
            </w:r>
          </w:p>
        </w:tc>
        <w:tc>
          <w:tcPr>
            <w:tcW w:w="1267" w:type="dxa"/>
            <w:vAlign w:val="center"/>
          </w:tcPr>
          <w:p w:rsidR="006075EA" w:rsidRDefault="00D73669">
            <w:pPr>
              <w:jc w:val="center"/>
            </w:pPr>
            <w:r>
              <w:rPr>
                <w:color w:val="000000"/>
                <w:sz w:val="24"/>
              </w:rPr>
              <w:t>-1.16%</w:t>
            </w:r>
          </w:p>
        </w:tc>
        <w:tc>
          <w:tcPr>
            <w:tcW w:w="1267" w:type="dxa"/>
            <w:vAlign w:val="center"/>
          </w:tcPr>
          <w:p w:rsidR="006075EA" w:rsidRDefault="00D73669">
            <w:pPr>
              <w:jc w:val="center"/>
            </w:pPr>
            <w:r>
              <w:rPr>
                <w:color w:val="000000"/>
                <w:sz w:val="24"/>
              </w:rPr>
              <w:t>0.06%</w:t>
            </w:r>
          </w:p>
        </w:tc>
        <w:tc>
          <w:tcPr>
            <w:tcW w:w="1267" w:type="dxa"/>
            <w:vAlign w:val="center"/>
          </w:tcPr>
          <w:p w:rsidR="006075EA" w:rsidRDefault="00D73669">
            <w:pPr>
              <w:jc w:val="center"/>
            </w:pPr>
            <w:r>
              <w:rPr>
                <w:color w:val="000000"/>
                <w:sz w:val="24"/>
              </w:rPr>
              <w:t>2.44%</w:t>
            </w:r>
          </w:p>
        </w:tc>
        <w:tc>
          <w:tcPr>
            <w:tcW w:w="1267" w:type="dxa"/>
            <w:vAlign w:val="center"/>
          </w:tcPr>
          <w:p w:rsidR="006075EA" w:rsidRDefault="00D73669">
            <w:pPr>
              <w:jc w:val="center"/>
            </w:pPr>
            <w:r>
              <w:rPr>
                <w:color w:val="000000"/>
                <w:sz w:val="24"/>
              </w:rPr>
              <w:t>0.15%</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2</w:t>
      </w:r>
      <w:r w:rsidRPr="007F52FA">
        <w:rPr>
          <w:color w:val="000000"/>
          <w:sz w:val="24"/>
        </w:rPr>
        <w:t>月</w:t>
      </w:r>
      <w:r w:rsidRPr="007F52FA">
        <w:rPr>
          <w:color w:val="000000"/>
          <w:sz w:val="24"/>
        </w:rPr>
        <w:t>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交银丰泽收益债券</w:t>
      </w:r>
      <w:r w:rsidR="00FE7FBD" w:rsidRPr="007F52FA">
        <w:rPr>
          <w:b/>
          <w:color w:val="000000"/>
          <w:kern w:val="0"/>
          <w:sz w:val="24"/>
        </w:rPr>
        <w:t xml:space="preserve">C </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075EA">
        <w:trPr>
          <w:jc w:val="center"/>
        </w:trPr>
        <w:tc>
          <w:tcPr>
            <w:tcW w:w="1266" w:type="dxa"/>
            <w:vAlign w:val="center"/>
          </w:tcPr>
          <w:p w:rsidR="006075EA" w:rsidRDefault="00D73669">
            <w:pPr>
              <w:jc w:val="left"/>
            </w:pPr>
            <w:r>
              <w:rPr>
                <w:color w:val="000000"/>
                <w:sz w:val="24"/>
              </w:rPr>
              <w:t>过去三个月</w:t>
            </w:r>
          </w:p>
        </w:tc>
        <w:tc>
          <w:tcPr>
            <w:tcW w:w="1267" w:type="dxa"/>
            <w:vAlign w:val="center"/>
          </w:tcPr>
          <w:p w:rsidR="006075EA" w:rsidRDefault="00D73669">
            <w:pPr>
              <w:jc w:val="center"/>
            </w:pPr>
            <w:r>
              <w:rPr>
                <w:color w:val="000000"/>
                <w:sz w:val="24"/>
              </w:rPr>
              <w:t>1.29%</w:t>
            </w:r>
          </w:p>
        </w:tc>
        <w:tc>
          <w:tcPr>
            <w:tcW w:w="1267" w:type="dxa"/>
            <w:vAlign w:val="center"/>
          </w:tcPr>
          <w:p w:rsidR="006075EA" w:rsidRDefault="00D73669">
            <w:pPr>
              <w:jc w:val="center"/>
            </w:pPr>
            <w:r>
              <w:rPr>
                <w:color w:val="000000"/>
                <w:sz w:val="24"/>
              </w:rPr>
              <w:t>0.21%</w:t>
            </w:r>
          </w:p>
        </w:tc>
        <w:tc>
          <w:tcPr>
            <w:tcW w:w="1267" w:type="dxa"/>
            <w:vAlign w:val="center"/>
          </w:tcPr>
          <w:p w:rsidR="006075EA" w:rsidRDefault="00D73669">
            <w:pPr>
              <w:jc w:val="center"/>
            </w:pPr>
            <w:r>
              <w:rPr>
                <w:color w:val="000000"/>
                <w:sz w:val="24"/>
              </w:rPr>
              <w:t>-1.16%</w:t>
            </w:r>
          </w:p>
        </w:tc>
        <w:tc>
          <w:tcPr>
            <w:tcW w:w="1267" w:type="dxa"/>
            <w:vAlign w:val="center"/>
          </w:tcPr>
          <w:p w:rsidR="006075EA" w:rsidRDefault="00D73669">
            <w:pPr>
              <w:jc w:val="center"/>
            </w:pPr>
            <w:r>
              <w:rPr>
                <w:color w:val="000000"/>
                <w:sz w:val="24"/>
              </w:rPr>
              <w:t>0.06%</w:t>
            </w:r>
          </w:p>
        </w:tc>
        <w:tc>
          <w:tcPr>
            <w:tcW w:w="1267" w:type="dxa"/>
            <w:vAlign w:val="center"/>
          </w:tcPr>
          <w:p w:rsidR="006075EA" w:rsidRDefault="00D73669">
            <w:pPr>
              <w:jc w:val="center"/>
            </w:pPr>
            <w:r>
              <w:rPr>
                <w:color w:val="000000"/>
                <w:sz w:val="24"/>
              </w:rPr>
              <w:t>2.45%</w:t>
            </w:r>
          </w:p>
        </w:tc>
        <w:tc>
          <w:tcPr>
            <w:tcW w:w="1267" w:type="dxa"/>
            <w:vAlign w:val="center"/>
          </w:tcPr>
          <w:p w:rsidR="006075EA" w:rsidRDefault="00D73669">
            <w:pPr>
              <w:jc w:val="center"/>
            </w:pPr>
            <w:r>
              <w:rPr>
                <w:color w:val="000000"/>
                <w:sz w:val="24"/>
              </w:rPr>
              <w:t>0.15%</w:t>
            </w:r>
          </w:p>
        </w:tc>
      </w:tr>
    </w:tbl>
    <w:p w:rsidR="009238DB" w:rsidRPr="007F52FA" w:rsidRDefault="00973B57"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2</w:t>
      </w:r>
      <w:r w:rsidRPr="007F52FA">
        <w:rPr>
          <w:color w:val="000000"/>
          <w:sz w:val="24"/>
        </w:rPr>
        <w:t>月</w:t>
      </w:r>
      <w:r w:rsidRPr="007F52FA">
        <w:rPr>
          <w:color w:val="000000"/>
          <w:sz w:val="24"/>
        </w:rPr>
        <w:t>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交银施罗德丰泽收益债券型证券投资基金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30</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交银丰泽收益债券</w:t>
      </w:r>
      <w:r w:rsidR="0042785F" w:rsidRPr="007F52FA">
        <w:rPr>
          <w:color w:val="000000"/>
          <w:sz w:val="24"/>
        </w:rPr>
        <w:t xml:space="preserve">A </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个月。截至建仓期结束，本基金各项资产配置比例符合基金合同及招募说明书有关投资比例的约定。自</w:t>
      </w:r>
      <w:r w:rsidRPr="007F52FA">
        <w:rPr>
          <w:color w:val="000000"/>
          <w:sz w:val="24"/>
        </w:rPr>
        <w:t>2017</w:t>
      </w:r>
      <w:r w:rsidRPr="007F52FA">
        <w:rPr>
          <w:color w:val="000000"/>
          <w:sz w:val="24"/>
        </w:rPr>
        <w:t>年</w:t>
      </w:r>
      <w:r w:rsidRPr="007F52FA">
        <w:rPr>
          <w:color w:val="000000"/>
          <w:sz w:val="24"/>
        </w:rPr>
        <w:t>10</w:t>
      </w:r>
      <w:r w:rsidRPr="007F52FA">
        <w:rPr>
          <w:color w:val="000000"/>
          <w:sz w:val="24"/>
        </w:rPr>
        <w:t>月</w:t>
      </w:r>
      <w:r w:rsidRPr="007F52FA">
        <w:rPr>
          <w:color w:val="000000"/>
          <w:sz w:val="24"/>
        </w:rPr>
        <w:t>30</w:t>
      </w:r>
      <w:r w:rsidRPr="007F52FA">
        <w:rPr>
          <w:color w:val="000000"/>
          <w:sz w:val="24"/>
        </w:rPr>
        <w:t>日起，本基金进入清算程序，图示日期为</w:t>
      </w:r>
      <w:r w:rsidRPr="007F52FA">
        <w:rPr>
          <w:color w:val="000000"/>
          <w:sz w:val="24"/>
        </w:rPr>
        <w:t>2015</w:t>
      </w:r>
      <w:r w:rsidRPr="007F52FA">
        <w:rPr>
          <w:color w:val="000000"/>
          <w:sz w:val="24"/>
        </w:rPr>
        <w:t>年</w:t>
      </w:r>
      <w:r w:rsidRPr="007F52FA">
        <w:rPr>
          <w:color w:val="000000"/>
          <w:sz w:val="24"/>
        </w:rPr>
        <w:t>1</w:t>
      </w:r>
      <w:r w:rsidRPr="007F52FA">
        <w:rPr>
          <w:color w:val="000000"/>
          <w:sz w:val="24"/>
        </w:rPr>
        <w:t>月</w:t>
      </w:r>
      <w:r w:rsidRPr="007F52FA">
        <w:rPr>
          <w:color w:val="000000"/>
          <w:sz w:val="24"/>
        </w:rPr>
        <w:t>30</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交银丰泽收益债券</w:t>
      </w:r>
      <w:r w:rsidR="00FE7FBD" w:rsidRPr="007F52FA">
        <w:rPr>
          <w:color w:val="000000"/>
          <w:sz w:val="24"/>
        </w:rPr>
        <w:t xml:space="preserve">C </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5</w:t>
      </w:r>
      <w:r w:rsidRPr="007F52FA">
        <w:rPr>
          <w:color w:val="000000"/>
          <w:sz w:val="24"/>
        </w:rPr>
        <w:t>月</w:t>
      </w:r>
      <w:r w:rsidRPr="007F52FA">
        <w:rPr>
          <w:color w:val="000000"/>
          <w:sz w:val="24"/>
        </w:rPr>
        <w:t>19</w:t>
      </w:r>
      <w:r w:rsidRPr="007F52FA">
        <w:rPr>
          <w:color w:val="000000"/>
          <w:sz w:val="24"/>
        </w:rPr>
        <w:t>日起增加</w:t>
      </w:r>
      <w:r w:rsidRPr="007F52FA">
        <w:rPr>
          <w:color w:val="000000"/>
          <w:sz w:val="24"/>
        </w:rPr>
        <w:t>C</w:t>
      </w:r>
      <w:r w:rsidRPr="007F52FA">
        <w:rPr>
          <w:color w:val="000000"/>
          <w:sz w:val="24"/>
        </w:rPr>
        <w:t>类份额，投资者提交的申购申请于</w:t>
      </w:r>
      <w:r w:rsidRPr="007F52FA">
        <w:rPr>
          <w:color w:val="000000"/>
          <w:sz w:val="24"/>
        </w:rPr>
        <w:t>2017</w:t>
      </w:r>
      <w:r w:rsidRPr="007F52FA">
        <w:rPr>
          <w:color w:val="000000"/>
          <w:sz w:val="24"/>
        </w:rPr>
        <w:t>年</w:t>
      </w:r>
      <w:r w:rsidRPr="007F52FA">
        <w:rPr>
          <w:color w:val="000000"/>
          <w:sz w:val="24"/>
        </w:rPr>
        <w:t>5</w:t>
      </w:r>
      <w:r w:rsidRPr="007F52FA">
        <w:rPr>
          <w:color w:val="000000"/>
          <w:sz w:val="24"/>
        </w:rPr>
        <w:t>月</w:t>
      </w:r>
      <w:r w:rsidRPr="007F52FA">
        <w:rPr>
          <w:color w:val="000000"/>
          <w:sz w:val="24"/>
        </w:rPr>
        <w:t>22</w:t>
      </w:r>
      <w:r w:rsidRPr="007F52FA">
        <w:rPr>
          <w:color w:val="000000"/>
          <w:sz w:val="24"/>
        </w:rPr>
        <w:t>日被确认并将有效份额登记在册。自</w:t>
      </w:r>
      <w:r w:rsidRPr="007F52FA">
        <w:rPr>
          <w:color w:val="000000"/>
          <w:sz w:val="24"/>
        </w:rPr>
        <w:t>2017</w:t>
      </w:r>
      <w:r w:rsidRPr="007F52FA">
        <w:rPr>
          <w:color w:val="000000"/>
          <w:sz w:val="24"/>
        </w:rPr>
        <w:t>年</w:t>
      </w:r>
      <w:r w:rsidRPr="007F52FA">
        <w:rPr>
          <w:color w:val="000000"/>
          <w:sz w:val="24"/>
        </w:rPr>
        <w:t>10</w:t>
      </w:r>
      <w:r w:rsidRPr="007F52FA">
        <w:rPr>
          <w:color w:val="000000"/>
          <w:sz w:val="24"/>
        </w:rPr>
        <w:t>月</w:t>
      </w:r>
      <w:r w:rsidRPr="007F52FA">
        <w:rPr>
          <w:color w:val="000000"/>
          <w:sz w:val="24"/>
        </w:rPr>
        <w:t>30</w:t>
      </w:r>
      <w:r w:rsidRPr="007F52FA">
        <w:rPr>
          <w:color w:val="000000"/>
          <w:sz w:val="24"/>
        </w:rPr>
        <w:t>日起，本基金进入清算程序，图示日期为</w:t>
      </w:r>
      <w:r w:rsidRPr="007F52FA">
        <w:rPr>
          <w:color w:val="000000"/>
          <w:sz w:val="24"/>
        </w:rPr>
        <w:t>2017</w:t>
      </w:r>
      <w:r w:rsidRPr="007F52FA">
        <w:rPr>
          <w:color w:val="000000"/>
          <w:sz w:val="24"/>
        </w:rPr>
        <w:t>年</w:t>
      </w:r>
      <w:r w:rsidRPr="007F52FA">
        <w:rPr>
          <w:color w:val="000000"/>
          <w:sz w:val="24"/>
        </w:rPr>
        <w:t>5</w:t>
      </w:r>
      <w:r w:rsidRPr="007F52FA">
        <w:rPr>
          <w:color w:val="000000"/>
          <w:sz w:val="24"/>
        </w:rPr>
        <w:t>月</w:t>
      </w:r>
      <w:r w:rsidRPr="007F52FA">
        <w:rPr>
          <w:color w:val="000000"/>
          <w:sz w:val="24"/>
        </w:rPr>
        <w:t>22</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6075EA">
        <w:trPr>
          <w:jc w:val="center"/>
        </w:trPr>
        <w:tc>
          <w:tcPr>
            <w:tcW w:w="946" w:type="dxa"/>
            <w:vAlign w:val="center"/>
          </w:tcPr>
          <w:p w:rsidR="006075EA" w:rsidRDefault="00D73669">
            <w:pPr>
              <w:jc w:val="center"/>
            </w:pPr>
            <w:r>
              <w:rPr>
                <w:color w:val="000000"/>
                <w:sz w:val="24"/>
              </w:rPr>
              <w:t>黄莹洁</w:t>
            </w:r>
          </w:p>
        </w:tc>
        <w:tc>
          <w:tcPr>
            <w:tcW w:w="924" w:type="dxa"/>
            <w:vAlign w:val="center"/>
          </w:tcPr>
          <w:p w:rsidR="006075EA" w:rsidRDefault="00D73669">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天债券、交银现金宝货币、交银丰享收益债券、交银丰泽收益债券、交银裕通纯债债券、交银活期通货币、交银天利宝货币、交银裕隆纯</w:t>
            </w:r>
            <w:r>
              <w:rPr>
                <w:color w:val="000000"/>
                <w:sz w:val="24"/>
              </w:rPr>
              <w:lastRenderedPageBreak/>
              <w:t>债债券、交银天鑫宝货币、交银天益宝货币、交银境尚收益债券的基金经理</w:t>
            </w:r>
          </w:p>
        </w:tc>
        <w:tc>
          <w:tcPr>
            <w:tcW w:w="1202" w:type="dxa"/>
            <w:vAlign w:val="center"/>
          </w:tcPr>
          <w:p w:rsidR="006075EA" w:rsidRDefault="00D73669">
            <w:pPr>
              <w:jc w:val="center"/>
            </w:pPr>
            <w:r>
              <w:rPr>
                <w:color w:val="000000"/>
                <w:sz w:val="24"/>
              </w:rPr>
              <w:lastRenderedPageBreak/>
              <w:t>2015-07-25</w:t>
            </w:r>
          </w:p>
        </w:tc>
        <w:tc>
          <w:tcPr>
            <w:tcW w:w="1300" w:type="dxa"/>
            <w:vAlign w:val="center"/>
          </w:tcPr>
          <w:p w:rsidR="006075EA" w:rsidRDefault="00D73669">
            <w:pPr>
              <w:jc w:val="center"/>
            </w:pPr>
            <w:r>
              <w:rPr>
                <w:color w:val="000000"/>
                <w:sz w:val="24"/>
              </w:rPr>
              <w:t>-</w:t>
            </w:r>
          </w:p>
        </w:tc>
        <w:tc>
          <w:tcPr>
            <w:tcW w:w="1245" w:type="dxa"/>
            <w:vAlign w:val="center"/>
          </w:tcPr>
          <w:p w:rsidR="006075EA" w:rsidRDefault="00D73669">
            <w:pPr>
              <w:jc w:val="center"/>
            </w:pPr>
            <w:r>
              <w:rPr>
                <w:color w:val="000000"/>
                <w:sz w:val="24"/>
              </w:rPr>
              <w:t>9</w:t>
            </w:r>
            <w:r>
              <w:rPr>
                <w:color w:val="000000"/>
                <w:sz w:val="24"/>
              </w:rPr>
              <w:t>年</w:t>
            </w:r>
          </w:p>
        </w:tc>
        <w:tc>
          <w:tcPr>
            <w:tcW w:w="3251" w:type="dxa"/>
            <w:vAlign w:val="center"/>
          </w:tcPr>
          <w:p w:rsidR="006075EA" w:rsidRDefault="00D73669">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6075EA" w:rsidRDefault="00D7366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075EA" w:rsidRDefault="00D7366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075EA" w:rsidRDefault="00D7366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lastRenderedPageBreak/>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6075EA" w:rsidRDefault="00D73669">
      <w:pPr>
        <w:spacing w:before="29" w:line="288" w:lineRule="auto"/>
        <w:ind w:firstLineChars="200" w:firstLine="480"/>
        <w:rPr>
          <w:color w:val="000000"/>
          <w:sz w:val="24"/>
        </w:rPr>
      </w:pPr>
      <w:r>
        <w:rPr>
          <w:color w:val="000000"/>
          <w:sz w:val="24"/>
        </w:rPr>
        <w:t>本报告期内，部分经济增长数据呈现出一定韧性，通胀数据在十月触顶后略有回落，猪肉价格保持平稳，海外原油有上升压力。央行继续保持稳健中性的货币政策，在美联储加息后小幅跟随上调银行间利率，并先后宣布延迟定向降准和建立临时准备金动用安排。银行间流动性在年底显示出更强的季节性特征，银行超储率保持低位，整体资金价格中枢上移。债券收益率上行后亦有回落，在高位震荡盘整。资管新规征求意见稿出炉、美联储加息靴子落地、年末流动性紧张等因素成为债券市场收益率变动的主要原因。报告期内，</w:t>
      </w:r>
      <w:r>
        <w:rPr>
          <w:color w:val="000000"/>
          <w:sz w:val="24"/>
        </w:rPr>
        <w:t>10</w:t>
      </w:r>
      <w:r>
        <w:rPr>
          <w:color w:val="000000"/>
          <w:sz w:val="24"/>
        </w:rPr>
        <w:t>年期国债收益率上行</w:t>
      </w:r>
      <w:r>
        <w:rPr>
          <w:color w:val="000000"/>
          <w:sz w:val="24"/>
        </w:rPr>
        <w:t>26BP</w:t>
      </w:r>
      <w:r>
        <w:rPr>
          <w:color w:val="000000"/>
          <w:sz w:val="24"/>
        </w:rPr>
        <w:t>至</w:t>
      </w:r>
      <w:r>
        <w:rPr>
          <w:color w:val="000000"/>
          <w:sz w:val="24"/>
        </w:rPr>
        <w:t>3.88%</w:t>
      </w:r>
      <w:r>
        <w:rPr>
          <w:color w:val="000000"/>
          <w:sz w:val="24"/>
        </w:rPr>
        <w:t>，</w:t>
      </w:r>
      <w:r>
        <w:rPr>
          <w:color w:val="000000"/>
          <w:sz w:val="24"/>
        </w:rPr>
        <w:t>10</w:t>
      </w:r>
      <w:r>
        <w:rPr>
          <w:color w:val="000000"/>
          <w:sz w:val="24"/>
        </w:rPr>
        <w:t>年期国开债收益率上行</w:t>
      </w:r>
      <w:r>
        <w:rPr>
          <w:color w:val="000000"/>
          <w:sz w:val="24"/>
        </w:rPr>
        <w:t>63BP</w:t>
      </w:r>
      <w:r>
        <w:rPr>
          <w:color w:val="000000"/>
          <w:sz w:val="24"/>
        </w:rPr>
        <w:t>到</w:t>
      </w:r>
      <w:r>
        <w:rPr>
          <w:color w:val="000000"/>
          <w:sz w:val="24"/>
        </w:rPr>
        <w:t>4.82%</w:t>
      </w:r>
      <w:r>
        <w:rPr>
          <w:color w:val="000000"/>
          <w:sz w:val="24"/>
        </w:rPr>
        <w:t>。</w:t>
      </w:r>
    </w:p>
    <w:p w:rsidR="006075EA" w:rsidRDefault="00D73669">
      <w:pPr>
        <w:spacing w:before="29" w:line="288" w:lineRule="auto"/>
        <w:ind w:firstLineChars="200" w:firstLine="480"/>
        <w:rPr>
          <w:color w:val="000000"/>
          <w:sz w:val="24"/>
        </w:rPr>
      </w:pPr>
      <w:r>
        <w:rPr>
          <w:color w:val="000000"/>
          <w:sz w:val="24"/>
        </w:rPr>
        <w:t>基金操作方面，本基金卖出了存量债券，进入清盘流程。</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年一季度，基本面的下行态势或将得到验证，</w:t>
      </w:r>
      <w:r w:rsidRPr="007F52FA">
        <w:rPr>
          <w:color w:val="000000"/>
          <w:sz w:val="24"/>
        </w:rPr>
        <w:t>CPI</w:t>
      </w:r>
      <w:r w:rsidRPr="007F52FA">
        <w:rPr>
          <w:color w:val="000000"/>
          <w:sz w:val="24"/>
        </w:rPr>
        <w:t>在春节期间能否创出新高后回落，以及宏观经济对债市影响的增强仍需要时间演化。在货币政策</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的基调下，利率或处于高位震荡格局之中。我们将密切关注金融监管政策的落地实施、供给侧等改革进展、通胀预期变化、美联储加息进度等因素对市场的影响。</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日，交银丰泽收益债券</w:t>
      </w:r>
      <w:r w:rsidRPr="007F52FA">
        <w:rPr>
          <w:color w:val="000000"/>
          <w:sz w:val="24"/>
        </w:rPr>
        <w:t>A</w:t>
      </w:r>
      <w:r w:rsidRPr="007F52FA">
        <w:rPr>
          <w:color w:val="000000"/>
          <w:sz w:val="24"/>
        </w:rPr>
        <w:t>份额净值为</w:t>
      </w:r>
      <w:r w:rsidRPr="007F52FA">
        <w:rPr>
          <w:color w:val="000000"/>
          <w:sz w:val="24"/>
        </w:rPr>
        <w:t>1.025</w:t>
      </w:r>
      <w:r w:rsidRPr="007F52FA">
        <w:rPr>
          <w:color w:val="000000"/>
          <w:sz w:val="24"/>
        </w:rPr>
        <w:t>元，本报告期份额净值增长率为</w:t>
      </w:r>
      <w:r w:rsidRPr="007F52FA">
        <w:rPr>
          <w:color w:val="000000"/>
          <w:sz w:val="24"/>
        </w:rPr>
        <w:t>1.28%</w:t>
      </w:r>
      <w:r w:rsidRPr="007F52FA">
        <w:rPr>
          <w:color w:val="000000"/>
          <w:sz w:val="24"/>
        </w:rPr>
        <w:t>，同期业绩比较基准增长率为</w:t>
      </w:r>
      <w:r w:rsidRPr="007F52FA">
        <w:rPr>
          <w:color w:val="000000"/>
          <w:sz w:val="24"/>
        </w:rPr>
        <w:t>-1.16%</w:t>
      </w:r>
      <w:r w:rsidRPr="007F52FA">
        <w:rPr>
          <w:color w:val="000000"/>
          <w:sz w:val="24"/>
        </w:rPr>
        <w:t>；交银丰泽收益债券</w:t>
      </w:r>
      <w:r w:rsidRPr="007F52FA">
        <w:rPr>
          <w:color w:val="000000"/>
          <w:sz w:val="24"/>
        </w:rPr>
        <w:t>C</w:t>
      </w:r>
      <w:r w:rsidRPr="007F52FA">
        <w:rPr>
          <w:color w:val="000000"/>
          <w:sz w:val="24"/>
        </w:rPr>
        <w:t>份额净值为</w:t>
      </w:r>
      <w:r w:rsidRPr="007F52FA">
        <w:rPr>
          <w:color w:val="000000"/>
          <w:sz w:val="24"/>
        </w:rPr>
        <w:t>1.017</w:t>
      </w:r>
      <w:r w:rsidRPr="007F52FA">
        <w:rPr>
          <w:color w:val="000000"/>
          <w:sz w:val="24"/>
        </w:rPr>
        <w:t>元，本报告期份额净值增长率为</w:t>
      </w:r>
      <w:r w:rsidRPr="007F52FA">
        <w:rPr>
          <w:color w:val="000000"/>
          <w:sz w:val="24"/>
        </w:rPr>
        <w:t>1.29%</w:t>
      </w:r>
      <w:r w:rsidRPr="007F52FA">
        <w:rPr>
          <w:color w:val="000000"/>
          <w:sz w:val="24"/>
        </w:rPr>
        <w:t>，同期业绩比较基准增长率为</w:t>
      </w:r>
      <w:r w:rsidRPr="007F52FA">
        <w:rPr>
          <w:color w:val="000000"/>
          <w:sz w:val="24"/>
        </w:rPr>
        <w:t>-1.16%</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本基金本报告期内连续六十个工作日出现基金资产净值低于</w:t>
      </w:r>
      <w:r w:rsidRPr="002070B4">
        <w:rPr>
          <w:color w:val="000000"/>
          <w:sz w:val="24"/>
        </w:rPr>
        <w:t>5000</w:t>
      </w:r>
      <w:r w:rsidRPr="002070B4">
        <w:rPr>
          <w:color w:val="000000"/>
          <w:sz w:val="24"/>
        </w:rPr>
        <w:t>万元、连续二十个工作日以上出现基金份额持有人数量不满</w:t>
      </w:r>
      <w:r w:rsidRPr="002070B4">
        <w:rPr>
          <w:color w:val="000000"/>
          <w:sz w:val="24"/>
        </w:rPr>
        <w:t>200</w:t>
      </w:r>
      <w:r w:rsidRPr="002070B4">
        <w:rPr>
          <w:color w:val="000000"/>
          <w:sz w:val="24"/>
        </w:rPr>
        <w:t>人的情形，基金管理人根据基金合同约定采用终止基金合同的方式解决。自</w:t>
      </w:r>
      <w:r w:rsidRPr="002070B4">
        <w:rPr>
          <w:color w:val="000000"/>
          <w:sz w:val="24"/>
        </w:rPr>
        <w:t>2017</w:t>
      </w:r>
      <w:r w:rsidRPr="002070B4">
        <w:rPr>
          <w:color w:val="000000"/>
          <w:sz w:val="24"/>
        </w:rPr>
        <w:t>年</w:t>
      </w:r>
      <w:r w:rsidRPr="002070B4">
        <w:rPr>
          <w:color w:val="000000"/>
          <w:sz w:val="24"/>
        </w:rPr>
        <w:t>10</w:t>
      </w:r>
      <w:r w:rsidRPr="002070B4">
        <w:rPr>
          <w:color w:val="000000"/>
          <w:sz w:val="24"/>
        </w:rPr>
        <w:t>月</w:t>
      </w:r>
      <w:r w:rsidRPr="002070B4">
        <w:rPr>
          <w:color w:val="000000"/>
          <w:sz w:val="24"/>
        </w:rPr>
        <w:t>30</w:t>
      </w:r>
      <w:r w:rsidRPr="002070B4">
        <w:rPr>
          <w:color w:val="000000"/>
          <w:sz w:val="24"/>
        </w:rPr>
        <w:t>日起，本基金进入清算程序。</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lastRenderedPageBreak/>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5,014,094.62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99.95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2,515.78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0.05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5,016,610.40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9238DB" w:rsidRPr="007F52FA" w:rsidRDefault="00296E4A" w:rsidP="007C14DF">
      <w:pPr>
        <w:autoSpaceDE w:val="0"/>
        <w:autoSpaceDN w:val="0"/>
        <w:adjustRightInd w:val="0"/>
        <w:spacing w:before="29" w:line="288" w:lineRule="auto"/>
        <w:jc w:val="left"/>
        <w:rPr>
          <w:color w:val="000000"/>
          <w:sz w:val="24"/>
        </w:rPr>
      </w:pPr>
      <w:r w:rsidRPr="007F52FA">
        <w:rPr>
          <w:color w:val="000000"/>
          <w:sz w:val="24"/>
        </w:rPr>
        <w:t>本基金本报告期末未持有债券。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9238DB" w:rsidRPr="007F52FA" w:rsidRDefault="00296E4A" w:rsidP="007C14DF">
      <w:pPr>
        <w:autoSpaceDE w:val="0"/>
        <w:autoSpaceDN w:val="0"/>
        <w:adjustRightInd w:val="0"/>
        <w:spacing w:before="29" w:line="288" w:lineRule="auto"/>
        <w:jc w:val="left"/>
        <w:rPr>
          <w:color w:val="000000"/>
          <w:sz w:val="24"/>
        </w:rPr>
      </w:pPr>
      <w:r w:rsidRPr="007F52FA">
        <w:rPr>
          <w:color w:val="000000"/>
          <w:sz w:val="24"/>
        </w:rPr>
        <w:t>本基金本报告期末未持有债券。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w:t>
      </w:r>
      <w:r w:rsidRPr="007F52FA">
        <w:rPr>
          <w:b/>
          <w:color w:val="000000"/>
          <w:kern w:val="0"/>
          <w:sz w:val="24"/>
        </w:rPr>
        <w:lastRenderedPageBreak/>
        <w:t>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7"/>
        <w:gridCol w:w="2778"/>
        <w:gridCol w:w="4843"/>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1,419.04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1,096.74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2,515.78</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lastRenderedPageBreak/>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交银丰泽收益债券</w:t>
            </w:r>
            <w:r w:rsidRPr="007F52FA">
              <w:rPr>
                <w:rFonts w:eastAsiaTheme="minorEastAsia"/>
                <w:sz w:val="24"/>
              </w:rPr>
              <w:t xml:space="preserve">A </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交银丰泽收益债券</w:t>
            </w:r>
            <w:r w:rsidRPr="007F52FA">
              <w:rPr>
                <w:rFonts w:eastAsiaTheme="minorEastAsia"/>
                <w:sz w:val="24"/>
              </w:rPr>
              <w:t xml:space="preserve">C </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10,259,194.48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239.73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9.87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5,534,401.15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4,724,803.20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239.73</w:t>
            </w:r>
          </w:p>
        </w:tc>
      </w:tr>
    </w:tbl>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BE251D">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影响投资者决策的其他重要信息</w:t>
      </w:r>
    </w:p>
    <w:p w:rsidR="00ED0E09" w:rsidRPr="00B87E01" w:rsidRDefault="00ED0E09" w:rsidP="00ED0E09">
      <w:pPr>
        <w:spacing w:line="360" w:lineRule="auto"/>
        <w:ind w:firstLineChars="200" w:firstLine="480"/>
        <w:rPr>
          <w:rFonts w:eastAsiaTheme="minorEastAsia"/>
          <w:color w:val="000000"/>
          <w:sz w:val="24"/>
        </w:rPr>
      </w:pPr>
      <w:r w:rsidRPr="00B87E01">
        <w:rPr>
          <w:rFonts w:eastAsiaTheme="minorEastAsia" w:hint="eastAsia"/>
          <w:color w:val="000000"/>
          <w:sz w:val="24"/>
        </w:rPr>
        <w:t>本报告期内，本基金已连续六十个工作日出现基金资产净值低于</w:t>
      </w:r>
      <w:r w:rsidRPr="00B87E01">
        <w:rPr>
          <w:rFonts w:eastAsiaTheme="minorEastAsia" w:hint="eastAsia"/>
          <w:color w:val="000000"/>
          <w:sz w:val="24"/>
        </w:rPr>
        <w:t xml:space="preserve">5000 </w:t>
      </w:r>
      <w:r w:rsidRPr="00B87E01">
        <w:rPr>
          <w:rFonts w:eastAsiaTheme="minorEastAsia" w:hint="eastAsia"/>
          <w:color w:val="000000"/>
          <w:sz w:val="24"/>
        </w:rPr>
        <w:t>万元的情形，</w:t>
      </w:r>
      <w:r w:rsidRPr="00B87E01">
        <w:rPr>
          <w:rFonts w:eastAsiaTheme="minorEastAsia" w:hint="eastAsia"/>
          <w:color w:val="000000"/>
          <w:sz w:val="24"/>
        </w:rPr>
        <w:lastRenderedPageBreak/>
        <w:t>已触发基金合同中约定的本基金终止条款，为保护基金份额持有人利益，根据基金合同约定，本基金管理人已向中国证监会报告，本基金进行基金财产清算。自</w:t>
      </w:r>
      <w:r w:rsidRPr="00B87E01">
        <w:rPr>
          <w:rFonts w:eastAsiaTheme="minorEastAsia" w:hint="eastAsia"/>
          <w:color w:val="000000"/>
          <w:sz w:val="24"/>
        </w:rPr>
        <w:t xml:space="preserve">2017 </w:t>
      </w:r>
      <w:r w:rsidRPr="00B87E01">
        <w:rPr>
          <w:rFonts w:eastAsiaTheme="minorEastAsia" w:hint="eastAsia"/>
          <w:color w:val="000000"/>
          <w:sz w:val="24"/>
        </w:rPr>
        <w:t>年</w:t>
      </w:r>
      <w:r w:rsidRPr="00B87E01">
        <w:rPr>
          <w:rFonts w:eastAsiaTheme="minorEastAsia" w:hint="eastAsia"/>
          <w:color w:val="000000"/>
          <w:sz w:val="24"/>
        </w:rPr>
        <w:t>10</w:t>
      </w:r>
      <w:r w:rsidRPr="00B87E01">
        <w:rPr>
          <w:rFonts w:eastAsiaTheme="minorEastAsia" w:hint="eastAsia"/>
          <w:color w:val="000000"/>
          <w:sz w:val="24"/>
        </w:rPr>
        <w:t>月</w:t>
      </w:r>
      <w:r w:rsidRPr="00B87E01">
        <w:rPr>
          <w:rFonts w:eastAsiaTheme="minorEastAsia" w:hint="eastAsia"/>
          <w:color w:val="000000"/>
          <w:sz w:val="24"/>
        </w:rPr>
        <w:t>30</w:t>
      </w:r>
      <w:r w:rsidRPr="00B87E01">
        <w:rPr>
          <w:rFonts w:eastAsiaTheme="minorEastAsia" w:hint="eastAsia"/>
          <w:color w:val="000000"/>
          <w:sz w:val="24"/>
        </w:rPr>
        <w:t>日起，本基金进入清算程序，进入清算程序后将不再开放办理申购、赎回、</w:t>
      </w:r>
      <w:r w:rsidRPr="00B87E01">
        <w:rPr>
          <w:rFonts w:eastAsiaTheme="minorEastAsia" w:hint="eastAsia"/>
          <w:color w:val="000000"/>
          <w:sz w:val="24"/>
        </w:rPr>
        <w:t>A</w:t>
      </w:r>
      <w:r w:rsidRPr="00B87E01">
        <w:rPr>
          <w:rFonts w:eastAsiaTheme="minorEastAsia" w:hint="eastAsia"/>
          <w:color w:val="000000"/>
          <w:sz w:val="24"/>
        </w:rPr>
        <w:t>类基金份额定期定额投资业务。基金管理人按照本基金基金合同的约定，组织成立基金财产清算小组履行基金财产清算程序，并将及时公告清算结果。截止本报告期末，本基金尚处于清算程序之中。详情请查阅本基金管理人于</w:t>
      </w:r>
      <w:r w:rsidRPr="00B87E01">
        <w:rPr>
          <w:rFonts w:eastAsiaTheme="minorEastAsia" w:hint="eastAsia"/>
          <w:color w:val="000000"/>
          <w:sz w:val="24"/>
        </w:rPr>
        <w:t>2017</w:t>
      </w:r>
      <w:r w:rsidRPr="00B87E01">
        <w:rPr>
          <w:rFonts w:eastAsiaTheme="minorEastAsia" w:hint="eastAsia"/>
          <w:color w:val="000000"/>
          <w:sz w:val="24"/>
        </w:rPr>
        <w:t>年</w:t>
      </w:r>
      <w:r w:rsidRPr="00B87E01">
        <w:rPr>
          <w:rFonts w:eastAsiaTheme="minorEastAsia" w:hint="eastAsia"/>
          <w:color w:val="000000"/>
          <w:sz w:val="24"/>
        </w:rPr>
        <w:t>10</w:t>
      </w:r>
      <w:r w:rsidRPr="00B87E01">
        <w:rPr>
          <w:rFonts w:eastAsiaTheme="minorEastAsia" w:hint="eastAsia"/>
          <w:color w:val="000000"/>
          <w:sz w:val="24"/>
        </w:rPr>
        <w:t>月</w:t>
      </w:r>
      <w:r w:rsidRPr="00B87E01">
        <w:rPr>
          <w:rFonts w:eastAsiaTheme="minorEastAsia" w:hint="eastAsia"/>
          <w:color w:val="000000"/>
          <w:sz w:val="24"/>
        </w:rPr>
        <w:t>23</w:t>
      </w:r>
      <w:r w:rsidRPr="00B87E01">
        <w:rPr>
          <w:rFonts w:eastAsiaTheme="minorEastAsia" w:hint="eastAsia"/>
          <w:color w:val="000000"/>
          <w:sz w:val="24"/>
        </w:rPr>
        <w:t>日发布的《交银施罗德基金管理有限公司关于交银施罗德丰泽收益债券型证券投资基金基金合同触发终止情形及进入基金财产清算程序的公告》以及</w:t>
      </w:r>
      <w:r w:rsidRPr="00B87E01">
        <w:rPr>
          <w:rFonts w:eastAsiaTheme="minorEastAsia" w:hint="eastAsia"/>
          <w:color w:val="000000"/>
          <w:sz w:val="24"/>
        </w:rPr>
        <w:t>2017</w:t>
      </w:r>
      <w:r w:rsidRPr="00B87E01">
        <w:rPr>
          <w:rFonts w:eastAsiaTheme="minorEastAsia" w:hint="eastAsia"/>
          <w:color w:val="000000"/>
          <w:sz w:val="24"/>
        </w:rPr>
        <w:t>年</w:t>
      </w:r>
      <w:r w:rsidRPr="00B87E01">
        <w:rPr>
          <w:rFonts w:eastAsiaTheme="minorEastAsia" w:hint="eastAsia"/>
          <w:color w:val="000000"/>
          <w:sz w:val="24"/>
        </w:rPr>
        <w:t>10</w:t>
      </w:r>
      <w:r w:rsidRPr="00B87E01">
        <w:rPr>
          <w:rFonts w:eastAsiaTheme="minorEastAsia" w:hint="eastAsia"/>
          <w:color w:val="000000"/>
          <w:sz w:val="24"/>
        </w:rPr>
        <w:t>月</w:t>
      </w:r>
      <w:r w:rsidRPr="00B87E01">
        <w:rPr>
          <w:rFonts w:eastAsiaTheme="minorEastAsia" w:hint="eastAsia"/>
          <w:color w:val="000000"/>
          <w:sz w:val="24"/>
        </w:rPr>
        <w:t>25</w:t>
      </w:r>
      <w:r w:rsidRPr="00B87E01">
        <w:rPr>
          <w:rFonts w:eastAsiaTheme="minorEastAsia" w:hint="eastAsia"/>
          <w:color w:val="000000"/>
          <w:sz w:val="24"/>
        </w:rPr>
        <w:t>日发布的《交银施罗德基金管理有限公司关于交银施罗德丰泽收益债券型证券投资基金基金合同触发终止情形及进入基金财产清算程序的提示性公告》。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6075EA" w:rsidRDefault="00D7366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、中国证监会准予交银施罗德丰泽收益债券型证券投资基金募集注册的文件；</w:t>
      </w:r>
      <w:r>
        <w:rPr>
          <w:rFonts w:eastAsiaTheme="minorEastAsia"/>
          <w:color w:val="000000"/>
          <w:sz w:val="24"/>
        </w:rPr>
        <w:t xml:space="preserve"> </w:t>
      </w:r>
    </w:p>
    <w:p w:rsidR="006075EA" w:rsidRDefault="00D7366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、《交银施罗德丰泽收益债券型证券投资基金基金合同》；</w:t>
      </w:r>
    </w:p>
    <w:p w:rsidR="006075EA" w:rsidRDefault="00D7366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、《交银施罗德丰泽收益债券型证券投资基金招募说明书》；</w:t>
      </w:r>
      <w:r>
        <w:rPr>
          <w:rFonts w:eastAsiaTheme="minorEastAsia"/>
          <w:color w:val="000000"/>
          <w:sz w:val="24"/>
        </w:rPr>
        <w:t xml:space="preserve"> </w:t>
      </w:r>
    </w:p>
    <w:p w:rsidR="006075EA" w:rsidRDefault="00D73669">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、《交银施罗德丰泽收益债券型证券投资基金托管协议》；</w:t>
      </w:r>
      <w:r>
        <w:rPr>
          <w:rFonts w:eastAsiaTheme="minorEastAsia"/>
          <w:color w:val="000000"/>
          <w:sz w:val="24"/>
        </w:rPr>
        <w:t xml:space="preserve"> </w:t>
      </w:r>
    </w:p>
    <w:p w:rsidR="006075EA" w:rsidRDefault="00D73669">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6075EA" w:rsidRDefault="00D7366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6075EA" w:rsidRDefault="00D73669">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、关于申请募集注册交银施罗德丰泽收益债券型证券投资基金的法律意见书；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、报告期内交银施罗德丰泽收益债券型证券投资基金在指定报刊上各项公告的原稿。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6075EA" w:rsidRDefault="00D7366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w:t>
      </w:r>
      <w:r w:rsidRPr="007F52FA">
        <w:rPr>
          <w:rFonts w:eastAsiaTheme="minorEastAsia"/>
          <w:color w:val="000000"/>
          <w:sz w:val="24"/>
        </w:rPr>
        <w:lastRenderedPageBreak/>
        <w:t>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C5D" w:rsidRDefault="00FC4C5D">
      <w:r>
        <w:separator/>
      </w:r>
    </w:p>
  </w:endnote>
  <w:endnote w:type="continuationSeparator" w:id="0">
    <w:p w:rsidR="00FC4C5D" w:rsidRDefault="00FC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5F62AF">
      <w:rPr>
        <w:noProof/>
        <w:kern w:val="0"/>
        <w:szCs w:val="21"/>
      </w:rPr>
      <w:t>3</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5F62AF">
      <w:rPr>
        <w:noProof/>
        <w:kern w:val="0"/>
        <w:szCs w:val="21"/>
      </w:rPr>
      <w:t>13</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C5D" w:rsidRDefault="00FC4C5D">
      <w:r>
        <w:separator/>
      </w:r>
    </w:p>
  </w:footnote>
  <w:footnote w:type="continuationSeparator" w:id="0">
    <w:p w:rsidR="00FC4C5D" w:rsidRDefault="00FC4C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FC4C5D"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279C"/>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5F62AF"/>
    <w:rsid w:val="0060008E"/>
    <w:rsid w:val="00602321"/>
    <w:rsid w:val="006033E3"/>
    <w:rsid w:val="00606B29"/>
    <w:rsid w:val="0060758A"/>
    <w:rsid w:val="006075E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7E01"/>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3669"/>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4C5D"/>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B1DF9AB5-F900-4EF7-8EA4-F4027B8B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A31D2-DBC3-47EF-9E8A-59D92A12A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198</TotalTime>
  <Pages>13</Pages>
  <Words>1024</Words>
  <Characters>5840</Characters>
  <Application>Microsoft Office Word</Application>
  <DocSecurity>0</DocSecurity>
  <Lines>48</Lines>
  <Paragraphs>13</Paragraphs>
  <ScaleCrop>false</ScaleCrop>
  <Company>TRT. Ltd. Co.</Company>
  <LinksUpToDate>false</LinksUpToDate>
  <CharactersWithSpaces>6851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372</cp:revision>
  <cp:lastPrinted>2007-07-19T00:46:00Z</cp:lastPrinted>
  <dcterms:created xsi:type="dcterms:W3CDTF">2014-01-17T06:19:00Z</dcterms:created>
  <dcterms:modified xsi:type="dcterms:W3CDTF">2018-01-18T02:57:00Z</dcterms:modified>
</cp:coreProperties>
</file>