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287,409,401.88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923AA6" w:rsidRDefault="00264A11">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923AA6" w:rsidRDefault="00923AA6">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923AA6" w:rsidRDefault="00264A11">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260,425,742.53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26,983,659.35</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4,499,422.85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231,177.55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4,061,003.07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206,859.80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523,127,548.32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27,557,300.93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2.009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1.021</w:t>
            </w:r>
          </w:p>
        </w:tc>
      </w:tr>
    </w:tbl>
    <w:p w:rsidR="00923AA6" w:rsidRDefault="00264A1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23AA6">
        <w:trPr>
          <w:jc w:val="center"/>
        </w:trPr>
        <w:tc>
          <w:tcPr>
            <w:tcW w:w="1266" w:type="dxa"/>
            <w:vAlign w:val="center"/>
          </w:tcPr>
          <w:p w:rsidR="00923AA6" w:rsidRDefault="00264A11">
            <w:pPr>
              <w:jc w:val="left"/>
            </w:pPr>
            <w:r>
              <w:rPr>
                <w:color w:val="000000"/>
                <w:sz w:val="24"/>
              </w:rPr>
              <w:t>过去三个月</w:t>
            </w:r>
          </w:p>
        </w:tc>
        <w:tc>
          <w:tcPr>
            <w:tcW w:w="1267" w:type="dxa"/>
            <w:vAlign w:val="center"/>
          </w:tcPr>
          <w:p w:rsidR="00923AA6" w:rsidRDefault="00264A11">
            <w:pPr>
              <w:jc w:val="center"/>
            </w:pPr>
            <w:r>
              <w:rPr>
                <w:color w:val="000000"/>
                <w:sz w:val="24"/>
              </w:rPr>
              <w:t>0.80%</w:t>
            </w:r>
          </w:p>
        </w:tc>
        <w:tc>
          <w:tcPr>
            <w:tcW w:w="1267" w:type="dxa"/>
            <w:vAlign w:val="center"/>
          </w:tcPr>
          <w:p w:rsidR="00923AA6" w:rsidRDefault="00264A11">
            <w:pPr>
              <w:jc w:val="center"/>
            </w:pPr>
            <w:r>
              <w:rPr>
                <w:color w:val="000000"/>
                <w:sz w:val="24"/>
              </w:rPr>
              <w:t>0.03%</w:t>
            </w:r>
          </w:p>
        </w:tc>
        <w:tc>
          <w:tcPr>
            <w:tcW w:w="1267" w:type="dxa"/>
            <w:vAlign w:val="center"/>
          </w:tcPr>
          <w:p w:rsidR="00923AA6" w:rsidRDefault="00264A11">
            <w:pPr>
              <w:jc w:val="center"/>
            </w:pPr>
            <w:r>
              <w:rPr>
                <w:color w:val="000000"/>
                <w:sz w:val="24"/>
              </w:rPr>
              <w:t>-1.15%</w:t>
            </w:r>
          </w:p>
        </w:tc>
        <w:tc>
          <w:tcPr>
            <w:tcW w:w="1267" w:type="dxa"/>
            <w:vAlign w:val="center"/>
          </w:tcPr>
          <w:p w:rsidR="00923AA6" w:rsidRDefault="00264A11">
            <w:pPr>
              <w:jc w:val="center"/>
            </w:pPr>
            <w:r>
              <w:rPr>
                <w:color w:val="000000"/>
                <w:sz w:val="24"/>
              </w:rPr>
              <w:t>0.06%</w:t>
            </w:r>
          </w:p>
        </w:tc>
        <w:tc>
          <w:tcPr>
            <w:tcW w:w="1267" w:type="dxa"/>
            <w:vAlign w:val="center"/>
          </w:tcPr>
          <w:p w:rsidR="00923AA6" w:rsidRDefault="00264A11">
            <w:pPr>
              <w:jc w:val="center"/>
            </w:pPr>
            <w:r>
              <w:rPr>
                <w:color w:val="000000"/>
                <w:sz w:val="24"/>
              </w:rPr>
              <w:t>1.95%</w:t>
            </w:r>
          </w:p>
        </w:tc>
        <w:tc>
          <w:tcPr>
            <w:tcW w:w="1267" w:type="dxa"/>
            <w:vAlign w:val="center"/>
          </w:tcPr>
          <w:p w:rsidR="00923AA6" w:rsidRDefault="00264A11">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23AA6">
        <w:trPr>
          <w:jc w:val="center"/>
        </w:trPr>
        <w:tc>
          <w:tcPr>
            <w:tcW w:w="1266" w:type="dxa"/>
            <w:vAlign w:val="center"/>
          </w:tcPr>
          <w:p w:rsidR="00923AA6" w:rsidRDefault="00264A11">
            <w:pPr>
              <w:jc w:val="left"/>
            </w:pPr>
            <w:r>
              <w:rPr>
                <w:color w:val="000000"/>
                <w:sz w:val="24"/>
              </w:rPr>
              <w:t>过去三个月</w:t>
            </w:r>
          </w:p>
        </w:tc>
        <w:tc>
          <w:tcPr>
            <w:tcW w:w="1267" w:type="dxa"/>
            <w:vAlign w:val="center"/>
          </w:tcPr>
          <w:p w:rsidR="00923AA6" w:rsidRDefault="00264A11">
            <w:pPr>
              <w:jc w:val="center"/>
            </w:pPr>
            <w:r>
              <w:rPr>
                <w:color w:val="000000"/>
                <w:sz w:val="24"/>
              </w:rPr>
              <w:t>0.69%</w:t>
            </w:r>
          </w:p>
        </w:tc>
        <w:tc>
          <w:tcPr>
            <w:tcW w:w="1267" w:type="dxa"/>
            <w:vAlign w:val="center"/>
          </w:tcPr>
          <w:p w:rsidR="00923AA6" w:rsidRDefault="00264A11">
            <w:pPr>
              <w:jc w:val="center"/>
            </w:pPr>
            <w:r>
              <w:rPr>
                <w:color w:val="000000"/>
                <w:sz w:val="24"/>
              </w:rPr>
              <w:t>0.04%</w:t>
            </w:r>
          </w:p>
        </w:tc>
        <w:tc>
          <w:tcPr>
            <w:tcW w:w="1267" w:type="dxa"/>
            <w:vAlign w:val="center"/>
          </w:tcPr>
          <w:p w:rsidR="00923AA6" w:rsidRDefault="00264A11">
            <w:pPr>
              <w:jc w:val="center"/>
            </w:pPr>
            <w:r>
              <w:rPr>
                <w:color w:val="000000"/>
                <w:sz w:val="24"/>
              </w:rPr>
              <w:t>-1.15%</w:t>
            </w:r>
          </w:p>
        </w:tc>
        <w:tc>
          <w:tcPr>
            <w:tcW w:w="1267" w:type="dxa"/>
            <w:vAlign w:val="center"/>
          </w:tcPr>
          <w:p w:rsidR="00923AA6" w:rsidRDefault="00264A11">
            <w:pPr>
              <w:jc w:val="center"/>
            </w:pPr>
            <w:r>
              <w:rPr>
                <w:color w:val="000000"/>
                <w:sz w:val="24"/>
              </w:rPr>
              <w:t>0.06%</w:t>
            </w:r>
          </w:p>
        </w:tc>
        <w:tc>
          <w:tcPr>
            <w:tcW w:w="1267" w:type="dxa"/>
            <w:vAlign w:val="center"/>
          </w:tcPr>
          <w:p w:rsidR="00923AA6" w:rsidRDefault="00264A11">
            <w:pPr>
              <w:jc w:val="center"/>
            </w:pPr>
            <w:r>
              <w:rPr>
                <w:color w:val="000000"/>
                <w:sz w:val="24"/>
              </w:rPr>
              <w:t>1.84%</w:t>
            </w:r>
          </w:p>
        </w:tc>
        <w:tc>
          <w:tcPr>
            <w:tcW w:w="1267" w:type="dxa"/>
            <w:vAlign w:val="center"/>
          </w:tcPr>
          <w:p w:rsidR="00923AA6" w:rsidRDefault="00264A11">
            <w:pPr>
              <w:jc w:val="center"/>
            </w:pPr>
            <w:r>
              <w:rPr>
                <w:color w:val="000000"/>
                <w:sz w:val="24"/>
              </w:rPr>
              <w:t>-0.02%</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日起，开始销售</w:t>
      </w:r>
      <w:r w:rsidRPr="007F52FA">
        <w:rPr>
          <w:color w:val="000000"/>
          <w:sz w:val="24"/>
        </w:rPr>
        <w:t>A</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19</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23AA6">
        <w:trPr>
          <w:jc w:val="center"/>
        </w:trPr>
        <w:tc>
          <w:tcPr>
            <w:tcW w:w="946" w:type="dxa"/>
            <w:vAlign w:val="center"/>
          </w:tcPr>
          <w:p w:rsidR="00923AA6" w:rsidRDefault="00264A11">
            <w:pPr>
              <w:jc w:val="center"/>
            </w:pPr>
            <w:r>
              <w:rPr>
                <w:color w:val="000000"/>
                <w:sz w:val="24"/>
              </w:rPr>
              <w:t>黄莹洁</w:t>
            </w:r>
          </w:p>
        </w:tc>
        <w:tc>
          <w:tcPr>
            <w:tcW w:w="924" w:type="dxa"/>
            <w:vAlign w:val="center"/>
          </w:tcPr>
          <w:p w:rsidR="00923AA6" w:rsidRDefault="00264A11">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202" w:type="dxa"/>
            <w:vAlign w:val="center"/>
          </w:tcPr>
          <w:p w:rsidR="00923AA6" w:rsidRDefault="00264A11">
            <w:pPr>
              <w:jc w:val="center"/>
            </w:pPr>
            <w:r>
              <w:rPr>
                <w:color w:val="000000"/>
                <w:sz w:val="24"/>
              </w:rPr>
              <w:t>2015-07-25</w:t>
            </w:r>
          </w:p>
        </w:tc>
        <w:tc>
          <w:tcPr>
            <w:tcW w:w="1300" w:type="dxa"/>
            <w:vAlign w:val="center"/>
          </w:tcPr>
          <w:p w:rsidR="00923AA6" w:rsidRDefault="00264A11">
            <w:pPr>
              <w:jc w:val="center"/>
            </w:pPr>
            <w:r>
              <w:rPr>
                <w:color w:val="000000"/>
                <w:sz w:val="24"/>
              </w:rPr>
              <w:t>-</w:t>
            </w:r>
          </w:p>
        </w:tc>
        <w:tc>
          <w:tcPr>
            <w:tcW w:w="1245" w:type="dxa"/>
            <w:vAlign w:val="center"/>
          </w:tcPr>
          <w:p w:rsidR="00923AA6" w:rsidRDefault="00264A11">
            <w:pPr>
              <w:jc w:val="center"/>
            </w:pPr>
            <w:r>
              <w:rPr>
                <w:color w:val="000000"/>
                <w:sz w:val="24"/>
              </w:rPr>
              <w:t>9</w:t>
            </w:r>
            <w:r>
              <w:rPr>
                <w:color w:val="000000"/>
                <w:sz w:val="24"/>
              </w:rPr>
              <w:t>年</w:t>
            </w:r>
          </w:p>
        </w:tc>
        <w:tc>
          <w:tcPr>
            <w:tcW w:w="3251" w:type="dxa"/>
            <w:vAlign w:val="center"/>
          </w:tcPr>
          <w:p w:rsidR="00923AA6" w:rsidRDefault="00264A1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923AA6" w:rsidRDefault="00264A1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w:t>
      </w:r>
      <w:r>
        <w:rPr>
          <w:color w:val="000000"/>
          <w:sz w:val="24"/>
        </w:rPr>
        <w:t>有资产组合，包括证券投资基金和特定客户资产管理专户均严格遵循制度进行公平交易。</w:t>
      </w:r>
    </w:p>
    <w:p w:rsidR="00923AA6" w:rsidRDefault="00264A1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23AA6" w:rsidRDefault="00264A1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23AA6" w:rsidRDefault="00264A11">
      <w:pPr>
        <w:spacing w:before="29" w:line="288" w:lineRule="auto"/>
        <w:ind w:firstLineChars="200" w:firstLine="480"/>
        <w:rPr>
          <w:color w:val="000000"/>
          <w:sz w:val="24"/>
        </w:rPr>
      </w:pPr>
      <w:r>
        <w:rPr>
          <w:color w:val="000000"/>
          <w:sz w:val="24"/>
        </w:rPr>
        <w:t>本报告期内，部分经济增长数据呈现出一定韧性，通胀数据在十月触顶后略有回落，猪肉价格保持平稳，海外原油有上升压力。央行继续保持稳健中性的货币政策，在美联储加息后小幅跟随上调银行间利率，并先后宣布延迟定向降</w:t>
      </w:r>
      <w:r>
        <w:rPr>
          <w:color w:val="000000"/>
          <w:sz w:val="24"/>
        </w:rPr>
        <w:t>准和建立临时准备金动用安排。银行间流动性在年底显示出更强的季节性特征，银行超储率保持低位，整体资金价格中枢上移。债券收益率上行后亦有回落，在高位震荡盘整。资管新规征求意见稿出炉、美联储加息靴子落地、年末流动性紧张等因素成为债券市场收益率变动的主要原因。报告期内，</w:t>
      </w:r>
      <w:r>
        <w:rPr>
          <w:color w:val="000000"/>
          <w:sz w:val="24"/>
        </w:rPr>
        <w:t>10</w:t>
      </w:r>
      <w:r>
        <w:rPr>
          <w:color w:val="000000"/>
          <w:sz w:val="24"/>
        </w:rPr>
        <w:t>年期国债收益率上行</w:t>
      </w:r>
      <w:r>
        <w:rPr>
          <w:color w:val="000000"/>
          <w:sz w:val="24"/>
        </w:rPr>
        <w:t>26BP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63BP</w:t>
      </w:r>
      <w:r>
        <w:rPr>
          <w:color w:val="000000"/>
          <w:sz w:val="24"/>
        </w:rPr>
        <w:t>到</w:t>
      </w:r>
      <w:r>
        <w:rPr>
          <w:color w:val="000000"/>
          <w:sz w:val="24"/>
        </w:rPr>
        <w:t>4.82%</w:t>
      </w:r>
      <w:r>
        <w:rPr>
          <w:color w:val="000000"/>
          <w:sz w:val="24"/>
        </w:rPr>
        <w:t>。</w:t>
      </w:r>
    </w:p>
    <w:p w:rsidR="00923AA6" w:rsidRDefault="00264A11">
      <w:pPr>
        <w:spacing w:before="29" w:line="288" w:lineRule="auto"/>
        <w:ind w:firstLineChars="200" w:firstLine="480"/>
        <w:rPr>
          <w:color w:val="000000"/>
          <w:sz w:val="24"/>
        </w:rPr>
      </w:pPr>
      <w:r>
        <w:rPr>
          <w:color w:val="000000"/>
          <w:sz w:val="24"/>
        </w:rPr>
        <w:t>基金操作方面，从绝对收益率、期限利差和金融去杠杆角度看，目前中短端仍是较好的选择，本基金以配置短久期的信用债为主。</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年一季度，基本面的下行态势或将得到验证，</w:t>
      </w:r>
      <w:r w:rsidRPr="007F52FA">
        <w:rPr>
          <w:color w:val="000000"/>
          <w:sz w:val="24"/>
        </w:rPr>
        <w:t>CPI</w:t>
      </w:r>
      <w:r w:rsidRPr="007F52FA">
        <w:rPr>
          <w:color w:val="000000"/>
          <w:sz w:val="24"/>
        </w:rPr>
        <w:t>在春节期间能否创出新高后回落，以及宏观经济对债市影响的增强仍需要时间演化。在货币政策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处于高位震荡格局之中。我们将密切关注金融监管政策的落地实施、供给侧等改革进展、通胀预期变化、美联储加息进度等因素对市场的影响。组合管理方面，本基金计划将维持合理仓位，采用中短久期的票息策略，等待长期趋势性机会，努力为投资者创造稳健的收益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日，交银丰享收益债券</w:t>
      </w:r>
      <w:r w:rsidRPr="007F52FA">
        <w:rPr>
          <w:color w:val="000000"/>
          <w:sz w:val="24"/>
        </w:rPr>
        <w:t>A</w:t>
      </w:r>
      <w:r w:rsidRPr="007F52FA">
        <w:rPr>
          <w:color w:val="000000"/>
          <w:sz w:val="24"/>
        </w:rPr>
        <w:t>份额净值为</w:t>
      </w:r>
      <w:r w:rsidRPr="007F52FA">
        <w:rPr>
          <w:color w:val="000000"/>
          <w:sz w:val="24"/>
        </w:rPr>
        <w:t>2.009</w:t>
      </w:r>
      <w:r w:rsidRPr="007F52FA">
        <w:rPr>
          <w:color w:val="000000"/>
          <w:sz w:val="24"/>
        </w:rPr>
        <w:t>元，本报告期份额净值增长率为</w:t>
      </w:r>
      <w:r w:rsidRPr="007F52FA">
        <w:rPr>
          <w:color w:val="000000"/>
          <w:sz w:val="24"/>
        </w:rPr>
        <w:t>0.80%</w:t>
      </w:r>
      <w:r w:rsidRPr="007F52FA">
        <w:rPr>
          <w:color w:val="000000"/>
          <w:sz w:val="24"/>
        </w:rPr>
        <w:t>，同期业绩比较基准增长率为</w:t>
      </w:r>
      <w:r w:rsidRPr="007F52FA">
        <w:rPr>
          <w:color w:val="000000"/>
          <w:sz w:val="24"/>
        </w:rPr>
        <w:t>-1.15%</w:t>
      </w:r>
      <w:r w:rsidRPr="007F52FA">
        <w:rPr>
          <w:color w:val="000000"/>
          <w:sz w:val="24"/>
        </w:rPr>
        <w:t>；交银丰享收益债券</w:t>
      </w:r>
      <w:r w:rsidRPr="007F52FA">
        <w:rPr>
          <w:color w:val="000000"/>
          <w:sz w:val="24"/>
        </w:rPr>
        <w:t>C</w:t>
      </w:r>
      <w:r w:rsidRPr="007F52FA">
        <w:rPr>
          <w:color w:val="000000"/>
          <w:sz w:val="24"/>
        </w:rPr>
        <w:t>份额净值为</w:t>
      </w:r>
      <w:r w:rsidRPr="007F52FA">
        <w:rPr>
          <w:color w:val="000000"/>
          <w:sz w:val="24"/>
        </w:rPr>
        <w:t>1.021</w:t>
      </w:r>
      <w:r w:rsidRPr="007F52FA">
        <w:rPr>
          <w:color w:val="000000"/>
          <w:sz w:val="24"/>
        </w:rPr>
        <w:t>元，本报告期份额净值增长率为</w:t>
      </w:r>
      <w:r w:rsidRPr="007F52FA">
        <w:rPr>
          <w:color w:val="000000"/>
          <w:sz w:val="24"/>
        </w:rPr>
        <w:t>0.69%</w:t>
      </w:r>
      <w:r w:rsidRPr="007F52FA">
        <w:rPr>
          <w:color w:val="000000"/>
          <w:sz w:val="24"/>
        </w:rPr>
        <w:t>，同期业绩比较基准增长率为</w:t>
      </w:r>
      <w:r w:rsidRPr="007F52FA">
        <w:rPr>
          <w:color w:val="000000"/>
          <w:sz w:val="24"/>
        </w:rPr>
        <w:t>-1.15%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640,745,500.00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640,745,500.00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287,954.04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10,235,273.92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1.57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651,268,727.96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400,757,000.00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72.77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29,239,000.00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180,839,500.00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32.84</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640,745,500.00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116.35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23AA6">
        <w:trPr>
          <w:jc w:val="center"/>
        </w:trPr>
        <w:tc>
          <w:tcPr>
            <w:tcW w:w="1075" w:type="dxa"/>
            <w:vAlign w:val="center"/>
          </w:tcPr>
          <w:p w:rsidR="00923AA6" w:rsidRDefault="00264A11">
            <w:pPr>
              <w:jc w:val="center"/>
            </w:pPr>
            <w:r>
              <w:rPr>
                <w:color w:val="000000"/>
                <w:sz w:val="24"/>
              </w:rPr>
              <w:t>1</w:t>
            </w:r>
          </w:p>
        </w:tc>
        <w:tc>
          <w:tcPr>
            <w:tcW w:w="1533" w:type="dxa"/>
            <w:vAlign w:val="center"/>
          </w:tcPr>
          <w:p w:rsidR="00923AA6" w:rsidRDefault="00264A11">
            <w:pPr>
              <w:jc w:val="center"/>
            </w:pPr>
            <w:r>
              <w:rPr>
                <w:color w:val="000000"/>
                <w:sz w:val="24"/>
              </w:rPr>
              <w:t>011751074</w:t>
            </w:r>
          </w:p>
        </w:tc>
        <w:tc>
          <w:tcPr>
            <w:tcW w:w="1533" w:type="dxa"/>
            <w:vAlign w:val="center"/>
          </w:tcPr>
          <w:p w:rsidR="00923AA6" w:rsidRDefault="00264A11">
            <w:pPr>
              <w:jc w:val="center"/>
            </w:pPr>
            <w:r>
              <w:rPr>
                <w:color w:val="000000"/>
                <w:sz w:val="24"/>
              </w:rPr>
              <w:t>17</w:t>
            </w:r>
            <w:r>
              <w:rPr>
                <w:color w:val="000000"/>
                <w:sz w:val="24"/>
              </w:rPr>
              <w:t>大唐集</w:t>
            </w:r>
            <w:r>
              <w:rPr>
                <w:color w:val="000000"/>
                <w:sz w:val="24"/>
              </w:rPr>
              <w:t>SCP006</w:t>
            </w:r>
          </w:p>
        </w:tc>
        <w:tc>
          <w:tcPr>
            <w:tcW w:w="1394" w:type="dxa"/>
            <w:vAlign w:val="center"/>
          </w:tcPr>
          <w:p w:rsidR="00923AA6" w:rsidRDefault="00264A11">
            <w:pPr>
              <w:jc w:val="right"/>
            </w:pPr>
            <w:r>
              <w:rPr>
                <w:color w:val="000000"/>
                <w:sz w:val="24"/>
              </w:rPr>
              <w:t>500,000</w:t>
            </w:r>
          </w:p>
        </w:tc>
        <w:tc>
          <w:tcPr>
            <w:tcW w:w="1944" w:type="dxa"/>
            <w:vAlign w:val="center"/>
          </w:tcPr>
          <w:p w:rsidR="00923AA6" w:rsidRDefault="00264A11">
            <w:pPr>
              <w:jc w:val="right"/>
            </w:pPr>
            <w:r>
              <w:rPr>
                <w:color w:val="000000"/>
                <w:sz w:val="24"/>
              </w:rPr>
              <w:t>50,140,000.00</w:t>
            </w:r>
          </w:p>
        </w:tc>
        <w:tc>
          <w:tcPr>
            <w:tcW w:w="1389" w:type="dxa"/>
            <w:vAlign w:val="center"/>
          </w:tcPr>
          <w:p w:rsidR="00923AA6" w:rsidRDefault="00264A11">
            <w:pPr>
              <w:jc w:val="right"/>
            </w:pPr>
            <w:r>
              <w:rPr>
                <w:color w:val="000000"/>
                <w:sz w:val="24"/>
              </w:rPr>
              <w:t>9.11</w:t>
            </w:r>
          </w:p>
        </w:tc>
      </w:tr>
      <w:tr w:rsidR="00923AA6">
        <w:trPr>
          <w:jc w:val="center"/>
        </w:trPr>
        <w:tc>
          <w:tcPr>
            <w:tcW w:w="1075" w:type="dxa"/>
            <w:vAlign w:val="center"/>
          </w:tcPr>
          <w:p w:rsidR="00923AA6" w:rsidRDefault="00264A11">
            <w:pPr>
              <w:jc w:val="center"/>
            </w:pPr>
            <w:r>
              <w:rPr>
                <w:color w:val="000000"/>
                <w:sz w:val="24"/>
              </w:rPr>
              <w:t>2</w:t>
            </w:r>
          </w:p>
        </w:tc>
        <w:tc>
          <w:tcPr>
            <w:tcW w:w="1533" w:type="dxa"/>
            <w:vAlign w:val="center"/>
          </w:tcPr>
          <w:p w:rsidR="00923AA6" w:rsidRDefault="00264A11">
            <w:pPr>
              <w:jc w:val="center"/>
            </w:pPr>
            <w:r>
              <w:rPr>
                <w:color w:val="000000"/>
                <w:sz w:val="24"/>
              </w:rPr>
              <w:t>011751061</w:t>
            </w:r>
          </w:p>
        </w:tc>
        <w:tc>
          <w:tcPr>
            <w:tcW w:w="1533" w:type="dxa"/>
            <w:vAlign w:val="center"/>
          </w:tcPr>
          <w:p w:rsidR="00923AA6" w:rsidRDefault="00264A11">
            <w:pPr>
              <w:jc w:val="center"/>
            </w:pPr>
            <w:r>
              <w:rPr>
                <w:color w:val="000000"/>
                <w:sz w:val="24"/>
              </w:rPr>
              <w:t>17</w:t>
            </w:r>
            <w:r>
              <w:rPr>
                <w:color w:val="000000"/>
                <w:sz w:val="24"/>
              </w:rPr>
              <w:t>华能集</w:t>
            </w:r>
            <w:r>
              <w:rPr>
                <w:color w:val="000000"/>
                <w:sz w:val="24"/>
              </w:rPr>
              <w:t>SCP002BC</w:t>
            </w:r>
          </w:p>
        </w:tc>
        <w:tc>
          <w:tcPr>
            <w:tcW w:w="1394" w:type="dxa"/>
            <w:vAlign w:val="center"/>
          </w:tcPr>
          <w:p w:rsidR="00923AA6" w:rsidRDefault="00264A11">
            <w:pPr>
              <w:jc w:val="right"/>
            </w:pPr>
            <w:r>
              <w:rPr>
                <w:color w:val="000000"/>
                <w:sz w:val="24"/>
              </w:rPr>
              <w:t>500,000</w:t>
            </w:r>
          </w:p>
        </w:tc>
        <w:tc>
          <w:tcPr>
            <w:tcW w:w="1944" w:type="dxa"/>
            <w:vAlign w:val="center"/>
          </w:tcPr>
          <w:p w:rsidR="00923AA6" w:rsidRDefault="00264A11">
            <w:pPr>
              <w:jc w:val="right"/>
            </w:pPr>
            <w:r>
              <w:rPr>
                <w:color w:val="000000"/>
                <w:sz w:val="24"/>
              </w:rPr>
              <w:t>50,135,000.00</w:t>
            </w:r>
          </w:p>
        </w:tc>
        <w:tc>
          <w:tcPr>
            <w:tcW w:w="1389" w:type="dxa"/>
            <w:vAlign w:val="center"/>
          </w:tcPr>
          <w:p w:rsidR="00923AA6" w:rsidRDefault="00264A11">
            <w:pPr>
              <w:jc w:val="right"/>
            </w:pPr>
            <w:r>
              <w:rPr>
                <w:color w:val="000000"/>
                <w:sz w:val="24"/>
              </w:rPr>
              <w:t>9.10</w:t>
            </w:r>
          </w:p>
        </w:tc>
      </w:tr>
      <w:tr w:rsidR="00923AA6">
        <w:trPr>
          <w:jc w:val="center"/>
        </w:trPr>
        <w:tc>
          <w:tcPr>
            <w:tcW w:w="1075" w:type="dxa"/>
            <w:vAlign w:val="center"/>
          </w:tcPr>
          <w:p w:rsidR="00923AA6" w:rsidRDefault="00264A11">
            <w:pPr>
              <w:jc w:val="center"/>
            </w:pPr>
            <w:r>
              <w:rPr>
                <w:color w:val="000000"/>
                <w:sz w:val="24"/>
              </w:rPr>
              <w:t>3</w:t>
            </w:r>
          </w:p>
        </w:tc>
        <w:tc>
          <w:tcPr>
            <w:tcW w:w="1533" w:type="dxa"/>
            <w:vAlign w:val="center"/>
          </w:tcPr>
          <w:p w:rsidR="00923AA6" w:rsidRDefault="00264A11">
            <w:pPr>
              <w:jc w:val="center"/>
            </w:pPr>
            <w:r>
              <w:rPr>
                <w:color w:val="000000"/>
                <w:sz w:val="24"/>
              </w:rPr>
              <w:t>011752061</w:t>
            </w:r>
          </w:p>
        </w:tc>
        <w:tc>
          <w:tcPr>
            <w:tcW w:w="1533" w:type="dxa"/>
            <w:vAlign w:val="center"/>
          </w:tcPr>
          <w:p w:rsidR="00923AA6" w:rsidRDefault="00264A11">
            <w:pPr>
              <w:jc w:val="center"/>
            </w:pPr>
            <w:r>
              <w:rPr>
                <w:color w:val="000000"/>
                <w:sz w:val="24"/>
              </w:rPr>
              <w:t>17</w:t>
            </w:r>
            <w:r>
              <w:rPr>
                <w:color w:val="000000"/>
                <w:sz w:val="24"/>
              </w:rPr>
              <w:t>国电集</w:t>
            </w:r>
            <w:r>
              <w:rPr>
                <w:color w:val="000000"/>
                <w:sz w:val="24"/>
              </w:rPr>
              <w:t>SCP006BC</w:t>
            </w:r>
          </w:p>
        </w:tc>
        <w:tc>
          <w:tcPr>
            <w:tcW w:w="1394" w:type="dxa"/>
            <w:vAlign w:val="center"/>
          </w:tcPr>
          <w:p w:rsidR="00923AA6" w:rsidRDefault="00264A11">
            <w:pPr>
              <w:jc w:val="right"/>
            </w:pPr>
            <w:r>
              <w:rPr>
                <w:color w:val="000000"/>
                <w:sz w:val="24"/>
              </w:rPr>
              <w:t>500,000</w:t>
            </w:r>
          </w:p>
        </w:tc>
        <w:tc>
          <w:tcPr>
            <w:tcW w:w="1944" w:type="dxa"/>
            <w:vAlign w:val="center"/>
          </w:tcPr>
          <w:p w:rsidR="00923AA6" w:rsidRDefault="00264A11">
            <w:pPr>
              <w:jc w:val="right"/>
            </w:pPr>
            <w:r>
              <w:rPr>
                <w:color w:val="000000"/>
                <w:sz w:val="24"/>
              </w:rPr>
              <w:t>50,085,000.00</w:t>
            </w:r>
          </w:p>
        </w:tc>
        <w:tc>
          <w:tcPr>
            <w:tcW w:w="1389" w:type="dxa"/>
            <w:vAlign w:val="center"/>
          </w:tcPr>
          <w:p w:rsidR="00923AA6" w:rsidRDefault="00264A11">
            <w:pPr>
              <w:jc w:val="right"/>
            </w:pPr>
            <w:r>
              <w:rPr>
                <w:color w:val="000000"/>
                <w:sz w:val="24"/>
              </w:rPr>
              <w:t>9.10</w:t>
            </w:r>
          </w:p>
        </w:tc>
      </w:tr>
      <w:tr w:rsidR="00923AA6">
        <w:trPr>
          <w:jc w:val="center"/>
        </w:trPr>
        <w:tc>
          <w:tcPr>
            <w:tcW w:w="1075" w:type="dxa"/>
            <w:vAlign w:val="center"/>
          </w:tcPr>
          <w:p w:rsidR="00923AA6" w:rsidRDefault="00264A11">
            <w:pPr>
              <w:jc w:val="center"/>
            </w:pPr>
            <w:r>
              <w:rPr>
                <w:color w:val="000000"/>
                <w:sz w:val="24"/>
              </w:rPr>
              <w:t>4</w:t>
            </w:r>
          </w:p>
        </w:tc>
        <w:tc>
          <w:tcPr>
            <w:tcW w:w="1533" w:type="dxa"/>
            <w:vAlign w:val="center"/>
          </w:tcPr>
          <w:p w:rsidR="00923AA6" w:rsidRDefault="00264A11">
            <w:pPr>
              <w:jc w:val="center"/>
            </w:pPr>
            <w:r>
              <w:rPr>
                <w:color w:val="000000"/>
                <w:sz w:val="24"/>
              </w:rPr>
              <w:t>011754110</w:t>
            </w:r>
          </w:p>
        </w:tc>
        <w:tc>
          <w:tcPr>
            <w:tcW w:w="1533" w:type="dxa"/>
            <w:vAlign w:val="center"/>
          </w:tcPr>
          <w:p w:rsidR="00923AA6" w:rsidRDefault="00264A11">
            <w:pPr>
              <w:jc w:val="center"/>
            </w:pPr>
            <w:r>
              <w:rPr>
                <w:color w:val="000000"/>
                <w:sz w:val="24"/>
              </w:rPr>
              <w:t>17</w:t>
            </w:r>
            <w:r>
              <w:rPr>
                <w:color w:val="000000"/>
                <w:sz w:val="24"/>
              </w:rPr>
              <w:t>龙源电力</w:t>
            </w:r>
            <w:r>
              <w:rPr>
                <w:color w:val="000000"/>
                <w:sz w:val="24"/>
              </w:rPr>
              <w:t>SCP004</w:t>
            </w:r>
          </w:p>
        </w:tc>
        <w:tc>
          <w:tcPr>
            <w:tcW w:w="1394" w:type="dxa"/>
            <w:vAlign w:val="center"/>
          </w:tcPr>
          <w:p w:rsidR="00923AA6" w:rsidRDefault="00264A11">
            <w:pPr>
              <w:jc w:val="right"/>
            </w:pPr>
            <w:r>
              <w:rPr>
                <w:color w:val="000000"/>
                <w:sz w:val="24"/>
              </w:rPr>
              <w:t>500,000</w:t>
            </w:r>
          </w:p>
        </w:tc>
        <w:tc>
          <w:tcPr>
            <w:tcW w:w="1944" w:type="dxa"/>
            <w:vAlign w:val="center"/>
          </w:tcPr>
          <w:p w:rsidR="00923AA6" w:rsidRDefault="00264A11">
            <w:pPr>
              <w:jc w:val="right"/>
            </w:pPr>
            <w:r>
              <w:rPr>
                <w:color w:val="000000"/>
                <w:sz w:val="24"/>
              </w:rPr>
              <w:t>50,025,000.00</w:t>
            </w:r>
          </w:p>
        </w:tc>
        <w:tc>
          <w:tcPr>
            <w:tcW w:w="1389" w:type="dxa"/>
            <w:vAlign w:val="center"/>
          </w:tcPr>
          <w:p w:rsidR="00923AA6" w:rsidRDefault="00264A11">
            <w:pPr>
              <w:jc w:val="right"/>
            </w:pPr>
            <w:r>
              <w:rPr>
                <w:color w:val="000000"/>
                <w:sz w:val="24"/>
              </w:rPr>
              <w:t>9.08</w:t>
            </w:r>
          </w:p>
        </w:tc>
      </w:tr>
      <w:tr w:rsidR="00923AA6">
        <w:trPr>
          <w:jc w:val="center"/>
        </w:trPr>
        <w:tc>
          <w:tcPr>
            <w:tcW w:w="1075" w:type="dxa"/>
            <w:vAlign w:val="center"/>
          </w:tcPr>
          <w:p w:rsidR="00923AA6" w:rsidRDefault="00264A11">
            <w:pPr>
              <w:jc w:val="center"/>
            </w:pPr>
            <w:r>
              <w:rPr>
                <w:color w:val="000000"/>
                <w:sz w:val="24"/>
              </w:rPr>
              <w:t>5</w:t>
            </w:r>
          </w:p>
        </w:tc>
        <w:tc>
          <w:tcPr>
            <w:tcW w:w="1533" w:type="dxa"/>
            <w:vAlign w:val="center"/>
          </w:tcPr>
          <w:p w:rsidR="00923AA6" w:rsidRDefault="00264A11">
            <w:pPr>
              <w:jc w:val="center"/>
            </w:pPr>
            <w:r>
              <w:rPr>
                <w:color w:val="000000"/>
                <w:sz w:val="24"/>
              </w:rPr>
              <w:t>011754128</w:t>
            </w:r>
          </w:p>
        </w:tc>
        <w:tc>
          <w:tcPr>
            <w:tcW w:w="1533" w:type="dxa"/>
            <w:vAlign w:val="center"/>
          </w:tcPr>
          <w:p w:rsidR="00923AA6" w:rsidRDefault="00264A11">
            <w:pPr>
              <w:jc w:val="center"/>
            </w:pPr>
            <w:r>
              <w:rPr>
                <w:color w:val="000000"/>
                <w:sz w:val="24"/>
              </w:rPr>
              <w:t>17</w:t>
            </w:r>
            <w:r>
              <w:rPr>
                <w:color w:val="000000"/>
                <w:sz w:val="24"/>
              </w:rPr>
              <w:t>珠海华发</w:t>
            </w:r>
            <w:r>
              <w:rPr>
                <w:color w:val="000000"/>
                <w:sz w:val="24"/>
              </w:rPr>
              <w:t>SCP008</w:t>
            </w:r>
          </w:p>
        </w:tc>
        <w:tc>
          <w:tcPr>
            <w:tcW w:w="1394" w:type="dxa"/>
            <w:vAlign w:val="center"/>
          </w:tcPr>
          <w:p w:rsidR="00923AA6" w:rsidRDefault="00264A11">
            <w:pPr>
              <w:jc w:val="right"/>
            </w:pPr>
            <w:r>
              <w:rPr>
                <w:color w:val="000000"/>
                <w:sz w:val="24"/>
              </w:rPr>
              <w:t>500,000</w:t>
            </w:r>
          </w:p>
        </w:tc>
        <w:tc>
          <w:tcPr>
            <w:tcW w:w="1944" w:type="dxa"/>
            <w:vAlign w:val="center"/>
          </w:tcPr>
          <w:p w:rsidR="00923AA6" w:rsidRDefault="00264A11">
            <w:pPr>
              <w:jc w:val="right"/>
            </w:pPr>
            <w:r>
              <w:rPr>
                <w:color w:val="000000"/>
                <w:sz w:val="24"/>
              </w:rPr>
              <w:t>50,005,000.00</w:t>
            </w:r>
          </w:p>
        </w:tc>
        <w:tc>
          <w:tcPr>
            <w:tcW w:w="1389" w:type="dxa"/>
            <w:vAlign w:val="center"/>
          </w:tcPr>
          <w:p w:rsidR="00923AA6" w:rsidRDefault="00264A11">
            <w:pPr>
              <w:jc w:val="right"/>
            </w:pPr>
            <w:r>
              <w:rPr>
                <w:color w:val="000000"/>
                <w:sz w:val="24"/>
              </w:rPr>
              <w:t>9.08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5,628.74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10,209,188.48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20,456.70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10,235,273.92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264A1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264A1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264,151,009.26</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33,127,949.86</w:t>
            </w:r>
          </w:p>
        </w:tc>
      </w:tr>
      <w:tr w:rsidR="00936D40" w:rsidRPr="007F52FA" w:rsidTr="00264A1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5,572,439.38</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743,279.40</w:t>
            </w:r>
          </w:p>
        </w:tc>
      </w:tr>
      <w:tr w:rsidR="00936D40" w:rsidRPr="007F52FA" w:rsidTr="00264A1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9,297,706.11</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6,887,569.91</w:t>
            </w:r>
          </w:p>
        </w:tc>
      </w:tr>
      <w:tr w:rsidR="00936D40" w:rsidRPr="007F52FA" w:rsidTr="00264A1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264A11">
        <w:trPr>
          <w:jc w:val="center"/>
        </w:trPr>
        <w:tc>
          <w:tcPr>
            <w:tcW w:w="4006"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260,425,742.53</w:t>
            </w:r>
          </w:p>
        </w:tc>
        <w:tc>
          <w:tcPr>
            <w:tcW w:w="2431"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26,983,659.35</w:t>
            </w:r>
          </w:p>
        </w:tc>
      </w:tr>
    </w:tbl>
    <w:p w:rsidR="00264A11" w:rsidRPr="00264A11" w:rsidRDefault="00264A11" w:rsidP="00264A11">
      <w:pPr>
        <w:autoSpaceDE w:val="0"/>
        <w:autoSpaceDN w:val="0"/>
        <w:spacing w:before="29" w:line="288" w:lineRule="auto"/>
        <w:jc w:val="left"/>
        <w:rPr>
          <w:rFonts w:eastAsiaTheme="minorEastAsia"/>
          <w:color w:val="000000"/>
          <w:kern w:val="0"/>
          <w:sz w:val="24"/>
        </w:rPr>
      </w:pPr>
      <w:bookmarkStart w:id="0" w:name="_GoBack"/>
      <w:r w:rsidRPr="00264A11">
        <w:rPr>
          <w:rFonts w:eastAsiaTheme="minorEastAsia" w:hint="eastAsia"/>
          <w:color w:val="000000"/>
          <w:kern w:val="0"/>
          <w:sz w:val="24"/>
        </w:rPr>
        <w:t>注：</w:t>
      </w:r>
      <w:r w:rsidRPr="00264A11">
        <w:rPr>
          <w:rFonts w:eastAsiaTheme="minorEastAsia"/>
          <w:color w:val="000000"/>
          <w:kern w:val="0"/>
          <w:sz w:val="24"/>
        </w:rPr>
        <w:t>1</w:t>
      </w:r>
      <w:r w:rsidRPr="00264A11">
        <w:rPr>
          <w:rFonts w:eastAsiaTheme="minorEastAsia" w:hint="eastAsia"/>
          <w:color w:val="000000"/>
          <w:kern w:val="0"/>
          <w:sz w:val="24"/>
        </w:rPr>
        <w:t>、如果本报告期间发生转换入、红利再投业务，则总申购份额中包含该业务；</w:t>
      </w:r>
      <w:r w:rsidRPr="00264A11">
        <w:rPr>
          <w:rFonts w:eastAsiaTheme="minorEastAsia"/>
          <w:color w:val="000000"/>
          <w:kern w:val="0"/>
          <w:sz w:val="24"/>
        </w:rPr>
        <w:t xml:space="preserve"> </w:t>
      </w:r>
    </w:p>
    <w:p w:rsidR="00264A11" w:rsidRPr="00264A11" w:rsidRDefault="00264A11" w:rsidP="00264A11">
      <w:pPr>
        <w:autoSpaceDE w:val="0"/>
        <w:autoSpaceDN w:val="0"/>
        <w:spacing w:before="29" w:line="288" w:lineRule="auto"/>
        <w:jc w:val="left"/>
        <w:rPr>
          <w:rFonts w:eastAsiaTheme="minorEastAsia"/>
          <w:color w:val="000000"/>
          <w:kern w:val="0"/>
          <w:sz w:val="24"/>
        </w:rPr>
      </w:pPr>
      <w:r w:rsidRPr="00264A11">
        <w:rPr>
          <w:rFonts w:eastAsiaTheme="minorEastAsia"/>
          <w:color w:val="000000"/>
          <w:kern w:val="0"/>
          <w:sz w:val="24"/>
        </w:rPr>
        <w:t>    2</w:t>
      </w:r>
      <w:r w:rsidRPr="00264A11">
        <w:rPr>
          <w:rFonts w:eastAsiaTheme="minorEastAsia" w:hint="eastAsia"/>
          <w:color w:val="000000"/>
          <w:kern w:val="0"/>
          <w:sz w:val="24"/>
        </w:rPr>
        <w:t>、如果本报告期间发生转换出业务，则总赎回份额中包含该业务。</w:t>
      </w:r>
    </w:p>
    <w:bookmarkEnd w:id="0"/>
    <w:p w:rsidR="00426568" w:rsidRPr="00264A11"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23AA6">
        <w:tc>
          <w:tcPr>
            <w:tcW w:w="992" w:type="dxa"/>
            <w:vMerge w:val="restart"/>
          </w:tcPr>
          <w:p w:rsidR="00923AA6" w:rsidRDefault="00923AA6"/>
          <w:p w:rsidR="00923AA6" w:rsidRDefault="00264A11">
            <w:r>
              <w:rPr>
                <w:rFonts w:ascii="宋体" w:hAnsi="宋体" w:hint="eastAsia"/>
                <w:bCs/>
                <w:color w:val="000000"/>
                <w:kern w:val="0"/>
                <w:szCs w:val="21"/>
              </w:rPr>
              <w:t>机构</w:t>
            </w:r>
          </w:p>
        </w:tc>
        <w:tc>
          <w:tcPr>
            <w:tcW w:w="991" w:type="dxa"/>
            <w:vAlign w:val="center"/>
          </w:tcPr>
          <w:p w:rsidR="00923AA6" w:rsidRDefault="00264A11">
            <w:pPr>
              <w:jc w:val="center"/>
            </w:pPr>
            <w:r>
              <w:rPr>
                <w:rFonts w:ascii="宋体" w:hAnsi="宋体" w:hint="eastAsia"/>
                <w:color w:val="000000"/>
                <w:kern w:val="0"/>
                <w:szCs w:val="21"/>
              </w:rPr>
              <w:t>1</w:t>
            </w:r>
          </w:p>
        </w:tc>
        <w:tc>
          <w:tcPr>
            <w:tcW w:w="1843" w:type="dxa"/>
            <w:vAlign w:val="center"/>
          </w:tcPr>
          <w:p w:rsidR="00923AA6" w:rsidRDefault="00264A11">
            <w:pPr>
              <w:jc w:val="center"/>
            </w:pPr>
            <w:r>
              <w:rPr>
                <w:rFonts w:ascii="宋体" w:hAnsi="宋体" w:hint="eastAsia"/>
                <w:color w:val="000000"/>
                <w:kern w:val="0"/>
                <w:szCs w:val="21"/>
              </w:rPr>
              <w:t>2017/10/1-2017/12/31</w:t>
            </w:r>
          </w:p>
        </w:tc>
        <w:tc>
          <w:tcPr>
            <w:tcW w:w="851" w:type="dxa"/>
            <w:vAlign w:val="center"/>
          </w:tcPr>
          <w:p w:rsidR="00923AA6" w:rsidRDefault="00264A11">
            <w:pPr>
              <w:jc w:val="center"/>
            </w:pPr>
            <w:r>
              <w:rPr>
                <w:rFonts w:ascii="宋体" w:hAnsi="宋体" w:hint="eastAsia"/>
                <w:color w:val="000000"/>
                <w:kern w:val="0"/>
                <w:szCs w:val="21"/>
              </w:rPr>
              <w:t>251,888,664.99</w:t>
            </w:r>
          </w:p>
        </w:tc>
        <w:tc>
          <w:tcPr>
            <w:tcW w:w="850" w:type="dxa"/>
            <w:vAlign w:val="center"/>
          </w:tcPr>
          <w:p w:rsidR="00923AA6" w:rsidRDefault="00264A11">
            <w:pPr>
              <w:jc w:val="center"/>
            </w:pPr>
            <w:r>
              <w:rPr>
                <w:rFonts w:ascii="宋体" w:hAnsi="宋体" w:hint="eastAsia"/>
                <w:color w:val="000000"/>
                <w:kern w:val="0"/>
                <w:szCs w:val="21"/>
              </w:rPr>
              <w:t>-</w:t>
            </w:r>
          </w:p>
        </w:tc>
        <w:tc>
          <w:tcPr>
            <w:tcW w:w="1134" w:type="dxa"/>
            <w:vAlign w:val="center"/>
          </w:tcPr>
          <w:p w:rsidR="00923AA6" w:rsidRDefault="00264A11">
            <w:pPr>
              <w:jc w:val="center"/>
            </w:pPr>
            <w:r>
              <w:rPr>
                <w:rFonts w:ascii="宋体" w:hAnsi="宋体" w:hint="eastAsia"/>
                <w:color w:val="000000"/>
                <w:kern w:val="0"/>
                <w:szCs w:val="21"/>
              </w:rPr>
              <w:t>-</w:t>
            </w:r>
          </w:p>
        </w:tc>
        <w:tc>
          <w:tcPr>
            <w:tcW w:w="1419" w:type="dxa"/>
            <w:vAlign w:val="center"/>
          </w:tcPr>
          <w:p w:rsidR="00923AA6" w:rsidRDefault="00264A11">
            <w:pPr>
              <w:jc w:val="center"/>
            </w:pPr>
            <w:r>
              <w:rPr>
                <w:rFonts w:ascii="宋体" w:hAnsi="宋体" w:hint="eastAsia"/>
                <w:color w:val="000000"/>
                <w:kern w:val="0"/>
                <w:szCs w:val="21"/>
              </w:rPr>
              <w:t>251,888,664.99</w:t>
            </w:r>
          </w:p>
        </w:tc>
        <w:tc>
          <w:tcPr>
            <w:tcW w:w="1130" w:type="dxa"/>
            <w:vAlign w:val="center"/>
          </w:tcPr>
          <w:p w:rsidR="00923AA6" w:rsidRDefault="00264A11">
            <w:pPr>
              <w:jc w:val="center"/>
            </w:pPr>
            <w:r>
              <w:rPr>
                <w:rFonts w:ascii="宋体" w:hAnsi="宋体" w:hint="eastAsia"/>
                <w:color w:val="000000"/>
                <w:kern w:val="0"/>
                <w:szCs w:val="21"/>
              </w:rPr>
              <w:t>87.64%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本基金管理人于2017年10月28日起至2017年11月20日17：00止以通讯方式召开本基金的基金份额持有人大会，就本基金调整管理费率及基金合同修改有关事项的议案进行表决。根据基金份额持有人大会的决议，本基金的管理费由0.5%调整为0.3%，并相应修改基金合同和托管协议。本基金管理人将在更新基金招募说明书时，对上述相关内容进行相应修订。本次基金份额持有人大会决议于2017年11月21日生效，自本次基金份额持有人大会决议公告之日即2017年11月22日起，本基金执行调整后的管理费率。详情请查阅本基金管理人于2017年11月22日发布的《交银施罗德基金管理有限公司关于交银施罗德丰享收益债券型证券投资基金基金份额持有人大会表决结果暨决议生效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923AA6" w:rsidRDefault="00264A1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264A11">
      <w:rPr>
        <w:noProof/>
        <w:kern w:val="0"/>
        <w:szCs w:val="21"/>
      </w:rPr>
      <w:t>11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264A11">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264A1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11"/>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3AA6"/>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54EB959-E796-4CA8-B0DD-730BE60A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913660189">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54F8D-4A7D-4DB9-B5A4-A7AEE2AFD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197</TotalTime>
  <Pages>14</Pages>
  <Words>1158</Words>
  <Characters>6604</Characters>
  <Application>Microsoft Office Word</Application>
  <DocSecurity>0</DocSecurity>
  <Lines>55</Lines>
  <Paragraphs>15</Paragraphs>
  <ScaleCrop>false</ScaleCrop>
  <Company>TRT. Ltd. Co.</Company>
  <LinksUpToDate>false</LinksUpToDate>
  <CharactersWithSpaces>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哈行</cp:lastModifiedBy>
  <cp:revision>370</cp:revision>
  <cp:lastPrinted>2007-07-19T00:46:00Z</cp:lastPrinted>
  <dcterms:created xsi:type="dcterms:W3CDTF">2014-01-17T06:19:00Z</dcterms:created>
  <dcterms:modified xsi:type="dcterms:W3CDTF">2018-01-12T06:02:00Z</dcterms:modified>
</cp:coreProperties>
</file>