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bookmarkStart w:id="0" w:name="_GoBack"/>
      <w:bookmarkEnd w:id="0"/>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交银施罗德周期回报灵活配置混合型证券投资基金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2017</w:t>
      </w:r>
      <w:r w:rsidRPr="005858C2">
        <w:rPr>
          <w:rFonts w:eastAsiaTheme="minorEastAsia"/>
          <w:b/>
          <w:sz w:val="36"/>
          <w:szCs w:val="36"/>
        </w:rPr>
        <w:t>年第</w:t>
      </w:r>
      <w:r w:rsidRPr="005858C2">
        <w:rPr>
          <w:rFonts w:eastAsiaTheme="minorEastAsia"/>
          <w:b/>
          <w:sz w:val="36"/>
          <w:szCs w:val="36"/>
        </w:rPr>
        <w:t>4</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2017</w:t>
      </w:r>
      <w:r w:rsidRPr="005858C2">
        <w:rPr>
          <w:b/>
          <w:sz w:val="36"/>
          <w:szCs w:val="36"/>
        </w:rPr>
        <w:t>年</w:t>
      </w:r>
      <w:r w:rsidRPr="005858C2">
        <w:rPr>
          <w:b/>
          <w:sz w:val="36"/>
          <w:szCs w:val="36"/>
        </w:rPr>
        <w:t>12</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中国农业银行股份有限公司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二〇一八年一月二十二日</w:t>
      </w:r>
    </w:p>
    <w:p w:rsidR="009238DB" w:rsidRPr="007F52FA" w:rsidRDefault="009238DB" w:rsidP="00BE251D">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A03222" w:rsidRDefault="006B0B1F">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A03222" w:rsidRDefault="006B0B1F">
      <w:pPr>
        <w:spacing w:before="29" w:line="288" w:lineRule="auto"/>
        <w:ind w:firstLineChars="200" w:firstLine="480"/>
        <w:rPr>
          <w:rFonts w:eastAsiaTheme="minorEastAsia"/>
          <w:color w:val="000000"/>
          <w:sz w:val="24"/>
        </w:rPr>
      </w:pPr>
      <w:r>
        <w:rPr>
          <w:rFonts w:eastAsiaTheme="minorEastAsia"/>
          <w:color w:val="000000"/>
          <w:sz w:val="24"/>
        </w:rPr>
        <w:t>基金托管人中国农业银行股份有限公司根据本基金合同规定，于</w:t>
      </w:r>
      <w:r>
        <w:rPr>
          <w:rFonts w:eastAsiaTheme="minorEastAsia"/>
          <w:color w:val="000000"/>
          <w:sz w:val="24"/>
        </w:rPr>
        <w:t>2018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19</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A03222" w:rsidRDefault="006B0B1F">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A03222" w:rsidRDefault="006B0B1F">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A03222" w:rsidRDefault="006B0B1F">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2017</w:t>
      </w:r>
      <w:r w:rsidRPr="007F52FA">
        <w:rPr>
          <w:rFonts w:eastAsiaTheme="minorEastAsia"/>
          <w:color w:val="000000"/>
          <w:sz w:val="24"/>
        </w:rPr>
        <w:t>年</w:t>
      </w:r>
      <w:r w:rsidRPr="007F52FA">
        <w:rPr>
          <w:rFonts w:eastAsiaTheme="minorEastAsia"/>
          <w:color w:val="000000"/>
          <w:sz w:val="24"/>
        </w:rPr>
        <w:t>10</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12</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交银周期回报灵活配置混合</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519738</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2014</w:t>
            </w:r>
            <w:r w:rsidRPr="007F52FA">
              <w:rPr>
                <w:color w:val="000000"/>
                <w:kern w:val="0"/>
                <w:sz w:val="24"/>
              </w:rPr>
              <w:t>年</w:t>
            </w:r>
            <w:r w:rsidRPr="007F52FA">
              <w:rPr>
                <w:color w:val="000000"/>
                <w:kern w:val="0"/>
                <w:sz w:val="24"/>
              </w:rPr>
              <w:t>5</w:t>
            </w:r>
            <w:r w:rsidRPr="007F52FA">
              <w:rPr>
                <w:color w:val="000000"/>
                <w:kern w:val="0"/>
                <w:sz w:val="24"/>
              </w:rPr>
              <w:t>月</w:t>
            </w:r>
            <w:r w:rsidRPr="007F52FA">
              <w:rPr>
                <w:color w:val="000000"/>
                <w:kern w:val="0"/>
                <w:sz w:val="24"/>
              </w:rPr>
              <w:t>22</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492,876,117.88</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以交银施罗德投资时钟分析框架为基础，结合基金管理人对宏观经济周期和金融市场运行趋势的判断，通过灵活的资产配置策略和积极主动的投资管理，在控制下行风险的前提下，力争为投资者提供长期稳健的投资回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资产管理人的研究优势，在分析和判断宏观经济周期和金融市场运行趋势的基础上，运用交银施罗德投资时钟分析框架，自上而下调整基金大类资产配置比例和股票行业配置比例，确定债券组合久期和债券类别配置；在严谨深入的股票和债券研究分析基础上，自下而上精选股票和债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50%×</w:t>
            </w:r>
            <w:r w:rsidRPr="007F52FA">
              <w:rPr>
                <w:color w:val="000000"/>
                <w:kern w:val="0"/>
                <w:sz w:val="24"/>
              </w:rPr>
              <w:t>沪深</w:t>
            </w:r>
            <w:r w:rsidRPr="007F52FA">
              <w:rPr>
                <w:color w:val="000000"/>
                <w:kern w:val="0"/>
                <w:sz w:val="24"/>
              </w:rPr>
              <w:t>300</w:t>
            </w:r>
            <w:r w:rsidRPr="007F52FA">
              <w:rPr>
                <w:color w:val="000000"/>
                <w:kern w:val="0"/>
                <w:sz w:val="24"/>
              </w:rPr>
              <w:t>指数收益率</w:t>
            </w:r>
            <w:r w:rsidRPr="007F52FA">
              <w:rPr>
                <w:color w:val="000000"/>
                <w:kern w:val="0"/>
                <w:sz w:val="24"/>
              </w:rPr>
              <w:t>+50%×</w:t>
            </w:r>
            <w:r w:rsidRPr="007F52FA">
              <w:rPr>
                <w:color w:val="000000"/>
                <w:kern w:val="0"/>
                <w:sz w:val="24"/>
              </w:rPr>
              <w:t>中债综合全价指数收益率</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本基金是一只混合型基金，其长期平均风险和预期收益高于债券型基金和货币市场基金，低于股票型基金。</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中国农业银行股份有限公司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交银周期回报灵活配置混合</w:t>
            </w:r>
            <w:r w:rsidRPr="007F52FA">
              <w:rPr>
                <w:sz w:val="24"/>
              </w:rPr>
              <w:t>A</w:t>
            </w:r>
          </w:p>
        </w:tc>
        <w:tc>
          <w:tcPr>
            <w:tcW w:w="3048" w:type="dxa"/>
            <w:vAlign w:val="center"/>
          </w:tcPr>
          <w:p w:rsidR="008532F3" w:rsidRPr="007F52FA" w:rsidRDefault="008532F3" w:rsidP="007C14DF">
            <w:pPr>
              <w:spacing w:before="29" w:line="288" w:lineRule="auto"/>
              <w:jc w:val="left"/>
              <w:rPr>
                <w:sz w:val="24"/>
              </w:rPr>
            </w:pPr>
            <w:r w:rsidRPr="007F52FA">
              <w:rPr>
                <w:sz w:val="24"/>
              </w:rPr>
              <w:t>交银周期回报灵活配置混合</w:t>
            </w:r>
            <w:r w:rsidRPr="007F52FA">
              <w:rPr>
                <w:sz w:val="24"/>
              </w:rPr>
              <w:t>C</w:t>
            </w:r>
          </w:p>
        </w:tc>
      </w:tr>
      <w:tr w:rsidR="00C23B30" w:rsidRPr="007F52FA" w:rsidTr="009416C9">
        <w:trPr>
          <w:jc w:val="center"/>
        </w:trPr>
        <w:tc>
          <w:tcPr>
            <w:tcW w:w="3023" w:type="dxa"/>
            <w:vAlign w:val="center"/>
          </w:tcPr>
          <w:p w:rsidR="00C23B30" w:rsidRDefault="007C3DC6" w:rsidP="007C14DF">
            <w:pPr>
              <w:adjustRightInd w:val="0"/>
              <w:spacing w:before="29" w:line="288" w:lineRule="auto"/>
              <w:ind w:left="17"/>
              <w:jc w:val="left"/>
              <w:rPr>
                <w:color w:val="000000"/>
                <w:sz w:val="24"/>
              </w:rPr>
            </w:pPr>
            <w:r w:rsidRPr="007F52FA">
              <w:rPr>
                <w:color w:val="000000"/>
                <w:sz w:val="24"/>
              </w:rPr>
              <w:t>下属两级基金的交易代码</w:t>
            </w:r>
          </w:p>
          <w:p w:rsidR="00C01EF2" w:rsidRPr="007F52FA" w:rsidRDefault="00C01EF2" w:rsidP="00C01EF2">
            <w:pPr>
              <w:adjustRightInd w:val="0"/>
              <w:spacing w:before="29" w:line="288" w:lineRule="auto"/>
              <w:ind w:left="17"/>
              <w:jc w:val="left"/>
              <w:rPr>
                <w:color w:val="000000"/>
                <w:sz w:val="24"/>
              </w:rPr>
            </w:pPr>
          </w:p>
        </w:tc>
        <w:tc>
          <w:tcPr>
            <w:tcW w:w="2922" w:type="dxa"/>
            <w:vAlign w:val="center"/>
          </w:tcPr>
          <w:p w:rsidR="00C23B30" w:rsidRPr="000E4C40" w:rsidRDefault="00C23B30" w:rsidP="007F50FB">
            <w:pPr>
              <w:spacing w:before="29" w:line="288" w:lineRule="auto"/>
              <w:jc w:val="left"/>
              <w:rPr>
                <w:sz w:val="24"/>
              </w:rPr>
            </w:pPr>
            <w:r w:rsidRPr="000E4C40">
              <w:rPr>
                <w:sz w:val="24"/>
              </w:rPr>
              <w:t>519738</w:t>
            </w:r>
          </w:p>
        </w:tc>
        <w:tc>
          <w:tcPr>
            <w:tcW w:w="3048" w:type="dxa"/>
            <w:vAlign w:val="center"/>
          </w:tcPr>
          <w:p w:rsidR="00C23B30" w:rsidRPr="000E4C40" w:rsidRDefault="00C23B30" w:rsidP="00A52A9E">
            <w:pPr>
              <w:spacing w:before="29" w:line="288" w:lineRule="auto"/>
              <w:jc w:val="left"/>
              <w:rPr>
                <w:sz w:val="24"/>
              </w:rPr>
            </w:pPr>
            <w:r w:rsidRPr="000E4C40">
              <w:rPr>
                <w:sz w:val="24"/>
              </w:rPr>
              <w:t>519759</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287,510,557.41</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205,365,560.47</w:t>
            </w:r>
            <w:r w:rsidRPr="007F52FA">
              <w:rPr>
                <w:color w:val="000000"/>
                <w:kern w:val="0"/>
                <w:sz w:val="24"/>
              </w:rPr>
              <w:t>份</w:t>
            </w:r>
          </w:p>
        </w:tc>
      </w:tr>
    </w:tbl>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(2017</w:t>
            </w:r>
            <w:r w:rsidRPr="00414345">
              <w:rPr>
                <w:color w:val="000000"/>
                <w:sz w:val="24"/>
              </w:rPr>
              <w:t>年</w:t>
            </w:r>
            <w:r w:rsidRPr="00414345">
              <w:rPr>
                <w:color w:val="000000"/>
                <w:sz w:val="24"/>
              </w:rPr>
              <w:t>10</w:t>
            </w:r>
            <w:r w:rsidRPr="00414345">
              <w:rPr>
                <w:color w:val="000000"/>
                <w:sz w:val="24"/>
              </w:rPr>
              <w:t>月</w:t>
            </w:r>
            <w:r w:rsidRPr="00414345">
              <w:rPr>
                <w:color w:val="000000"/>
                <w:sz w:val="24"/>
              </w:rPr>
              <w:t>1</w:t>
            </w:r>
            <w:r w:rsidRPr="00414345">
              <w:rPr>
                <w:color w:val="000000"/>
                <w:sz w:val="24"/>
              </w:rPr>
              <w:t>日</w:t>
            </w:r>
            <w:r w:rsidRPr="00414345">
              <w:rPr>
                <w:color w:val="000000"/>
                <w:sz w:val="24"/>
              </w:rPr>
              <w:t>-2017</w:t>
            </w:r>
            <w:r w:rsidRPr="00414345">
              <w:rPr>
                <w:color w:val="000000"/>
                <w:sz w:val="24"/>
              </w:rPr>
              <w:t>年</w:t>
            </w:r>
            <w:r w:rsidRPr="00414345">
              <w:rPr>
                <w:color w:val="000000"/>
                <w:sz w:val="24"/>
              </w:rPr>
              <w:t>12</w:t>
            </w:r>
            <w:r w:rsidRPr="00414345">
              <w:rPr>
                <w:color w:val="000000"/>
                <w:sz w:val="24"/>
              </w:rPr>
              <w:t>月</w:t>
            </w:r>
            <w:r w:rsidRPr="00414345">
              <w:rPr>
                <w:color w:val="000000"/>
                <w:sz w:val="24"/>
              </w:rPr>
              <w:t>31</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交银周期回报灵活配置混合</w:t>
            </w:r>
            <w:r w:rsidRPr="007F52FA">
              <w:rPr>
                <w:sz w:val="24"/>
              </w:rPr>
              <w:t>A</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交银周期回报灵活配置混合</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5,201,909.80</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3,693,794.17</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9,484,823.66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6,796,740.49</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0.0330</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0.0331</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358,224,704.99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258,877,812.59</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1.246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1.261</w:t>
            </w:r>
          </w:p>
        </w:tc>
      </w:tr>
    </w:tbl>
    <w:p w:rsidR="00A03222" w:rsidRDefault="006B0B1F">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w:t>
      </w:r>
      <w:r>
        <w:rPr>
          <w:rFonts w:eastAsiaTheme="minorEastAsia"/>
          <w:color w:val="000000"/>
          <w:sz w:val="24"/>
        </w:rPr>
        <w:t>A</w:t>
      </w:r>
      <w:r>
        <w:rPr>
          <w:rFonts w:eastAsiaTheme="minorEastAsia"/>
          <w:color w:val="000000"/>
          <w:sz w:val="24"/>
        </w:rPr>
        <w:t>类业绩指标不包括持有人认购或交易基金的各项费用，计入费用后的实际收益水平要低于所列数字；</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交银周期回报灵活配置混合</w:t>
      </w:r>
      <w:r w:rsidR="00A5643A" w:rsidRPr="007F52FA">
        <w:rPr>
          <w:b/>
          <w:color w:val="000000"/>
          <w:kern w:val="0"/>
          <w:sz w:val="24"/>
        </w:rPr>
        <w:t>A</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lastRenderedPageBreak/>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A03222">
        <w:trPr>
          <w:jc w:val="center"/>
        </w:trPr>
        <w:tc>
          <w:tcPr>
            <w:tcW w:w="1266" w:type="dxa"/>
            <w:vAlign w:val="center"/>
          </w:tcPr>
          <w:p w:rsidR="00A03222" w:rsidRDefault="006B0B1F">
            <w:pPr>
              <w:jc w:val="left"/>
            </w:pPr>
            <w:r>
              <w:rPr>
                <w:color w:val="000000"/>
                <w:sz w:val="24"/>
              </w:rPr>
              <w:t>过去三个月</w:t>
            </w:r>
          </w:p>
        </w:tc>
        <w:tc>
          <w:tcPr>
            <w:tcW w:w="1267" w:type="dxa"/>
            <w:vAlign w:val="center"/>
          </w:tcPr>
          <w:p w:rsidR="00A03222" w:rsidRDefault="006B0B1F">
            <w:pPr>
              <w:jc w:val="center"/>
            </w:pPr>
            <w:r>
              <w:rPr>
                <w:color w:val="000000"/>
                <w:sz w:val="24"/>
              </w:rPr>
              <w:t>2.72%</w:t>
            </w:r>
          </w:p>
        </w:tc>
        <w:tc>
          <w:tcPr>
            <w:tcW w:w="1267" w:type="dxa"/>
            <w:vAlign w:val="center"/>
          </w:tcPr>
          <w:p w:rsidR="00A03222" w:rsidRDefault="006B0B1F">
            <w:pPr>
              <w:jc w:val="center"/>
            </w:pPr>
            <w:r>
              <w:rPr>
                <w:color w:val="000000"/>
                <w:sz w:val="24"/>
              </w:rPr>
              <w:t>0.27%</w:t>
            </w:r>
          </w:p>
        </w:tc>
        <w:tc>
          <w:tcPr>
            <w:tcW w:w="1267" w:type="dxa"/>
            <w:vAlign w:val="center"/>
          </w:tcPr>
          <w:p w:rsidR="00A03222" w:rsidRDefault="006B0B1F">
            <w:pPr>
              <w:jc w:val="center"/>
            </w:pPr>
            <w:r>
              <w:rPr>
                <w:color w:val="000000"/>
                <w:sz w:val="24"/>
              </w:rPr>
              <w:t>1.96%</w:t>
            </w:r>
          </w:p>
        </w:tc>
        <w:tc>
          <w:tcPr>
            <w:tcW w:w="1267" w:type="dxa"/>
            <w:vAlign w:val="center"/>
          </w:tcPr>
          <w:p w:rsidR="00A03222" w:rsidRDefault="006B0B1F">
            <w:pPr>
              <w:jc w:val="center"/>
            </w:pPr>
            <w:r>
              <w:rPr>
                <w:color w:val="000000"/>
                <w:sz w:val="24"/>
              </w:rPr>
              <w:t>0.40%</w:t>
            </w:r>
          </w:p>
        </w:tc>
        <w:tc>
          <w:tcPr>
            <w:tcW w:w="1267" w:type="dxa"/>
            <w:vAlign w:val="center"/>
          </w:tcPr>
          <w:p w:rsidR="00A03222" w:rsidRDefault="006B0B1F">
            <w:pPr>
              <w:jc w:val="center"/>
            </w:pPr>
            <w:r>
              <w:rPr>
                <w:color w:val="000000"/>
                <w:sz w:val="24"/>
              </w:rPr>
              <w:t>0.76%</w:t>
            </w:r>
          </w:p>
        </w:tc>
        <w:tc>
          <w:tcPr>
            <w:tcW w:w="1267" w:type="dxa"/>
            <w:vAlign w:val="center"/>
          </w:tcPr>
          <w:p w:rsidR="00A03222" w:rsidRDefault="006B0B1F">
            <w:pPr>
              <w:jc w:val="center"/>
            </w:pPr>
            <w:r>
              <w:rPr>
                <w:color w:val="000000"/>
                <w:sz w:val="24"/>
              </w:rPr>
              <w:t>-0.13%</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交银周期回报灵活配置混合</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A03222">
        <w:trPr>
          <w:jc w:val="center"/>
        </w:trPr>
        <w:tc>
          <w:tcPr>
            <w:tcW w:w="1266" w:type="dxa"/>
            <w:vAlign w:val="center"/>
          </w:tcPr>
          <w:p w:rsidR="00A03222" w:rsidRDefault="006B0B1F">
            <w:pPr>
              <w:jc w:val="left"/>
            </w:pPr>
            <w:r>
              <w:rPr>
                <w:color w:val="000000"/>
                <w:sz w:val="24"/>
              </w:rPr>
              <w:t>过去三个月</w:t>
            </w:r>
          </w:p>
        </w:tc>
        <w:tc>
          <w:tcPr>
            <w:tcW w:w="1267" w:type="dxa"/>
            <w:vAlign w:val="center"/>
          </w:tcPr>
          <w:p w:rsidR="00A03222" w:rsidRDefault="006B0B1F">
            <w:pPr>
              <w:jc w:val="center"/>
            </w:pPr>
            <w:r>
              <w:rPr>
                <w:color w:val="000000"/>
                <w:sz w:val="24"/>
              </w:rPr>
              <w:t>2.77%</w:t>
            </w:r>
          </w:p>
        </w:tc>
        <w:tc>
          <w:tcPr>
            <w:tcW w:w="1267" w:type="dxa"/>
            <w:vAlign w:val="center"/>
          </w:tcPr>
          <w:p w:rsidR="00A03222" w:rsidRDefault="006B0B1F">
            <w:pPr>
              <w:jc w:val="center"/>
            </w:pPr>
            <w:r>
              <w:rPr>
                <w:color w:val="000000"/>
                <w:sz w:val="24"/>
              </w:rPr>
              <w:t>0.26%</w:t>
            </w:r>
          </w:p>
        </w:tc>
        <w:tc>
          <w:tcPr>
            <w:tcW w:w="1267" w:type="dxa"/>
            <w:vAlign w:val="center"/>
          </w:tcPr>
          <w:p w:rsidR="00A03222" w:rsidRDefault="006B0B1F">
            <w:pPr>
              <w:jc w:val="center"/>
            </w:pPr>
            <w:r>
              <w:rPr>
                <w:color w:val="000000"/>
                <w:sz w:val="24"/>
              </w:rPr>
              <w:t>1.96%</w:t>
            </w:r>
          </w:p>
        </w:tc>
        <w:tc>
          <w:tcPr>
            <w:tcW w:w="1267" w:type="dxa"/>
            <w:vAlign w:val="center"/>
          </w:tcPr>
          <w:p w:rsidR="00A03222" w:rsidRDefault="006B0B1F">
            <w:pPr>
              <w:jc w:val="center"/>
            </w:pPr>
            <w:r>
              <w:rPr>
                <w:color w:val="000000"/>
                <w:sz w:val="24"/>
              </w:rPr>
              <w:t>0.40%</w:t>
            </w:r>
          </w:p>
        </w:tc>
        <w:tc>
          <w:tcPr>
            <w:tcW w:w="1267" w:type="dxa"/>
            <w:vAlign w:val="center"/>
          </w:tcPr>
          <w:p w:rsidR="00A03222" w:rsidRDefault="006B0B1F">
            <w:pPr>
              <w:jc w:val="center"/>
            </w:pPr>
            <w:r>
              <w:rPr>
                <w:color w:val="000000"/>
                <w:sz w:val="24"/>
              </w:rPr>
              <w:t>0.81%</w:t>
            </w:r>
          </w:p>
        </w:tc>
        <w:tc>
          <w:tcPr>
            <w:tcW w:w="1267" w:type="dxa"/>
            <w:vAlign w:val="center"/>
          </w:tcPr>
          <w:p w:rsidR="00A03222" w:rsidRDefault="006B0B1F">
            <w:pPr>
              <w:jc w:val="center"/>
            </w:pPr>
            <w:r>
              <w:rPr>
                <w:color w:val="000000"/>
                <w:sz w:val="24"/>
              </w:rPr>
              <w:t>-0.14%</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交银施罗德周期回报灵活配置混合型证券投资基金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2014</w:t>
      </w:r>
      <w:r w:rsidR="00D04410" w:rsidRPr="007F52FA">
        <w:rPr>
          <w:rFonts w:ascii="Times New Roman" w:hAnsi="Times New Roman"/>
          <w:sz w:val="24"/>
          <w:szCs w:val="24"/>
        </w:rPr>
        <w:t>年</w:t>
      </w:r>
      <w:r w:rsidR="00D04410" w:rsidRPr="007F52FA">
        <w:rPr>
          <w:rFonts w:ascii="Times New Roman" w:hAnsi="Times New Roman"/>
          <w:sz w:val="24"/>
          <w:szCs w:val="24"/>
        </w:rPr>
        <w:t>5</w:t>
      </w:r>
      <w:r w:rsidR="00D04410" w:rsidRPr="007F52FA">
        <w:rPr>
          <w:rFonts w:ascii="Times New Roman" w:hAnsi="Times New Roman"/>
          <w:sz w:val="24"/>
          <w:szCs w:val="24"/>
        </w:rPr>
        <w:t>月</w:t>
      </w:r>
      <w:r w:rsidR="00D04410" w:rsidRPr="007F52FA">
        <w:rPr>
          <w:rFonts w:ascii="Times New Roman" w:hAnsi="Times New Roman"/>
          <w:sz w:val="24"/>
          <w:szCs w:val="24"/>
        </w:rPr>
        <w:t>22</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2017</w:t>
      </w:r>
      <w:r w:rsidRPr="007F52FA">
        <w:rPr>
          <w:rFonts w:ascii="Times New Roman" w:hAnsi="Times New Roman"/>
          <w:sz w:val="24"/>
          <w:szCs w:val="24"/>
        </w:rPr>
        <w:t>年</w:t>
      </w:r>
      <w:r w:rsidRPr="007F52FA">
        <w:rPr>
          <w:rFonts w:ascii="Times New Roman" w:hAnsi="Times New Roman"/>
          <w:sz w:val="24"/>
          <w:szCs w:val="24"/>
        </w:rPr>
        <w:t>12</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交银周期回报灵活配置混合</w:t>
      </w:r>
      <w:r w:rsidR="0042785F" w:rsidRPr="007F52FA">
        <w:rPr>
          <w:color w:val="000000"/>
          <w:sz w:val="24"/>
        </w:rPr>
        <w:t>A</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lastRenderedPageBreak/>
        <w:t>注：图示日期为</w:t>
      </w:r>
      <w:r w:rsidRPr="007F52FA">
        <w:rPr>
          <w:color w:val="000000"/>
          <w:sz w:val="24"/>
        </w:rPr>
        <w:t>2014</w:t>
      </w:r>
      <w:r w:rsidRPr="007F52FA">
        <w:rPr>
          <w:color w:val="000000"/>
          <w:sz w:val="24"/>
        </w:rPr>
        <w:t>年</w:t>
      </w:r>
      <w:r w:rsidRPr="007F52FA">
        <w:rPr>
          <w:color w:val="000000"/>
          <w:sz w:val="24"/>
        </w:rPr>
        <w:t>5</w:t>
      </w:r>
      <w:r w:rsidRPr="007F52FA">
        <w:rPr>
          <w:color w:val="000000"/>
          <w:sz w:val="24"/>
        </w:rPr>
        <w:t>月</w:t>
      </w:r>
      <w:r w:rsidRPr="007F52FA">
        <w:rPr>
          <w:color w:val="000000"/>
          <w:sz w:val="24"/>
        </w:rPr>
        <w:t>22</w:t>
      </w:r>
      <w:r w:rsidRPr="007F52FA">
        <w:rPr>
          <w:color w:val="000000"/>
          <w:sz w:val="24"/>
        </w:rPr>
        <w:t>日至</w:t>
      </w:r>
      <w:r w:rsidRPr="007F52FA">
        <w:rPr>
          <w:color w:val="000000"/>
          <w:sz w:val="24"/>
        </w:rPr>
        <w:t>2017</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交银周期回报灵活配置混合</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注：本基金自</w:t>
      </w:r>
      <w:r w:rsidRPr="007F52FA">
        <w:rPr>
          <w:color w:val="000000"/>
          <w:sz w:val="24"/>
        </w:rPr>
        <w:t>2015</w:t>
      </w:r>
      <w:r w:rsidRPr="007F52FA">
        <w:rPr>
          <w:color w:val="000000"/>
          <w:sz w:val="24"/>
        </w:rPr>
        <w:t>年</w:t>
      </w:r>
      <w:r w:rsidRPr="007F52FA">
        <w:rPr>
          <w:color w:val="000000"/>
          <w:sz w:val="24"/>
        </w:rPr>
        <w:t>11</w:t>
      </w:r>
      <w:r w:rsidRPr="007F52FA">
        <w:rPr>
          <w:color w:val="000000"/>
          <w:sz w:val="24"/>
        </w:rPr>
        <w:t>月</w:t>
      </w:r>
      <w:r w:rsidRPr="007F52FA">
        <w:rPr>
          <w:color w:val="000000"/>
          <w:sz w:val="24"/>
        </w:rPr>
        <w:t>19</w:t>
      </w:r>
      <w:r w:rsidRPr="007F52FA">
        <w:rPr>
          <w:color w:val="000000"/>
          <w:sz w:val="24"/>
        </w:rPr>
        <w:t>日起，开始销售</w:t>
      </w:r>
      <w:r w:rsidRPr="007F52FA">
        <w:rPr>
          <w:color w:val="000000"/>
          <w:sz w:val="24"/>
        </w:rPr>
        <w:t>C</w:t>
      </w:r>
      <w:r w:rsidRPr="007F52FA">
        <w:rPr>
          <w:color w:val="000000"/>
          <w:sz w:val="24"/>
        </w:rPr>
        <w:t>类份额，当日投资者提交的申购申请于</w:t>
      </w:r>
      <w:r w:rsidRPr="007F52FA">
        <w:rPr>
          <w:color w:val="000000"/>
          <w:sz w:val="24"/>
        </w:rPr>
        <w:t>2015</w:t>
      </w:r>
      <w:r w:rsidRPr="007F52FA">
        <w:rPr>
          <w:color w:val="000000"/>
          <w:sz w:val="24"/>
        </w:rPr>
        <w:t>年</w:t>
      </w:r>
      <w:r w:rsidRPr="007F52FA">
        <w:rPr>
          <w:color w:val="000000"/>
          <w:sz w:val="24"/>
        </w:rPr>
        <w:t>11</w:t>
      </w:r>
      <w:r w:rsidRPr="007F52FA">
        <w:rPr>
          <w:color w:val="000000"/>
          <w:sz w:val="24"/>
        </w:rPr>
        <w:t>月</w:t>
      </w:r>
      <w:r w:rsidRPr="007F52FA">
        <w:rPr>
          <w:color w:val="000000"/>
          <w:sz w:val="24"/>
        </w:rPr>
        <w:t>20</w:t>
      </w:r>
      <w:r w:rsidRPr="007F52FA">
        <w:rPr>
          <w:color w:val="000000"/>
          <w:sz w:val="24"/>
        </w:rPr>
        <w:t>日被确认并将有效份额登记在册。图示日期为</w:t>
      </w:r>
      <w:r w:rsidRPr="007F52FA">
        <w:rPr>
          <w:color w:val="000000"/>
          <w:sz w:val="24"/>
        </w:rPr>
        <w:t>2015</w:t>
      </w:r>
      <w:r w:rsidRPr="007F52FA">
        <w:rPr>
          <w:color w:val="000000"/>
          <w:sz w:val="24"/>
        </w:rPr>
        <w:t>年</w:t>
      </w:r>
      <w:r w:rsidRPr="007F52FA">
        <w:rPr>
          <w:color w:val="000000"/>
          <w:sz w:val="24"/>
        </w:rPr>
        <w:t>11</w:t>
      </w:r>
      <w:r w:rsidRPr="007F52FA">
        <w:rPr>
          <w:color w:val="000000"/>
          <w:sz w:val="24"/>
        </w:rPr>
        <w:t>月</w:t>
      </w:r>
      <w:r w:rsidRPr="007F52FA">
        <w:rPr>
          <w:color w:val="000000"/>
          <w:sz w:val="24"/>
        </w:rPr>
        <w:t>20</w:t>
      </w:r>
      <w:r w:rsidRPr="007F52FA">
        <w:rPr>
          <w:color w:val="000000"/>
          <w:sz w:val="24"/>
        </w:rPr>
        <w:t>日至</w:t>
      </w:r>
      <w:r w:rsidRPr="007F52FA">
        <w:rPr>
          <w:color w:val="000000"/>
          <w:sz w:val="24"/>
        </w:rPr>
        <w:t>2017</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w:t>
      </w:r>
    </w:p>
    <w:p w:rsidR="00757FD7" w:rsidRPr="007F52FA" w:rsidRDefault="00757FD7" w:rsidP="007C14DF">
      <w:pPr>
        <w:spacing w:before="29" w:line="288" w:lineRule="auto"/>
        <w:ind w:firstLineChars="200" w:firstLine="480"/>
        <w:rPr>
          <w:color w:val="000000"/>
          <w:sz w:val="24"/>
        </w:rPr>
      </w:pPr>
    </w:p>
    <w:p w:rsidR="00973B57" w:rsidRPr="007F52FA" w:rsidRDefault="00973B57" w:rsidP="007C14DF">
      <w:pPr>
        <w:pStyle w:val="20"/>
        <w:spacing w:before="29" w:line="288" w:lineRule="auto"/>
        <w:ind w:firstLineChars="0" w:firstLine="0"/>
        <w:jc w:val="left"/>
        <w:rPr>
          <w:rFonts w:ascii="Times New Roman" w:eastAsiaTheme="minorEastAsia" w:hAnsi="Times New Roman"/>
          <w:color w:val="000000"/>
        </w:rPr>
      </w:pP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A03222">
        <w:trPr>
          <w:jc w:val="center"/>
        </w:trPr>
        <w:tc>
          <w:tcPr>
            <w:tcW w:w="946" w:type="dxa"/>
            <w:vAlign w:val="center"/>
          </w:tcPr>
          <w:p w:rsidR="00A03222" w:rsidRDefault="006B0B1F">
            <w:pPr>
              <w:jc w:val="center"/>
            </w:pPr>
            <w:r>
              <w:rPr>
                <w:color w:val="000000"/>
                <w:sz w:val="24"/>
              </w:rPr>
              <w:t>李娜</w:t>
            </w:r>
          </w:p>
        </w:tc>
        <w:tc>
          <w:tcPr>
            <w:tcW w:w="924" w:type="dxa"/>
            <w:vAlign w:val="center"/>
          </w:tcPr>
          <w:p w:rsidR="00A03222" w:rsidRDefault="006B0B1F">
            <w:pPr>
              <w:jc w:val="center"/>
            </w:pPr>
            <w:r>
              <w:rPr>
                <w:color w:val="000000"/>
                <w:sz w:val="24"/>
              </w:rPr>
              <w:t>交银周期回报灵活</w:t>
            </w:r>
            <w:r>
              <w:rPr>
                <w:color w:val="000000"/>
                <w:sz w:val="24"/>
              </w:rPr>
              <w:lastRenderedPageBreak/>
              <w:t>配置混合、交银新回报灵活配置混合、交银多策略回报灵活配置混合、交银卓越回报灵活配置混合、交银优选回报灵活配置混合、交银优择回报灵活配置混合、交银领先回报灵活配置混合、交银瑞鑫定期开放灵活配置</w:t>
            </w:r>
            <w:r>
              <w:rPr>
                <w:color w:val="000000"/>
                <w:sz w:val="24"/>
              </w:rPr>
              <w:lastRenderedPageBreak/>
              <w:t>混合、交银瑞景定期开放灵活配置混合、交银启通灵活配置混合、交银瑞利定期开放灵活配置混合、交银瑞安定期开放灵活配置混合的基金经理</w:t>
            </w:r>
          </w:p>
        </w:tc>
        <w:tc>
          <w:tcPr>
            <w:tcW w:w="1202" w:type="dxa"/>
            <w:vAlign w:val="center"/>
          </w:tcPr>
          <w:p w:rsidR="00A03222" w:rsidRDefault="006B0B1F">
            <w:pPr>
              <w:jc w:val="center"/>
            </w:pPr>
            <w:r>
              <w:rPr>
                <w:color w:val="000000"/>
                <w:sz w:val="24"/>
              </w:rPr>
              <w:lastRenderedPageBreak/>
              <w:t>2015-08-04</w:t>
            </w:r>
          </w:p>
        </w:tc>
        <w:tc>
          <w:tcPr>
            <w:tcW w:w="1300" w:type="dxa"/>
            <w:vAlign w:val="center"/>
          </w:tcPr>
          <w:p w:rsidR="00A03222" w:rsidRDefault="006B0B1F">
            <w:pPr>
              <w:jc w:val="center"/>
            </w:pPr>
            <w:r>
              <w:rPr>
                <w:color w:val="000000"/>
                <w:sz w:val="24"/>
              </w:rPr>
              <w:t>-</w:t>
            </w:r>
          </w:p>
        </w:tc>
        <w:tc>
          <w:tcPr>
            <w:tcW w:w="1245" w:type="dxa"/>
            <w:vAlign w:val="center"/>
          </w:tcPr>
          <w:p w:rsidR="00A03222" w:rsidRDefault="006B0B1F">
            <w:pPr>
              <w:jc w:val="center"/>
            </w:pPr>
            <w:r>
              <w:rPr>
                <w:color w:val="000000"/>
                <w:sz w:val="24"/>
              </w:rPr>
              <w:t>7</w:t>
            </w:r>
            <w:r>
              <w:rPr>
                <w:color w:val="000000"/>
                <w:sz w:val="24"/>
              </w:rPr>
              <w:t>年</w:t>
            </w:r>
          </w:p>
        </w:tc>
        <w:tc>
          <w:tcPr>
            <w:tcW w:w="3251" w:type="dxa"/>
            <w:vAlign w:val="center"/>
          </w:tcPr>
          <w:p w:rsidR="00A03222" w:rsidRDefault="006B0B1F">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w:t>
            </w:r>
            <w:r>
              <w:rPr>
                <w:color w:val="000000"/>
                <w:sz w:val="24"/>
              </w:rPr>
              <w:lastRenderedPageBreak/>
              <w:t>罗德基金管理有限公司，历任债券分析师、基金经理助理。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lastRenderedPageBreak/>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A03222" w:rsidRDefault="006B0B1F">
      <w:pPr>
        <w:spacing w:before="29" w:line="288" w:lineRule="auto"/>
        <w:ind w:firstLineChars="200" w:firstLine="480"/>
        <w:rPr>
          <w:color w:val="000000"/>
          <w:sz w:val="24"/>
        </w:rPr>
      </w:pPr>
      <w:r>
        <w:rPr>
          <w:color w:val="000000"/>
          <w:sz w:val="24"/>
        </w:rPr>
        <w:t>本公司制定了严格的投资控制制度和公平交易监控制度来保证旗下基金运作的公</w:t>
      </w:r>
      <w:r>
        <w:rPr>
          <w:color w:val="000000"/>
          <w:sz w:val="24"/>
        </w:rPr>
        <w:lastRenderedPageBreak/>
        <w:t>平，旗下所管理的所有资产组合，包括证券投资基金和特定客户资产管理专户均严格遵循制度进行公平交易。</w:t>
      </w:r>
    </w:p>
    <w:p w:rsidR="00A03222" w:rsidRDefault="006B0B1F">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03222" w:rsidRDefault="006B0B1F">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A03222" w:rsidRDefault="006B0B1F">
      <w:pPr>
        <w:spacing w:before="29" w:line="288" w:lineRule="auto"/>
        <w:ind w:firstLineChars="200" w:firstLine="480"/>
        <w:rPr>
          <w:color w:val="000000"/>
          <w:sz w:val="24"/>
        </w:rPr>
      </w:pPr>
      <w:r>
        <w:rPr>
          <w:color w:val="000000"/>
          <w:sz w:val="24"/>
        </w:rPr>
        <w:t>本报告期内，部分经济增长数据呈现出较强的韧性，通胀数据在十月触顶后略有回落，猪肉价格保持平稳，海外原油有上升压力。央行继续保持稳健中性的货币政策，在美联储加息后小幅跟随上调银行间利率，并先后宣布延迟定向降准和建立临时准备金动用安排。银行间流动性在年底显示出更强的季节性特征，银行超储率保持低位，整体资金价格中枢明显上移。股票市场受无风险利率上行和白马龙头股调整等因素的影响，风险偏好回落，指数在触及年内高点后开始调整。同期债券收益率上行后亦有回落，在高位震荡盘整，其中资管新规征求意见稿出炉、美联储加息靴子落地、年末流动性紧张等因素成为债券市场收益率变动的主要原因。报告期内，上证综指和创业板指分别下行</w:t>
      </w:r>
      <w:r>
        <w:rPr>
          <w:color w:val="000000"/>
          <w:sz w:val="24"/>
        </w:rPr>
        <w:t>1.25%</w:t>
      </w:r>
      <w:r>
        <w:rPr>
          <w:color w:val="000000"/>
          <w:sz w:val="24"/>
        </w:rPr>
        <w:t>和</w:t>
      </w:r>
      <w:r>
        <w:rPr>
          <w:color w:val="000000"/>
          <w:sz w:val="24"/>
        </w:rPr>
        <w:t>6.12%</w:t>
      </w:r>
      <w:r>
        <w:rPr>
          <w:color w:val="000000"/>
          <w:sz w:val="24"/>
        </w:rPr>
        <w:t>，</w:t>
      </w:r>
      <w:r>
        <w:rPr>
          <w:color w:val="000000"/>
          <w:sz w:val="24"/>
        </w:rPr>
        <w:t>10</w:t>
      </w:r>
      <w:r>
        <w:rPr>
          <w:color w:val="000000"/>
          <w:sz w:val="24"/>
        </w:rPr>
        <w:t>年期国债收益率上行</w:t>
      </w:r>
      <w:r>
        <w:rPr>
          <w:color w:val="000000"/>
          <w:sz w:val="24"/>
        </w:rPr>
        <w:t>26BP</w:t>
      </w:r>
      <w:r>
        <w:rPr>
          <w:color w:val="000000"/>
          <w:sz w:val="24"/>
        </w:rPr>
        <w:t>至</w:t>
      </w:r>
      <w:r>
        <w:rPr>
          <w:color w:val="000000"/>
          <w:sz w:val="24"/>
        </w:rPr>
        <w:t>3.88%</w:t>
      </w:r>
      <w:r>
        <w:rPr>
          <w:color w:val="000000"/>
          <w:sz w:val="24"/>
        </w:rPr>
        <w:t>，</w:t>
      </w:r>
      <w:r>
        <w:rPr>
          <w:color w:val="000000"/>
          <w:sz w:val="24"/>
        </w:rPr>
        <w:t>10</w:t>
      </w:r>
      <w:r>
        <w:rPr>
          <w:color w:val="000000"/>
          <w:sz w:val="24"/>
        </w:rPr>
        <w:t>年期国开债收益率上行</w:t>
      </w:r>
      <w:r>
        <w:rPr>
          <w:color w:val="000000"/>
          <w:sz w:val="24"/>
        </w:rPr>
        <w:t>63BP</w:t>
      </w:r>
      <w:r>
        <w:rPr>
          <w:color w:val="000000"/>
          <w:sz w:val="24"/>
        </w:rPr>
        <w:t>到</w:t>
      </w:r>
      <w:r>
        <w:rPr>
          <w:color w:val="000000"/>
          <w:sz w:val="24"/>
        </w:rPr>
        <w:t>4.82%</w:t>
      </w:r>
      <w:r>
        <w:rPr>
          <w:color w:val="000000"/>
          <w:sz w:val="24"/>
        </w:rPr>
        <w:t>。</w:t>
      </w:r>
    </w:p>
    <w:p w:rsidR="00A03222" w:rsidRDefault="006B0B1F">
      <w:pPr>
        <w:spacing w:before="29" w:line="288" w:lineRule="auto"/>
        <w:ind w:firstLineChars="200" w:firstLine="480"/>
        <w:rPr>
          <w:color w:val="000000"/>
          <w:sz w:val="24"/>
        </w:rPr>
      </w:pPr>
      <w:r>
        <w:rPr>
          <w:color w:val="000000"/>
          <w:sz w:val="24"/>
        </w:rPr>
        <w:t>策略层面，本基金重点关注短久期信用债以及同业存单的配置价值，适度加大配置力度，同时保持组合流动性。积极关注新股及转债发行动态，进行权益和转债一级市场投资，同时也关注二级市场的投资机会，从各方面争取为持有人赚取回报。</w:t>
      </w:r>
    </w:p>
    <w:p w:rsidR="00952A72" w:rsidRPr="007F52FA" w:rsidRDefault="00323F25" w:rsidP="007C14DF">
      <w:pPr>
        <w:spacing w:before="29" w:line="288" w:lineRule="auto"/>
        <w:ind w:firstLineChars="200" w:firstLine="480"/>
        <w:rPr>
          <w:color w:val="000000"/>
          <w:sz w:val="24"/>
        </w:rPr>
      </w:pPr>
      <w:r w:rsidRPr="007F52FA">
        <w:rPr>
          <w:color w:val="000000"/>
          <w:sz w:val="24"/>
        </w:rPr>
        <w:t>展望</w:t>
      </w:r>
      <w:r w:rsidRPr="007F52FA">
        <w:rPr>
          <w:color w:val="000000"/>
          <w:sz w:val="24"/>
        </w:rPr>
        <w:t>2018</w:t>
      </w:r>
      <w:r w:rsidRPr="007F52FA">
        <w:rPr>
          <w:color w:val="000000"/>
          <w:sz w:val="24"/>
        </w:rPr>
        <w:t>年一季度，基本面的韧性有可能延续，</w:t>
      </w:r>
      <w:r w:rsidRPr="007F52FA">
        <w:rPr>
          <w:color w:val="000000"/>
          <w:sz w:val="24"/>
        </w:rPr>
        <w:t>CPI</w:t>
      </w:r>
      <w:r w:rsidRPr="007F52FA">
        <w:rPr>
          <w:color w:val="000000"/>
          <w:sz w:val="24"/>
        </w:rPr>
        <w:t>在春节期间的触顶回调幅度值得观察，宏观经济对债市影响的增强仍需要时间演化。在货币政策</w:t>
      </w:r>
      <w:r w:rsidRPr="007F52FA">
        <w:rPr>
          <w:color w:val="000000"/>
          <w:sz w:val="24"/>
        </w:rPr>
        <w:t>“</w:t>
      </w:r>
      <w:r w:rsidRPr="007F52FA">
        <w:rPr>
          <w:color w:val="000000"/>
          <w:sz w:val="24"/>
        </w:rPr>
        <w:t>不松不紧</w:t>
      </w:r>
      <w:r w:rsidRPr="007F52FA">
        <w:rPr>
          <w:color w:val="000000"/>
          <w:sz w:val="24"/>
        </w:rPr>
        <w:t>”</w:t>
      </w:r>
      <w:r w:rsidRPr="007F52FA">
        <w:rPr>
          <w:color w:val="000000"/>
          <w:sz w:val="24"/>
        </w:rPr>
        <w:t>的基调</w:t>
      </w:r>
      <w:r w:rsidRPr="007F52FA">
        <w:rPr>
          <w:color w:val="000000"/>
          <w:sz w:val="24"/>
        </w:rPr>
        <w:lastRenderedPageBreak/>
        <w:t>下，利率或处于高位震荡格局之中，但长端收益率上行空间有限，具备一定配置价值。我们将密切关注金融监管政策的落地实施、供给侧等改革推进、通胀预期变化、海外货币政策变化等因素对市场的影响。股票方面，力争继续保持稳健、审慎投资，积极关注一级市场动态。债券方面，在保持组合流动性的前提下积极关注交易窗口，把握适中久期，同时继续关注信用风险。</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2017</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日，本基金</w:t>
      </w:r>
      <w:r w:rsidRPr="007F52FA">
        <w:rPr>
          <w:color w:val="000000"/>
          <w:sz w:val="24"/>
        </w:rPr>
        <w:t>A</w:t>
      </w:r>
      <w:r w:rsidRPr="007F52FA">
        <w:rPr>
          <w:color w:val="000000"/>
          <w:sz w:val="24"/>
        </w:rPr>
        <w:t>份额净值为</w:t>
      </w:r>
      <w:r w:rsidRPr="007F52FA">
        <w:rPr>
          <w:color w:val="000000"/>
          <w:sz w:val="24"/>
        </w:rPr>
        <w:t>1.246</w:t>
      </w:r>
      <w:r w:rsidRPr="007F52FA">
        <w:rPr>
          <w:color w:val="000000"/>
          <w:sz w:val="24"/>
        </w:rPr>
        <w:t>元，本报告期份额净值增长率为</w:t>
      </w:r>
      <w:r w:rsidRPr="007F52FA">
        <w:rPr>
          <w:color w:val="000000"/>
          <w:sz w:val="24"/>
        </w:rPr>
        <w:t>2.72%</w:t>
      </w:r>
      <w:r w:rsidRPr="007F52FA">
        <w:rPr>
          <w:color w:val="000000"/>
          <w:sz w:val="24"/>
        </w:rPr>
        <w:t>，同期业绩比较基准增长率为</w:t>
      </w:r>
      <w:r w:rsidRPr="007F52FA">
        <w:rPr>
          <w:color w:val="000000"/>
          <w:sz w:val="24"/>
        </w:rPr>
        <w:t>1.96%</w:t>
      </w:r>
      <w:r w:rsidRPr="007F52FA">
        <w:rPr>
          <w:color w:val="000000"/>
          <w:sz w:val="24"/>
        </w:rPr>
        <w:t>；本基金</w:t>
      </w:r>
      <w:r w:rsidRPr="007F52FA">
        <w:rPr>
          <w:color w:val="000000"/>
          <w:sz w:val="24"/>
        </w:rPr>
        <w:t>C</w:t>
      </w:r>
      <w:r w:rsidRPr="007F52FA">
        <w:rPr>
          <w:color w:val="000000"/>
          <w:sz w:val="24"/>
        </w:rPr>
        <w:t>份额净值为</w:t>
      </w:r>
      <w:r w:rsidRPr="007F52FA">
        <w:rPr>
          <w:color w:val="000000"/>
          <w:sz w:val="24"/>
        </w:rPr>
        <w:t>1.261</w:t>
      </w:r>
      <w:r w:rsidRPr="007F52FA">
        <w:rPr>
          <w:color w:val="000000"/>
          <w:sz w:val="24"/>
        </w:rPr>
        <w:t>元，本报告期份额净值增长率为</w:t>
      </w:r>
      <w:r w:rsidRPr="007F52FA">
        <w:rPr>
          <w:color w:val="000000"/>
          <w:sz w:val="24"/>
        </w:rPr>
        <w:t>2.77%</w:t>
      </w:r>
      <w:r w:rsidRPr="007F52FA">
        <w:rPr>
          <w:color w:val="000000"/>
          <w:sz w:val="24"/>
        </w:rPr>
        <w:t>，同期业绩比较基准增长率为</w:t>
      </w:r>
      <w:r w:rsidRPr="007F52FA">
        <w:rPr>
          <w:color w:val="000000"/>
          <w:sz w:val="24"/>
        </w:rPr>
        <w:t>1.96%</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F52FA" w:rsidRDefault="00FF5FC7" w:rsidP="00BE251D">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132,674,057.80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18.76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132,674,057.80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18.76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559,546,712.00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79.11</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559,546,712.00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79.11</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autoSpaceDE w:val="0"/>
              <w:autoSpaceDN w:val="0"/>
              <w:adjustRightInd w:val="0"/>
              <w:spacing w:before="29" w:line="288" w:lineRule="auto"/>
              <w:ind w:leftChars="8" w:left="17" w:firstLineChars="250" w:firstLine="600"/>
              <w:jc w:val="left"/>
              <w:rPr>
                <w:color w:val="000000"/>
                <w:sz w:val="24"/>
              </w:rPr>
            </w:pPr>
            <w:r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5,569,086.43</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0.79</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9,535,235.42</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1.35</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707,325,091.65</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lastRenderedPageBreak/>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000" w:firstRow="0" w:lastRow="0" w:firstColumn="0" w:lastColumn="0" w:noHBand="0" w:noVBand="0"/>
      </w:tblPr>
      <w:tblGrid>
        <w:gridCol w:w="772"/>
        <w:gridCol w:w="3525"/>
        <w:gridCol w:w="2897"/>
        <w:gridCol w:w="1674"/>
      </w:tblGrid>
      <w:tr w:rsidR="005F458B" w:rsidRPr="007F52FA" w:rsidTr="004D7E11">
        <w:trPr>
          <w:trHeight w:val="390"/>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代码</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占基金资产净值比例（％）</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A</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B</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DF744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DF744A">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C</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72,187,056.99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11.70</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D</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3,974,246.30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0.64</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E</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F</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8,884,600.00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1.44</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G</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17,942.76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0.00</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H</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240CA0">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I</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240CA0">
            <w:pPr>
              <w:adjustRightInd w:val="0"/>
              <w:snapToGrid w:val="0"/>
              <w:spacing w:before="29" w:line="288" w:lineRule="auto"/>
              <w:rPr>
                <w:sz w:val="24"/>
              </w:rPr>
            </w:pPr>
            <w:r w:rsidRPr="007F52FA">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34,112.55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0.01</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J</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47,543,776.00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7.70</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K</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L</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M</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N</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32,323.20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0.01</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O</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P</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Q</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R</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S</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132,674,057.80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21.50</w:t>
            </w:r>
          </w:p>
        </w:tc>
      </w:tr>
    </w:tbl>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71DB" w:rsidRPr="007F52FA" w:rsidTr="00481DB2">
        <w:trPr>
          <w:jc w:val="center"/>
        </w:trPr>
        <w:tc>
          <w:tcPr>
            <w:tcW w:w="817"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序号</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股票代码</w:t>
            </w:r>
          </w:p>
        </w:tc>
        <w:tc>
          <w:tcPr>
            <w:tcW w:w="1701"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股票名称</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数量</w:t>
            </w:r>
            <w:r w:rsidR="00C44F1F" w:rsidRPr="007F52FA">
              <w:rPr>
                <w:sz w:val="24"/>
              </w:rPr>
              <w:t>（</w:t>
            </w:r>
            <w:r w:rsidRPr="007F52FA">
              <w:rPr>
                <w:color w:val="000000"/>
                <w:sz w:val="24"/>
              </w:rPr>
              <w:t>股</w:t>
            </w:r>
            <w:r w:rsidR="00C44F1F" w:rsidRPr="007F52FA">
              <w:rPr>
                <w:sz w:val="24"/>
              </w:rPr>
              <w:t>）</w:t>
            </w:r>
          </w:p>
        </w:tc>
        <w:tc>
          <w:tcPr>
            <w:tcW w:w="1842" w:type="dxa"/>
            <w:vAlign w:val="center"/>
          </w:tcPr>
          <w:p w:rsidR="000871DB" w:rsidRPr="007F52FA" w:rsidRDefault="000871DB" w:rsidP="007C14DF">
            <w:pPr>
              <w:autoSpaceDE w:val="0"/>
              <w:autoSpaceDN w:val="0"/>
              <w:adjustRightInd w:val="0"/>
              <w:spacing w:before="29" w:line="288" w:lineRule="auto"/>
              <w:ind w:left="17"/>
              <w:jc w:val="center"/>
              <w:rPr>
                <w:color w:val="000000"/>
                <w:sz w:val="24"/>
              </w:rPr>
            </w:pPr>
            <w:r w:rsidRPr="007F52FA">
              <w:rPr>
                <w:color w:val="000000"/>
                <w:sz w:val="24"/>
              </w:rPr>
              <w:t>公允价值</w:t>
            </w:r>
            <w:r w:rsidR="002D3BDD" w:rsidRPr="007F52FA">
              <w:rPr>
                <w:color w:val="000000"/>
                <w:kern w:val="0"/>
                <w:sz w:val="24"/>
              </w:rPr>
              <w:t>(</w:t>
            </w:r>
            <w:r w:rsidR="00C44F1F" w:rsidRPr="007F52FA">
              <w:rPr>
                <w:sz w:val="24"/>
              </w:rPr>
              <w:t>元</w:t>
            </w:r>
            <w:r w:rsidR="002D3BDD" w:rsidRPr="007F52FA">
              <w:rPr>
                <w:color w:val="000000"/>
                <w:kern w:val="0"/>
                <w:sz w:val="24"/>
              </w:rPr>
              <w:t>)</w:t>
            </w:r>
          </w:p>
        </w:tc>
        <w:tc>
          <w:tcPr>
            <w:tcW w:w="161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占基金资产净值比例</w:t>
            </w:r>
            <w:r w:rsidR="00C44F1F" w:rsidRPr="007F52FA">
              <w:rPr>
                <w:sz w:val="24"/>
              </w:rPr>
              <w:t>（</w:t>
            </w:r>
            <w:r w:rsidRPr="007F52FA">
              <w:rPr>
                <w:color w:val="000000"/>
                <w:sz w:val="24"/>
              </w:rPr>
              <w:t>％</w:t>
            </w:r>
            <w:r w:rsidR="00C44F1F" w:rsidRPr="007F52FA">
              <w:rPr>
                <w:sz w:val="24"/>
              </w:rPr>
              <w:t>）</w:t>
            </w:r>
          </w:p>
        </w:tc>
      </w:tr>
      <w:tr w:rsidR="00A03222">
        <w:trPr>
          <w:jc w:val="center"/>
        </w:trPr>
        <w:tc>
          <w:tcPr>
            <w:tcW w:w="850" w:type="dxa"/>
            <w:vAlign w:val="center"/>
          </w:tcPr>
          <w:p w:rsidR="00A03222" w:rsidRDefault="006B0B1F">
            <w:pPr>
              <w:jc w:val="center"/>
            </w:pPr>
            <w:r>
              <w:rPr>
                <w:color w:val="000000"/>
                <w:sz w:val="24"/>
              </w:rPr>
              <w:t>1</w:t>
            </w:r>
          </w:p>
        </w:tc>
        <w:tc>
          <w:tcPr>
            <w:tcW w:w="1327" w:type="dxa"/>
            <w:vAlign w:val="center"/>
          </w:tcPr>
          <w:p w:rsidR="00A03222" w:rsidRDefault="006B0B1F">
            <w:pPr>
              <w:jc w:val="center"/>
            </w:pPr>
            <w:r>
              <w:rPr>
                <w:color w:val="000000"/>
                <w:sz w:val="24"/>
              </w:rPr>
              <w:t>000001</w:t>
            </w:r>
          </w:p>
        </w:tc>
        <w:tc>
          <w:tcPr>
            <w:tcW w:w="1769" w:type="dxa"/>
            <w:vAlign w:val="center"/>
          </w:tcPr>
          <w:p w:rsidR="00A03222" w:rsidRDefault="006B0B1F">
            <w:pPr>
              <w:jc w:val="center"/>
            </w:pPr>
            <w:r>
              <w:rPr>
                <w:color w:val="000000"/>
                <w:sz w:val="24"/>
              </w:rPr>
              <w:t>平安银行</w:t>
            </w:r>
          </w:p>
        </w:tc>
        <w:tc>
          <w:tcPr>
            <w:tcW w:w="1327" w:type="dxa"/>
            <w:vAlign w:val="center"/>
          </w:tcPr>
          <w:p w:rsidR="00A03222" w:rsidRDefault="006B0B1F">
            <w:pPr>
              <w:jc w:val="right"/>
            </w:pPr>
            <w:r>
              <w:rPr>
                <w:color w:val="000000"/>
                <w:sz w:val="24"/>
              </w:rPr>
              <w:t>1,000,000</w:t>
            </w:r>
          </w:p>
        </w:tc>
        <w:tc>
          <w:tcPr>
            <w:tcW w:w="1915" w:type="dxa"/>
            <w:vAlign w:val="center"/>
          </w:tcPr>
          <w:p w:rsidR="00A03222" w:rsidRDefault="006B0B1F">
            <w:pPr>
              <w:jc w:val="right"/>
            </w:pPr>
            <w:r>
              <w:rPr>
                <w:color w:val="000000"/>
                <w:sz w:val="24"/>
              </w:rPr>
              <w:t>13,300,000.00</w:t>
            </w:r>
          </w:p>
        </w:tc>
        <w:tc>
          <w:tcPr>
            <w:tcW w:w="1680" w:type="dxa"/>
            <w:vAlign w:val="center"/>
          </w:tcPr>
          <w:p w:rsidR="00A03222" w:rsidRDefault="006B0B1F">
            <w:pPr>
              <w:jc w:val="right"/>
            </w:pPr>
            <w:r>
              <w:rPr>
                <w:color w:val="000000"/>
                <w:sz w:val="24"/>
              </w:rPr>
              <w:t>2.16</w:t>
            </w:r>
          </w:p>
        </w:tc>
      </w:tr>
      <w:tr w:rsidR="00A03222">
        <w:trPr>
          <w:jc w:val="center"/>
        </w:trPr>
        <w:tc>
          <w:tcPr>
            <w:tcW w:w="850" w:type="dxa"/>
            <w:vAlign w:val="center"/>
          </w:tcPr>
          <w:p w:rsidR="00A03222" w:rsidRDefault="006B0B1F">
            <w:pPr>
              <w:jc w:val="center"/>
            </w:pPr>
            <w:r>
              <w:rPr>
                <w:color w:val="000000"/>
                <w:sz w:val="24"/>
              </w:rPr>
              <w:t>2</w:t>
            </w:r>
          </w:p>
        </w:tc>
        <w:tc>
          <w:tcPr>
            <w:tcW w:w="1327" w:type="dxa"/>
            <w:vAlign w:val="center"/>
          </w:tcPr>
          <w:p w:rsidR="00A03222" w:rsidRDefault="006B0B1F">
            <w:pPr>
              <w:jc w:val="center"/>
            </w:pPr>
            <w:r>
              <w:rPr>
                <w:color w:val="000000"/>
                <w:sz w:val="24"/>
              </w:rPr>
              <w:t>000858</w:t>
            </w:r>
          </w:p>
        </w:tc>
        <w:tc>
          <w:tcPr>
            <w:tcW w:w="1769" w:type="dxa"/>
            <w:vAlign w:val="center"/>
          </w:tcPr>
          <w:p w:rsidR="00A03222" w:rsidRDefault="006B0B1F">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327" w:type="dxa"/>
            <w:vAlign w:val="center"/>
          </w:tcPr>
          <w:p w:rsidR="00A03222" w:rsidRDefault="006B0B1F">
            <w:pPr>
              <w:jc w:val="right"/>
            </w:pPr>
            <w:r>
              <w:rPr>
                <w:color w:val="000000"/>
                <w:sz w:val="24"/>
              </w:rPr>
              <w:t>160,000</w:t>
            </w:r>
          </w:p>
        </w:tc>
        <w:tc>
          <w:tcPr>
            <w:tcW w:w="1915" w:type="dxa"/>
            <w:vAlign w:val="center"/>
          </w:tcPr>
          <w:p w:rsidR="00A03222" w:rsidRDefault="006B0B1F">
            <w:pPr>
              <w:jc w:val="right"/>
            </w:pPr>
            <w:r>
              <w:rPr>
                <w:color w:val="000000"/>
                <w:sz w:val="24"/>
              </w:rPr>
              <w:t>12,780,800.00</w:t>
            </w:r>
          </w:p>
        </w:tc>
        <w:tc>
          <w:tcPr>
            <w:tcW w:w="1680" w:type="dxa"/>
            <w:vAlign w:val="center"/>
          </w:tcPr>
          <w:p w:rsidR="00A03222" w:rsidRDefault="006B0B1F">
            <w:pPr>
              <w:jc w:val="right"/>
            </w:pPr>
            <w:r>
              <w:rPr>
                <w:color w:val="000000"/>
                <w:sz w:val="24"/>
              </w:rPr>
              <w:t>2.07</w:t>
            </w:r>
          </w:p>
        </w:tc>
      </w:tr>
      <w:tr w:rsidR="00A03222">
        <w:trPr>
          <w:jc w:val="center"/>
        </w:trPr>
        <w:tc>
          <w:tcPr>
            <w:tcW w:w="850" w:type="dxa"/>
            <w:vAlign w:val="center"/>
          </w:tcPr>
          <w:p w:rsidR="00A03222" w:rsidRDefault="006B0B1F">
            <w:pPr>
              <w:jc w:val="center"/>
            </w:pPr>
            <w:r>
              <w:rPr>
                <w:color w:val="000000"/>
                <w:sz w:val="24"/>
              </w:rPr>
              <w:lastRenderedPageBreak/>
              <w:t>3</w:t>
            </w:r>
          </w:p>
        </w:tc>
        <w:tc>
          <w:tcPr>
            <w:tcW w:w="1327" w:type="dxa"/>
            <w:vAlign w:val="center"/>
          </w:tcPr>
          <w:p w:rsidR="00A03222" w:rsidRDefault="006B0B1F">
            <w:pPr>
              <w:jc w:val="center"/>
            </w:pPr>
            <w:r>
              <w:rPr>
                <w:color w:val="000000"/>
                <w:sz w:val="24"/>
              </w:rPr>
              <w:t>002142</w:t>
            </w:r>
          </w:p>
        </w:tc>
        <w:tc>
          <w:tcPr>
            <w:tcW w:w="1769" w:type="dxa"/>
            <w:vAlign w:val="center"/>
          </w:tcPr>
          <w:p w:rsidR="00A03222" w:rsidRDefault="006B0B1F">
            <w:pPr>
              <w:jc w:val="center"/>
            </w:pPr>
            <w:r>
              <w:rPr>
                <w:color w:val="000000"/>
                <w:sz w:val="24"/>
              </w:rPr>
              <w:t>宁波银行</w:t>
            </w:r>
          </w:p>
        </w:tc>
        <w:tc>
          <w:tcPr>
            <w:tcW w:w="1327" w:type="dxa"/>
            <w:vAlign w:val="center"/>
          </w:tcPr>
          <w:p w:rsidR="00A03222" w:rsidRDefault="006B0B1F">
            <w:pPr>
              <w:jc w:val="right"/>
            </w:pPr>
            <w:r>
              <w:rPr>
                <w:color w:val="000000"/>
                <w:sz w:val="24"/>
              </w:rPr>
              <w:t>566,500</w:t>
            </w:r>
          </w:p>
        </w:tc>
        <w:tc>
          <w:tcPr>
            <w:tcW w:w="1915" w:type="dxa"/>
            <w:vAlign w:val="center"/>
          </w:tcPr>
          <w:p w:rsidR="00A03222" w:rsidRDefault="006B0B1F">
            <w:pPr>
              <w:jc w:val="right"/>
            </w:pPr>
            <w:r>
              <w:rPr>
                <w:color w:val="000000"/>
                <w:sz w:val="24"/>
              </w:rPr>
              <w:t>10,089,365.00</w:t>
            </w:r>
          </w:p>
        </w:tc>
        <w:tc>
          <w:tcPr>
            <w:tcW w:w="1680" w:type="dxa"/>
            <w:vAlign w:val="center"/>
          </w:tcPr>
          <w:p w:rsidR="00A03222" w:rsidRDefault="006B0B1F">
            <w:pPr>
              <w:jc w:val="right"/>
            </w:pPr>
            <w:r>
              <w:rPr>
                <w:color w:val="000000"/>
                <w:sz w:val="24"/>
              </w:rPr>
              <w:t>1.63</w:t>
            </w:r>
          </w:p>
        </w:tc>
      </w:tr>
      <w:tr w:rsidR="00A03222">
        <w:trPr>
          <w:jc w:val="center"/>
        </w:trPr>
        <w:tc>
          <w:tcPr>
            <w:tcW w:w="850" w:type="dxa"/>
            <w:vAlign w:val="center"/>
          </w:tcPr>
          <w:p w:rsidR="00A03222" w:rsidRDefault="006B0B1F">
            <w:pPr>
              <w:jc w:val="center"/>
            </w:pPr>
            <w:r>
              <w:rPr>
                <w:color w:val="000000"/>
                <w:sz w:val="24"/>
              </w:rPr>
              <w:t>4</w:t>
            </w:r>
          </w:p>
        </w:tc>
        <w:tc>
          <w:tcPr>
            <w:tcW w:w="1327" w:type="dxa"/>
            <w:vAlign w:val="center"/>
          </w:tcPr>
          <w:p w:rsidR="00A03222" w:rsidRDefault="006B0B1F">
            <w:pPr>
              <w:jc w:val="center"/>
            </w:pPr>
            <w:r>
              <w:rPr>
                <w:color w:val="000000"/>
                <w:sz w:val="24"/>
              </w:rPr>
              <w:t>601398</w:t>
            </w:r>
          </w:p>
        </w:tc>
        <w:tc>
          <w:tcPr>
            <w:tcW w:w="1769" w:type="dxa"/>
            <w:vAlign w:val="center"/>
          </w:tcPr>
          <w:p w:rsidR="00A03222" w:rsidRDefault="006B0B1F">
            <w:pPr>
              <w:jc w:val="center"/>
            </w:pPr>
            <w:r>
              <w:rPr>
                <w:color w:val="000000"/>
                <w:sz w:val="24"/>
              </w:rPr>
              <w:t>工商银行</w:t>
            </w:r>
          </w:p>
        </w:tc>
        <w:tc>
          <w:tcPr>
            <w:tcW w:w="1327" w:type="dxa"/>
            <w:vAlign w:val="center"/>
          </w:tcPr>
          <w:p w:rsidR="00A03222" w:rsidRDefault="006B0B1F">
            <w:pPr>
              <w:jc w:val="right"/>
            </w:pPr>
            <w:r>
              <w:rPr>
                <w:color w:val="000000"/>
                <w:sz w:val="24"/>
              </w:rPr>
              <w:t>1,579,905</w:t>
            </w:r>
          </w:p>
        </w:tc>
        <w:tc>
          <w:tcPr>
            <w:tcW w:w="1915" w:type="dxa"/>
            <w:vAlign w:val="center"/>
          </w:tcPr>
          <w:p w:rsidR="00A03222" w:rsidRDefault="006B0B1F">
            <w:pPr>
              <w:jc w:val="right"/>
            </w:pPr>
            <w:r>
              <w:rPr>
                <w:color w:val="000000"/>
                <w:sz w:val="24"/>
              </w:rPr>
              <w:t>9,795,411.00</w:t>
            </w:r>
          </w:p>
        </w:tc>
        <w:tc>
          <w:tcPr>
            <w:tcW w:w="1680" w:type="dxa"/>
            <w:vAlign w:val="center"/>
          </w:tcPr>
          <w:p w:rsidR="00A03222" w:rsidRDefault="006B0B1F">
            <w:pPr>
              <w:jc w:val="right"/>
            </w:pPr>
            <w:r>
              <w:rPr>
                <w:color w:val="000000"/>
                <w:sz w:val="24"/>
              </w:rPr>
              <w:t>1.59</w:t>
            </w:r>
          </w:p>
        </w:tc>
      </w:tr>
      <w:tr w:rsidR="00A03222">
        <w:trPr>
          <w:jc w:val="center"/>
        </w:trPr>
        <w:tc>
          <w:tcPr>
            <w:tcW w:w="850" w:type="dxa"/>
            <w:vAlign w:val="center"/>
          </w:tcPr>
          <w:p w:rsidR="00A03222" w:rsidRDefault="006B0B1F">
            <w:pPr>
              <w:jc w:val="center"/>
            </w:pPr>
            <w:r>
              <w:rPr>
                <w:color w:val="000000"/>
                <w:sz w:val="24"/>
              </w:rPr>
              <w:t>5</w:t>
            </w:r>
          </w:p>
        </w:tc>
        <w:tc>
          <w:tcPr>
            <w:tcW w:w="1327" w:type="dxa"/>
            <w:vAlign w:val="center"/>
          </w:tcPr>
          <w:p w:rsidR="00A03222" w:rsidRDefault="006B0B1F">
            <w:pPr>
              <w:jc w:val="center"/>
            </w:pPr>
            <w:r>
              <w:rPr>
                <w:color w:val="000000"/>
                <w:sz w:val="24"/>
              </w:rPr>
              <w:t>600519</w:t>
            </w:r>
          </w:p>
        </w:tc>
        <w:tc>
          <w:tcPr>
            <w:tcW w:w="1769" w:type="dxa"/>
            <w:vAlign w:val="center"/>
          </w:tcPr>
          <w:p w:rsidR="00A03222" w:rsidRDefault="006B0B1F">
            <w:pPr>
              <w:jc w:val="center"/>
            </w:pPr>
            <w:r>
              <w:rPr>
                <w:color w:val="000000"/>
                <w:sz w:val="24"/>
              </w:rPr>
              <w:t>贵州茅台</w:t>
            </w:r>
          </w:p>
        </w:tc>
        <w:tc>
          <w:tcPr>
            <w:tcW w:w="1327" w:type="dxa"/>
            <w:vAlign w:val="center"/>
          </w:tcPr>
          <w:p w:rsidR="00A03222" w:rsidRDefault="006B0B1F">
            <w:pPr>
              <w:jc w:val="right"/>
            </w:pPr>
            <w:r>
              <w:rPr>
                <w:color w:val="000000"/>
                <w:sz w:val="24"/>
              </w:rPr>
              <w:t>13,000</w:t>
            </w:r>
          </w:p>
        </w:tc>
        <w:tc>
          <w:tcPr>
            <w:tcW w:w="1915" w:type="dxa"/>
            <w:vAlign w:val="center"/>
          </w:tcPr>
          <w:p w:rsidR="00A03222" w:rsidRDefault="006B0B1F">
            <w:pPr>
              <w:jc w:val="right"/>
            </w:pPr>
            <w:r>
              <w:rPr>
                <w:color w:val="000000"/>
                <w:sz w:val="24"/>
              </w:rPr>
              <w:t>9,067,370.00</w:t>
            </w:r>
          </w:p>
        </w:tc>
        <w:tc>
          <w:tcPr>
            <w:tcW w:w="1680" w:type="dxa"/>
            <w:vAlign w:val="center"/>
          </w:tcPr>
          <w:p w:rsidR="00A03222" w:rsidRDefault="006B0B1F">
            <w:pPr>
              <w:jc w:val="right"/>
            </w:pPr>
            <w:r>
              <w:rPr>
                <w:color w:val="000000"/>
                <w:sz w:val="24"/>
              </w:rPr>
              <w:t>1.47</w:t>
            </w:r>
          </w:p>
        </w:tc>
      </w:tr>
      <w:tr w:rsidR="00A03222">
        <w:trPr>
          <w:jc w:val="center"/>
        </w:trPr>
        <w:tc>
          <w:tcPr>
            <w:tcW w:w="850" w:type="dxa"/>
            <w:vAlign w:val="center"/>
          </w:tcPr>
          <w:p w:rsidR="00A03222" w:rsidRDefault="006B0B1F">
            <w:pPr>
              <w:jc w:val="center"/>
            </w:pPr>
            <w:r>
              <w:rPr>
                <w:color w:val="000000"/>
                <w:sz w:val="24"/>
              </w:rPr>
              <w:t>6</w:t>
            </w:r>
          </w:p>
        </w:tc>
        <w:tc>
          <w:tcPr>
            <w:tcW w:w="1327" w:type="dxa"/>
            <w:vAlign w:val="center"/>
          </w:tcPr>
          <w:p w:rsidR="00A03222" w:rsidRDefault="006B0B1F">
            <w:pPr>
              <w:jc w:val="center"/>
            </w:pPr>
            <w:r>
              <w:rPr>
                <w:color w:val="000000"/>
                <w:sz w:val="24"/>
              </w:rPr>
              <w:t>000423</w:t>
            </w:r>
          </w:p>
        </w:tc>
        <w:tc>
          <w:tcPr>
            <w:tcW w:w="1769" w:type="dxa"/>
            <w:vAlign w:val="center"/>
          </w:tcPr>
          <w:p w:rsidR="00A03222" w:rsidRDefault="006B0B1F">
            <w:pPr>
              <w:jc w:val="center"/>
            </w:pPr>
            <w:r>
              <w:rPr>
                <w:color w:val="000000"/>
                <w:sz w:val="24"/>
              </w:rPr>
              <w:t>东阿阿胶</w:t>
            </w:r>
          </w:p>
        </w:tc>
        <w:tc>
          <w:tcPr>
            <w:tcW w:w="1327" w:type="dxa"/>
            <w:vAlign w:val="center"/>
          </w:tcPr>
          <w:p w:rsidR="00A03222" w:rsidRDefault="006B0B1F">
            <w:pPr>
              <w:jc w:val="right"/>
            </w:pPr>
            <w:r>
              <w:rPr>
                <w:color w:val="000000"/>
                <w:sz w:val="24"/>
              </w:rPr>
              <w:t>150,000</w:t>
            </w:r>
          </w:p>
        </w:tc>
        <w:tc>
          <w:tcPr>
            <w:tcW w:w="1915" w:type="dxa"/>
            <w:vAlign w:val="center"/>
          </w:tcPr>
          <w:p w:rsidR="00A03222" w:rsidRDefault="006B0B1F">
            <w:pPr>
              <w:jc w:val="right"/>
            </w:pPr>
            <w:r>
              <w:rPr>
                <w:color w:val="000000"/>
                <w:sz w:val="24"/>
              </w:rPr>
              <w:t>9,040,500.00</w:t>
            </w:r>
          </w:p>
        </w:tc>
        <w:tc>
          <w:tcPr>
            <w:tcW w:w="1680" w:type="dxa"/>
            <w:vAlign w:val="center"/>
          </w:tcPr>
          <w:p w:rsidR="00A03222" w:rsidRDefault="006B0B1F">
            <w:pPr>
              <w:jc w:val="right"/>
            </w:pPr>
            <w:r>
              <w:rPr>
                <w:color w:val="000000"/>
                <w:sz w:val="24"/>
              </w:rPr>
              <w:t>1.46</w:t>
            </w:r>
          </w:p>
        </w:tc>
      </w:tr>
      <w:tr w:rsidR="00A03222">
        <w:trPr>
          <w:jc w:val="center"/>
        </w:trPr>
        <w:tc>
          <w:tcPr>
            <w:tcW w:w="850" w:type="dxa"/>
            <w:vAlign w:val="center"/>
          </w:tcPr>
          <w:p w:rsidR="00A03222" w:rsidRDefault="006B0B1F">
            <w:pPr>
              <w:jc w:val="center"/>
            </w:pPr>
            <w:r>
              <w:rPr>
                <w:color w:val="000000"/>
                <w:sz w:val="24"/>
              </w:rPr>
              <w:t>7</w:t>
            </w:r>
          </w:p>
        </w:tc>
        <w:tc>
          <w:tcPr>
            <w:tcW w:w="1327" w:type="dxa"/>
            <w:vAlign w:val="center"/>
          </w:tcPr>
          <w:p w:rsidR="00A03222" w:rsidRDefault="006B0B1F">
            <w:pPr>
              <w:jc w:val="center"/>
            </w:pPr>
            <w:r>
              <w:rPr>
                <w:color w:val="000000"/>
                <w:sz w:val="24"/>
              </w:rPr>
              <w:t>600887</w:t>
            </w:r>
          </w:p>
        </w:tc>
        <w:tc>
          <w:tcPr>
            <w:tcW w:w="1769" w:type="dxa"/>
            <w:vAlign w:val="center"/>
          </w:tcPr>
          <w:p w:rsidR="00A03222" w:rsidRDefault="006B0B1F">
            <w:pPr>
              <w:jc w:val="center"/>
            </w:pPr>
            <w:r>
              <w:rPr>
                <w:color w:val="000000"/>
                <w:sz w:val="24"/>
              </w:rPr>
              <w:t>伊利股份</w:t>
            </w:r>
          </w:p>
        </w:tc>
        <w:tc>
          <w:tcPr>
            <w:tcW w:w="1327" w:type="dxa"/>
            <w:vAlign w:val="center"/>
          </w:tcPr>
          <w:p w:rsidR="00A03222" w:rsidRDefault="006B0B1F">
            <w:pPr>
              <w:jc w:val="right"/>
            </w:pPr>
            <w:r>
              <w:rPr>
                <w:color w:val="000000"/>
                <w:sz w:val="24"/>
              </w:rPr>
              <w:t>250,000</w:t>
            </w:r>
          </w:p>
        </w:tc>
        <w:tc>
          <w:tcPr>
            <w:tcW w:w="1915" w:type="dxa"/>
            <w:vAlign w:val="center"/>
          </w:tcPr>
          <w:p w:rsidR="00A03222" w:rsidRDefault="006B0B1F">
            <w:pPr>
              <w:jc w:val="right"/>
            </w:pPr>
            <w:r>
              <w:rPr>
                <w:color w:val="000000"/>
                <w:sz w:val="24"/>
              </w:rPr>
              <w:t>8,047,500.00</w:t>
            </w:r>
          </w:p>
        </w:tc>
        <w:tc>
          <w:tcPr>
            <w:tcW w:w="1680" w:type="dxa"/>
            <w:vAlign w:val="center"/>
          </w:tcPr>
          <w:p w:rsidR="00A03222" w:rsidRDefault="006B0B1F">
            <w:pPr>
              <w:jc w:val="right"/>
            </w:pPr>
            <w:r>
              <w:rPr>
                <w:color w:val="000000"/>
                <w:sz w:val="24"/>
              </w:rPr>
              <w:t>1.30</w:t>
            </w:r>
          </w:p>
        </w:tc>
      </w:tr>
      <w:tr w:rsidR="00A03222">
        <w:trPr>
          <w:jc w:val="center"/>
        </w:trPr>
        <w:tc>
          <w:tcPr>
            <w:tcW w:w="850" w:type="dxa"/>
            <w:vAlign w:val="center"/>
          </w:tcPr>
          <w:p w:rsidR="00A03222" w:rsidRDefault="006B0B1F">
            <w:pPr>
              <w:jc w:val="center"/>
            </w:pPr>
            <w:r>
              <w:rPr>
                <w:color w:val="000000"/>
                <w:sz w:val="24"/>
              </w:rPr>
              <w:t>8</w:t>
            </w:r>
          </w:p>
        </w:tc>
        <w:tc>
          <w:tcPr>
            <w:tcW w:w="1327" w:type="dxa"/>
            <w:vAlign w:val="center"/>
          </w:tcPr>
          <w:p w:rsidR="00A03222" w:rsidRDefault="006B0B1F">
            <w:pPr>
              <w:jc w:val="center"/>
            </w:pPr>
            <w:r>
              <w:rPr>
                <w:color w:val="000000"/>
                <w:sz w:val="24"/>
              </w:rPr>
              <w:t>601318</w:t>
            </w:r>
          </w:p>
        </w:tc>
        <w:tc>
          <w:tcPr>
            <w:tcW w:w="1769" w:type="dxa"/>
            <w:vAlign w:val="center"/>
          </w:tcPr>
          <w:p w:rsidR="00A03222" w:rsidRDefault="006B0B1F">
            <w:pPr>
              <w:jc w:val="center"/>
            </w:pPr>
            <w:r>
              <w:rPr>
                <w:color w:val="000000"/>
                <w:sz w:val="24"/>
              </w:rPr>
              <w:t>中国平安</w:t>
            </w:r>
          </w:p>
        </w:tc>
        <w:tc>
          <w:tcPr>
            <w:tcW w:w="1327" w:type="dxa"/>
            <w:vAlign w:val="center"/>
          </w:tcPr>
          <w:p w:rsidR="00A03222" w:rsidRDefault="006B0B1F">
            <w:pPr>
              <w:jc w:val="right"/>
            </w:pPr>
            <w:r>
              <w:rPr>
                <w:color w:val="000000"/>
                <w:sz w:val="24"/>
              </w:rPr>
              <w:t>100,000</w:t>
            </w:r>
          </w:p>
        </w:tc>
        <w:tc>
          <w:tcPr>
            <w:tcW w:w="1915" w:type="dxa"/>
            <w:vAlign w:val="center"/>
          </w:tcPr>
          <w:p w:rsidR="00A03222" w:rsidRDefault="006B0B1F">
            <w:pPr>
              <w:jc w:val="right"/>
            </w:pPr>
            <w:r>
              <w:rPr>
                <w:color w:val="000000"/>
                <w:sz w:val="24"/>
              </w:rPr>
              <w:t>6,998,000.00</w:t>
            </w:r>
          </w:p>
        </w:tc>
        <w:tc>
          <w:tcPr>
            <w:tcW w:w="1680" w:type="dxa"/>
            <w:vAlign w:val="center"/>
          </w:tcPr>
          <w:p w:rsidR="00A03222" w:rsidRDefault="006B0B1F">
            <w:pPr>
              <w:jc w:val="right"/>
            </w:pPr>
            <w:r>
              <w:rPr>
                <w:color w:val="000000"/>
                <w:sz w:val="24"/>
              </w:rPr>
              <w:t>1.13</w:t>
            </w:r>
          </w:p>
        </w:tc>
      </w:tr>
      <w:tr w:rsidR="00A03222">
        <w:trPr>
          <w:jc w:val="center"/>
        </w:trPr>
        <w:tc>
          <w:tcPr>
            <w:tcW w:w="850" w:type="dxa"/>
            <w:vAlign w:val="center"/>
          </w:tcPr>
          <w:p w:rsidR="00A03222" w:rsidRDefault="006B0B1F">
            <w:pPr>
              <w:jc w:val="center"/>
            </w:pPr>
            <w:r>
              <w:rPr>
                <w:color w:val="000000"/>
                <w:sz w:val="24"/>
              </w:rPr>
              <w:t>9</w:t>
            </w:r>
          </w:p>
        </w:tc>
        <w:tc>
          <w:tcPr>
            <w:tcW w:w="1327" w:type="dxa"/>
            <w:vAlign w:val="center"/>
          </w:tcPr>
          <w:p w:rsidR="00A03222" w:rsidRDefault="006B0B1F">
            <w:pPr>
              <w:jc w:val="center"/>
            </w:pPr>
            <w:r>
              <w:rPr>
                <w:color w:val="000000"/>
                <w:sz w:val="24"/>
              </w:rPr>
              <w:t>000963</w:t>
            </w:r>
          </w:p>
        </w:tc>
        <w:tc>
          <w:tcPr>
            <w:tcW w:w="1769" w:type="dxa"/>
            <w:vAlign w:val="center"/>
          </w:tcPr>
          <w:p w:rsidR="00A03222" w:rsidRDefault="006B0B1F">
            <w:pPr>
              <w:jc w:val="center"/>
            </w:pPr>
            <w:r>
              <w:rPr>
                <w:color w:val="000000"/>
                <w:sz w:val="24"/>
              </w:rPr>
              <w:t>华东医药</w:t>
            </w:r>
          </w:p>
        </w:tc>
        <w:tc>
          <w:tcPr>
            <w:tcW w:w="1327" w:type="dxa"/>
            <w:vAlign w:val="center"/>
          </w:tcPr>
          <w:p w:rsidR="00A03222" w:rsidRDefault="006B0B1F">
            <w:pPr>
              <w:jc w:val="right"/>
            </w:pPr>
            <w:r>
              <w:rPr>
                <w:color w:val="000000"/>
                <w:sz w:val="24"/>
              </w:rPr>
              <w:t>120,000</w:t>
            </w:r>
          </w:p>
        </w:tc>
        <w:tc>
          <w:tcPr>
            <w:tcW w:w="1915" w:type="dxa"/>
            <w:vAlign w:val="center"/>
          </w:tcPr>
          <w:p w:rsidR="00A03222" w:rsidRDefault="006B0B1F">
            <w:pPr>
              <w:jc w:val="right"/>
            </w:pPr>
            <w:r>
              <w:rPr>
                <w:color w:val="000000"/>
                <w:sz w:val="24"/>
              </w:rPr>
              <w:t>6,465,600.00</w:t>
            </w:r>
          </w:p>
        </w:tc>
        <w:tc>
          <w:tcPr>
            <w:tcW w:w="1680" w:type="dxa"/>
            <w:vAlign w:val="center"/>
          </w:tcPr>
          <w:p w:rsidR="00A03222" w:rsidRDefault="006B0B1F">
            <w:pPr>
              <w:jc w:val="right"/>
            </w:pPr>
            <w:r>
              <w:rPr>
                <w:color w:val="000000"/>
                <w:sz w:val="24"/>
              </w:rPr>
              <w:t>1.05</w:t>
            </w:r>
          </w:p>
        </w:tc>
      </w:tr>
      <w:tr w:rsidR="00A03222">
        <w:trPr>
          <w:jc w:val="center"/>
        </w:trPr>
        <w:tc>
          <w:tcPr>
            <w:tcW w:w="850" w:type="dxa"/>
            <w:vAlign w:val="center"/>
          </w:tcPr>
          <w:p w:rsidR="00A03222" w:rsidRDefault="006B0B1F">
            <w:pPr>
              <w:jc w:val="center"/>
            </w:pPr>
            <w:r>
              <w:rPr>
                <w:color w:val="000000"/>
                <w:sz w:val="24"/>
              </w:rPr>
              <w:t>10</w:t>
            </w:r>
          </w:p>
        </w:tc>
        <w:tc>
          <w:tcPr>
            <w:tcW w:w="1327" w:type="dxa"/>
            <w:vAlign w:val="center"/>
          </w:tcPr>
          <w:p w:rsidR="00A03222" w:rsidRDefault="006B0B1F">
            <w:pPr>
              <w:jc w:val="center"/>
            </w:pPr>
            <w:r>
              <w:rPr>
                <w:color w:val="000000"/>
                <w:sz w:val="24"/>
              </w:rPr>
              <w:t>000333</w:t>
            </w:r>
          </w:p>
        </w:tc>
        <w:tc>
          <w:tcPr>
            <w:tcW w:w="1769" w:type="dxa"/>
            <w:vAlign w:val="center"/>
          </w:tcPr>
          <w:p w:rsidR="00A03222" w:rsidRDefault="006B0B1F">
            <w:pPr>
              <w:jc w:val="center"/>
            </w:pPr>
            <w:r>
              <w:rPr>
                <w:color w:val="000000"/>
                <w:sz w:val="24"/>
              </w:rPr>
              <w:t>美的集团</w:t>
            </w:r>
          </w:p>
        </w:tc>
        <w:tc>
          <w:tcPr>
            <w:tcW w:w="1327" w:type="dxa"/>
            <w:vAlign w:val="center"/>
          </w:tcPr>
          <w:p w:rsidR="00A03222" w:rsidRDefault="006B0B1F">
            <w:pPr>
              <w:jc w:val="right"/>
            </w:pPr>
            <w:r>
              <w:rPr>
                <w:color w:val="000000"/>
                <w:sz w:val="24"/>
              </w:rPr>
              <w:t>110,000</w:t>
            </w:r>
          </w:p>
        </w:tc>
        <w:tc>
          <w:tcPr>
            <w:tcW w:w="1915" w:type="dxa"/>
            <w:vAlign w:val="center"/>
          </w:tcPr>
          <w:p w:rsidR="00A03222" w:rsidRDefault="006B0B1F">
            <w:pPr>
              <w:jc w:val="right"/>
            </w:pPr>
            <w:r>
              <w:rPr>
                <w:color w:val="000000"/>
                <w:sz w:val="24"/>
              </w:rPr>
              <w:t>6,097,300.00</w:t>
            </w:r>
          </w:p>
        </w:tc>
        <w:tc>
          <w:tcPr>
            <w:tcW w:w="1680" w:type="dxa"/>
            <w:vAlign w:val="center"/>
          </w:tcPr>
          <w:p w:rsidR="00A03222" w:rsidRDefault="006B0B1F">
            <w:pPr>
              <w:jc w:val="right"/>
            </w:pPr>
            <w:r>
              <w:rPr>
                <w:color w:val="000000"/>
                <w:sz w:val="24"/>
              </w:rPr>
              <w:t>0.99</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34,643,500.00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5.61</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102,674,000.00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16.64</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102,674,000.00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16.64</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78,258,000.00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12.68</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50,279,000.00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8.15</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29,716,000.00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4.82</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685,212.00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0.11</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263,291,000.00</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42.67</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559,546,712.00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90.67</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A03222">
        <w:trPr>
          <w:jc w:val="center"/>
        </w:trPr>
        <w:tc>
          <w:tcPr>
            <w:tcW w:w="1075" w:type="dxa"/>
            <w:vAlign w:val="center"/>
          </w:tcPr>
          <w:p w:rsidR="00A03222" w:rsidRDefault="006B0B1F">
            <w:pPr>
              <w:jc w:val="center"/>
            </w:pPr>
            <w:r>
              <w:rPr>
                <w:color w:val="000000"/>
                <w:sz w:val="24"/>
              </w:rPr>
              <w:t>1</w:t>
            </w:r>
          </w:p>
        </w:tc>
        <w:tc>
          <w:tcPr>
            <w:tcW w:w="1533" w:type="dxa"/>
            <w:vAlign w:val="center"/>
          </w:tcPr>
          <w:p w:rsidR="00A03222" w:rsidRDefault="006B0B1F">
            <w:pPr>
              <w:jc w:val="center"/>
            </w:pPr>
            <w:r>
              <w:rPr>
                <w:color w:val="000000"/>
                <w:sz w:val="24"/>
              </w:rPr>
              <w:t>170210</w:t>
            </w:r>
          </w:p>
        </w:tc>
        <w:tc>
          <w:tcPr>
            <w:tcW w:w="1533" w:type="dxa"/>
            <w:vAlign w:val="center"/>
          </w:tcPr>
          <w:p w:rsidR="00A03222" w:rsidRDefault="006B0B1F">
            <w:pPr>
              <w:jc w:val="center"/>
            </w:pPr>
            <w:r>
              <w:rPr>
                <w:color w:val="000000"/>
                <w:sz w:val="24"/>
              </w:rPr>
              <w:t>17</w:t>
            </w:r>
            <w:r>
              <w:rPr>
                <w:color w:val="000000"/>
                <w:sz w:val="24"/>
              </w:rPr>
              <w:t>国开</w:t>
            </w:r>
            <w:r>
              <w:rPr>
                <w:color w:val="000000"/>
                <w:sz w:val="24"/>
              </w:rPr>
              <w:t>10</w:t>
            </w:r>
          </w:p>
        </w:tc>
        <w:tc>
          <w:tcPr>
            <w:tcW w:w="1394" w:type="dxa"/>
            <w:vAlign w:val="center"/>
          </w:tcPr>
          <w:p w:rsidR="00A03222" w:rsidRDefault="006B0B1F">
            <w:pPr>
              <w:jc w:val="right"/>
            </w:pPr>
            <w:r>
              <w:rPr>
                <w:color w:val="000000"/>
                <w:sz w:val="24"/>
              </w:rPr>
              <w:t>1,100,000</w:t>
            </w:r>
          </w:p>
        </w:tc>
        <w:tc>
          <w:tcPr>
            <w:tcW w:w="1944" w:type="dxa"/>
            <w:vAlign w:val="center"/>
          </w:tcPr>
          <w:p w:rsidR="00A03222" w:rsidRDefault="006B0B1F">
            <w:pPr>
              <w:jc w:val="right"/>
            </w:pPr>
            <w:r>
              <w:rPr>
                <w:color w:val="000000"/>
                <w:sz w:val="24"/>
              </w:rPr>
              <w:t>102,674,000.00</w:t>
            </w:r>
          </w:p>
        </w:tc>
        <w:tc>
          <w:tcPr>
            <w:tcW w:w="1389" w:type="dxa"/>
            <w:vAlign w:val="center"/>
          </w:tcPr>
          <w:p w:rsidR="00A03222" w:rsidRDefault="006B0B1F">
            <w:pPr>
              <w:jc w:val="right"/>
            </w:pPr>
            <w:r>
              <w:rPr>
                <w:color w:val="000000"/>
                <w:sz w:val="24"/>
              </w:rPr>
              <w:t>16.64</w:t>
            </w:r>
          </w:p>
        </w:tc>
      </w:tr>
      <w:tr w:rsidR="00A03222">
        <w:trPr>
          <w:jc w:val="center"/>
        </w:trPr>
        <w:tc>
          <w:tcPr>
            <w:tcW w:w="1075" w:type="dxa"/>
            <w:vAlign w:val="center"/>
          </w:tcPr>
          <w:p w:rsidR="00A03222" w:rsidRDefault="006B0B1F">
            <w:pPr>
              <w:jc w:val="center"/>
            </w:pPr>
            <w:r>
              <w:rPr>
                <w:color w:val="000000"/>
                <w:sz w:val="24"/>
              </w:rPr>
              <w:t>2</w:t>
            </w:r>
          </w:p>
        </w:tc>
        <w:tc>
          <w:tcPr>
            <w:tcW w:w="1533" w:type="dxa"/>
            <w:vAlign w:val="center"/>
          </w:tcPr>
          <w:p w:rsidR="00A03222" w:rsidRDefault="006B0B1F">
            <w:pPr>
              <w:jc w:val="center"/>
            </w:pPr>
            <w:r>
              <w:rPr>
                <w:color w:val="000000"/>
                <w:sz w:val="24"/>
              </w:rPr>
              <w:t>111710649</w:t>
            </w:r>
          </w:p>
        </w:tc>
        <w:tc>
          <w:tcPr>
            <w:tcW w:w="1533" w:type="dxa"/>
            <w:vAlign w:val="center"/>
          </w:tcPr>
          <w:p w:rsidR="00A03222" w:rsidRDefault="006B0B1F">
            <w:pPr>
              <w:jc w:val="center"/>
            </w:pPr>
            <w:r>
              <w:rPr>
                <w:color w:val="000000"/>
                <w:sz w:val="24"/>
              </w:rPr>
              <w:t>17</w:t>
            </w:r>
            <w:r>
              <w:rPr>
                <w:color w:val="000000"/>
                <w:sz w:val="24"/>
              </w:rPr>
              <w:t>兴业银行</w:t>
            </w:r>
            <w:r>
              <w:rPr>
                <w:color w:val="000000"/>
                <w:sz w:val="24"/>
              </w:rPr>
              <w:t>CD649</w:t>
            </w:r>
          </w:p>
        </w:tc>
        <w:tc>
          <w:tcPr>
            <w:tcW w:w="1394" w:type="dxa"/>
            <w:vAlign w:val="center"/>
          </w:tcPr>
          <w:p w:rsidR="00A03222" w:rsidRDefault="006B0B1F">
            <w:pPr>
              <w:jc w:val="right"/>
            </w:pPr>
            <w:r>
              <w:rPr>
                <w:color w:val="000000"/>
                <w:sz w:val="24"/>
              </w:rPr>
              <w:t>500,000</w:t>
            </w:r>
          </w:p>
        </w:tc>
        <w:tc>
          <w:tcPr>
            <w:tcW w:w="1944" w:type="dxa"/>
            <w:vAlign w:val="center"/>
          </w:tcPr>
          <w:p w:rsidR="00A03222" w:rsidRDefault="006B0B1F">
            <w:pPr>
              <w:jc w:val="right"/>
            </w:pPr>
            <w:r>
              <w:rPr>
                <w:color w:val="000000"/>
                <w:sz w:val="24"/>
              </w:rPr>
              <w:t>48,750,000.00</w:t>
            </w:r>
          </w:p>
        </w:tc>
        <w:tc>
          <w:tcPr>
            <w:tcW w:w="1389" w:type="dxa"/>
            <w:vAlign w:val="center"/>
          </w:tcPr>
          <w:p w:rsidR="00A03222" w:rsidRDefault="006B0B1F">
            <w:pPr>
              <w:jc w:val="right"/>
            </w:pPr>
            <w:r>
              <w:rPr>
                <w:color w:val="000000"/>
                <w:sz w:val="24"/>
              </w:rPr>
              <w:t>7.90</w:t>
            </w:r>
          </w:p>
        </w:tc>
      </w:tr>
      <w:tr w:rsidR="00A03222">
        <w:trPr>
          <w:jc w:val="center"/>
        </w:trPr>
        <w:tc>
          <w:tcPr>
            <w:tcW w:w="1075" w:type="dxa"/>
            <w:vAlign w:val="center"/>
          </w:tcPr>
          <w:p w:rsidR="00A03222" w:rsidRDefault="006B0B1F">
            <w:pPr>
              <w:jc w:val="center"/>
            </w:pPr>
            <w:r>
              <w:rPr>
                <w:color w:val="000000"/>
                <w:sz w:val="24"/>
              </w:rPr>
              <w:t>3</w:t>
            </w:r>
          </w:p>
        </w:tc>
        <w:tc>
          <w:tcPr>
            <w:tcW w:w="1533" w:type="dxa"/>
            <w:vAlign w:val="center"/>
          </w:tcPr>
          <w:p w:rsidR="00A03222" w:rsidRDefault="006B0B1F">
            <w:pPr>
              <w:jc w:val="center"/>
            </w:pPr>
            <w:r>
              <w:rPr>
                <w:color w:val="000000"/>
                <w:sz w:val="24"/>
              </w:rPr>
              <w:t>111714335</w:t>
            </w:r>
          </w:p>
        </w:tc>
        <w:tc>
          <w:tcPr>
            <w:tcW w:w="1533" w:type="dxa"/>
            <w:vAlign w:val="center"/>
          </w:tcPr>
          <w:p w:rsidR="00A03222" w:rsidRDefault="006B0B1F">
            <w:pPr>
              <w:jc w:val="center"/>
            </w:pPr>
            <w:r>
              <w:rPr>
                <w:color w:val="000000"/>
                <w:sz w:val="24"/>
              </w:rPr>
              <w:t>17</w:t>
            </w:r>
            <w:r>
              <w:rPr>
                <w:color w:val="000000"/>
                <w:sz w:val="24"/>
              </w:rPr>
              <w:t>江苏银行</w:t>
            </w:r>
            <w:r>
              <w:rPr>
                <w:color w:val="000000"/>
                <w:sz w:val="24"/>
              </w:rPr>
              <w:t>CD335</w:t>
            </w:r>
          </w:p>
        </w:tc>
        <w:tc>
          <w:tcPr>
            <w:tcW w:w="1394" w:type="dxa"/>
            <w:vAlign w:val="center"/>
          </w:tcPr>
          <w:p w:rsidR="00A03222" w:rsidRDefault="006B0B1F">
            <w:pPr>
              <w:jc w:val="right"/>
            </w:pPr>
            <w:r>
              <w:rPr>
                <w:color w:val="000000"/>
                <w:sz w:val="24"/>
              </w:rPr>
              <w:t>500,000</w:t>
            </w:r>
          </w:p>
        </w:tc>
        <w:tc>
          <w:tcPr>
            <w:tcW w:w="1944" w:type="dxa"/>
            <w:vAlign w:val="center"/>
          </w:tcPr>
          <w:p w:rsidR="00A03222" w:rsidRDefault="006B0B1F">
            <w:pPr>
              <w:jc w:val="right"/>
            </w:pPr>
            <w:r>
              <w:rPr>
                <w:color w:val="000000"/>
                <w:sz w:val="24"/>
              </w:rPr>
              <w:t>48,740,000.00</w:t>
            </w:r>
          </w:p>
        </w:tc>
        <w:tc>
          <w:tcPr>
            <w:tcW w:w="1389" w:type="dxa"/>
            <w:vAlign w:val="center"/>
          </w:tcPr>
          <w:p w:rsidR="00A03222" w:rsidRDefault="006B0B1F">
            <w:pPr>
              <w:jc w:val="right"/>
            </w:pPr>
            <w:r>
              <w:rPr>
                <w:color w:val="000000"/>
                <w:sz w:val="24"/>
              </w:rPr>
              <w:t>7.90</w:t>
            </w:r>
          </w:p>
        </w:tc>
      </w:tr>
      <w:tr w:rsidR="00A03222">
        <w:trPr>
          <w:jc w:val="center"/>
        </w:trPr>
        <w:tc>
          <w:tcPr>
            <w:tcW w:w="1075" w:type="dxa"/>
            <w:vAlign w:val="center"/>
          </w:tcPr>
          <w:p w:rsidR="00A03222" w:rsidRDefault="006B0B1F">
            <w:pPr>
              <w:jc w:val="center"/>
            </w:pPr>
            <w:r>
              <w:rPr>
                <w:color w:val="000000"/>
                <w:sz w:val="24"/>
              </w:rPr>
              <w:lastRenderedPageBreak/>
              <w:t>4</w:t>
            </w:r>
          </w:p>
        </w:tc>
        <w:tc>
          <w:tcPr>
            <w:tcW w:w="1533" w:type="dxa"/>
            <w:vAlign w:val="center"/>
          </w:tcPr>
          <w:p w:rsidR="00A03222" w:rsidRDefault="006B0B1F">
            <w:pPr>
              <w:jc w:val="center"/>
            </w:pPr>
            <w:r>
              <w:rPr>
                <w:color w:val="000000"/>
                <w:sz w:val="24"/>
              </w:rPr>
              <w:t>011759033</w:t>
            </w:r>
          </w:p>
        </w:tc>
        <w:tc>
          <w:tcPr>
            <w:tcW w:w="1533" w:type="dxa"/>
            <w:vAlign w:val="center"/>
          </w:tcPr>
          <w:p w:rsidR="00A03222" w:rsidRDefault="006B0B1F">
            <w:pPr>
              <w:jc w:val="center"/>
            </w:pPr>
            <w:r>
              <w:rPr>
                <w:color w:val="000000"/>
                <w:sz w:val="24"/>
              </w:rPr>
              <w:t>17</w:t>
            </w:r>
            <w:r>
              <w:rPr>
                <w:color w:val="000000"/>
                <w:sz w:val="24"/>
              </w:rPr>
              <w:t>杭经开</w:t>
            </w:r>
            <w:r>
              <w:rPr>
                <w:color w:val="000000"/>
                <w:sz w:val="24"/>
              </w:rPr>
              <w:t>SCP001</w:t>
            </w:r>
          </w:p>
        </w:tc>
        <w:tc>
          <w:tcPr>
            <w:tcW w:w="1394" w:type="dxa"/>
            <w:vAlign w:val="center"/>
          </w:tcPr>
          <w:p w:rsidR="00A03222" w:rsidRDefault="006B0B1F">
            <w:pPr>
              <w:jc w:val="right"/>
            </w:pPr>
            <w:r>
              <w:rPr>
                <w:color w:val="000000"/>
                <w:sz w:val="24"/>
              </w:rPr>
              <w:t>200,000</w:t>
            </w:r>
          </w:p>
        </w:tc>
        <w:tc>
          <w:tcPr>
            <w:tcW w:w="1944" w:type="dxa"/>
            <w:vAlign w:val="center"/>
          </w:tcPr>
          <w:p w:rsidR="00A03222" w:rsidRDefault="006B0B1F">
            <w:pPr>
              <w:jc w:val="right"/>
            </w:pPr>
            <w:r>
              <w:rPr>
                <w:color w:val="000000"/>
                <w:sz w:val="24"/>
              </w:rPr>
              <w:t>20,128,000.00</w:t>
            </w:r>
          </w:p>
        </w:tc>
        <w:tc>
          <w:tcPr>
            <w:tcW w:w="1389" w:type="dxa"/>
            <w:vAlign w:val="center"/>
          </w:tcPr>
          <w:p w:rsidR="00A03222" w:rsidRDefault="006B0B1F">
            <w:pPr>
              <w:jc w:val="right"/>
            </w:pPr>
            <w:r>
              <w:rPr>
                <w:color w:val="000000"/>
                <w:sz w:val="24"/>
              </w:rPr>
              <w:t>3.26</w:t>
            </w:r>
          </w:p>
        </w:tc>
      </w:tr>
      <w:tr w:rsidR="00A03222">
        <w:trPr>
          <w:jc w:val="center"/>
        </w:trPr>
        <w:tc>
          <w:tcPr>
            <w:tcW w:w="1075" w:type="dxa"/>
            <w:vAlign w:val="center"/>
          </w:tcPr>
          <w:p w:rsidR="00A03222" w:rsidRDefault="006B0B1F">
            <w:pPr>
              <w:jc w:val="center"/>
            </w:pPr>
            <w:r>
              <w:rPr>
                <w:color w:val="000000"/>
                <w:sz w:val="24"/>
              </w:rPr>
              <w:t>5</w:t>
            </w:r>
          </w:p>
        </w:tc>
        <w:tc>
          <w:tcPr>
            <w:tcW w:w="1533" w:type="dxa"/>
            <w:vAlign w:val="center"/>
          </w:tcPr>
          <w:p w:rsidR="00A03222" w:rsidRDefault="006B0B1F">
            <w:pPr>
              <w:jc w:val="center"/>
            </w:pPr>
            <w:r>
              <w:rPr>
                <w:color w:val="000000"/>
                <w:sz w:val="24"/>
              </w:rPr>
              <w:t>011772011</w:t>
            </w:r>
          </w:p>
        </w:tc>
        <w:tc>
          <w:tcPr>
            <w:tcW w:w="1533" w:type="dxa"/>
            <w:vAlign w:val="center"/>
          </w:tcPr>
          <w:p w:rsidR="00A03222" w:rsidRDefault="006B0B1F">
            <w:pPr>
              <w:jc w:val="center"/>
            </w:pPr>
            <w:r>
              <w:rPr>
                <w:color w:val="000000"/>
                <w:sz w:val="24"/>
              </w:rPr>
              <w:t>17</w:t>
            </w:r>
            <w:r>
              <w:rPr>
                <w:color w:val="000000"/>
                <w:sz w:val="24"/>
              </w:rPr>
              <w:t>烟台港股</w:t>
            </w:r>
            <w:r>
              <w:rPr>
                <w:color w:val="000000"/>
                <w:sz w:val="24"/>
              </w:rPr>
              <w:t>SCP001</w:t>
            </w:r>
          </w:p>
        </w:tc>
        <w:tc>
          <w:tcPr>
            <w:tcW w:w="1394" w:type="dxa"/>
            <w:vAlign w:val="center"/>
          </w:tcPr>
          <w:p w:rsidR="00A03222" w:rsidRDefault="006B0B1F">
            <w:pPr>
              <w:jc w:val="right"/>
            </w:pPr>
            <w:r>
              <w:rPr>
                <w:color w:val="000000"/>
                <w:sz w:val="24"/>
              </w:rPr>
              <w:t>200,000</w:t>
            </w:r>
          </w:p>
        </w:tc>
        <w:tc>
          <w:tcPr>
            <w:tcW w:w="1944" w:type="dxa"/>
            <w:vAlign w:val="center"/>
          </w:tcPr>
          <w:p w:rsidR="00A03222" w:rsidRDefault="006B0B1F">
            <w:pPr>
              <w:jc w:val="right"/>
            </w:pPr>
            <w:r>
              <w:rPr>
                <w:color w:val="000000"/>
                <w:sz w:val="24"/>
              </w:rPr>
              <w:t>20,124,000.00</w:t>
            </w:r>
          </w:p>
        </w:tc>
        <w:tc>
          <w:tcPr>
            <w:tcW w:w="1389" w:type="dxa"/>
            <w:vAlign w:val="center"/>
          </w:tcPr>
          <w:p w:rsidR="00A03222" w:rsidRDefault="006B0B1F">
            <w:pPr>
              <w:jc w:val="right"/>
            </w:pPr>
            <w:r>
              <w:rPr>
                <w:color w:val="000000"/>
                <w:sz w:val="24"/>
              </w:rPr>
              <w:t>3.26</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6"/>
        <w:gridCol w:w="4846"/>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18,586.06</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9,515,855.48</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793.88</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lastRenderedPageBreak/>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9,535,235.42</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Pr="007F52FA">
        <w:rPr>
          <w:kern w:val="0"/>
          <w:sz w:val="24"/>
        </w:rPr>
        <w:t>报告期末持有的处于转股期的可转换债券明细</w:t>
      </w:r>
    </w:p>
    <w:tbl>
      <w:tblPr>
        <w:tblStyle w:val="af2"/>
        <w:tblW w:w="8868" w:type="dxa"/>
        <w:jc w:val="center"/>
        <w:tblCellMar>
          <w:top w:w="57" w:type="dxa"/>
          <w:bottom w:w="57" w:type="dxa"/>
        </w:tblCellMar>
        <w:tblLook w:val="04A0" w:firstRow="1" w:lastRow="0" w:firstColumn="1" w:lastColumn="0" w:noHBand="0" w:noVBand="1"/>
      </w:tblPr>
      <w:tblGrid>
        <w:gridCol w:w="984"/>
        <w:gridCol w:w="2675"/>
        <w:gridCol w:w="1734"/>
        <w:gridCol w:w="1799"/>
        <w:gridCol w:w="1676"/>
      </w:tblGrid>
      <w:tr w:rsidR="001D5CD0" w:rsidRPr="007F52FA" w:rsidTr="00837861">
        <w:trPr>
          <w:jc w:val="center"/>
        </w:trPr>
        <w:tc>
          <w:tcPr>
            <w:tcW w:w="944"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w="2568"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债券代码</w:t>
            </w:r>
          </w:p>
        </w:tc>
        <w:tc>
          <w:tcPr>
            <w:tcW w:w="166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债券名称</w:t>
            </w:r>
          </w:p>
        </w:tc>
        <w:tc>
          <w:tcPr>
            <w:tcW w:w="1727"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公允价值</w:t>
            </w:r>
            <w:r w:rsidR="00D71194" w:rsidRPr="007F52FA">
              <w:rPr>
                <w:color w:val="000000"/>
                <w:kern w:val="0"/>
                <w:sz w:val="24"/>
              </w:rPr>
              <w:t>(</w:t>
            </w:r>
            <w:r w:rsidR="00D71194" w:rsidRPr="007F52FA">
              <w:rPr>
                <w:rFonts w:eastAsiaTheme="minorEastAsia"/>
                <w:color w:val="000000"/>
                <w:sz w:val="24"/>
              </w:rPr>
              <w:t>元</w:t>
            </w:r>
            <w:r w:rsidR="00D71194" w:rsidRPr="007F52FA">
              <w:rPr>
                <w:color w:val="000000"/>
                <w:kern w:val="0"/>
                <w:sz w:val="24"/>
              </w:rPr>
              <w:t>)</w:t>
            </w:r>
          </w:p>
        </w:tc>
        <w:tc>
          <w:tcPr>
            <w:tcW w:w="1609"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占基金资产净值比例</w:t>
            </w:r>
            <w:r w:rsidR="002A7669" w:rsidRPr="007F52FA">
              <w:rPr>
                <w:color w:val="000000"/>
                <w:kern w:val="0"/>
                <w:sz w:val="24"/>
              </w:rPr>
              <w:t>（</w:t>
            </w:r>
            <w:r w:rsidR="00BC5D75" w:rsidRPr="007F52FA">
              <w:rPr>
                <w:color w:val="000000"/>
                <w:kern w:val="0"/>
                <w:sz w:val="24"/>
              </w:rPr>
              <w:t>％</w:t>
            </w:r>
            <w:r w:rsidR="002A7669" w:rsidRPr="007F52FA">
              <w:rPr>
                <w:color w:val="000000"/>
                <w:kern w:val="0"/>
                <w:sz w:val="24"/>
              </w:rPr>
              <w:t>）</w:t>
            </w:r>
          </w:p>
        </w:tc>
      </w:tr>
      <w:tr w:rsidR="00A03222">
        <w:trPr>
          <w:jc w:val="center"/>
        </w:trPr>
        <w:tc>
          <w:tcPr>
            <w:tcW w:w="0" w:type="auto"/>
            <w:vAlign w:val="center"/>
          </w:tcPr>
          <w:p w:rsidR="00A03222" w:rsidRDefault="006B0B1F">
            <w:pPr>
              <w:jc w:val="center"/>
            </w:pPr>
            <w:r>
              <w:rPr>
                <w:rFonts w:eastAsiaTheme="minorEastAsia"/>
                <w:color w:val="000000"/>
                <w:sz w:val="24"/>
              </w:rPr>
              <w:t>1</w:t>
            </w:r>
          </w:p>
        </w:tc>
        <w:tc>
          <w:tcPr>
            <w:tcW w:w="0" w:type="auto"/>
            <w:vAlign w:val="center"/>
          </w:tcPr>
          <w:p w:rsidR="00A03222" w:rsidRDefault="006B0B1F">
            <w:pPr>
              <w:jc w:val="center"/>
            </w:pPr>
            <w:r>
              <w:rPr>
                <w:rFonts w:eastAsiaTheme="minorEastAsia"/>
                <w:color w:val="000000"/>
                <w:sz w:val="24"/>
              </w:rPr>
              <w:t>113010</w:t>
            </w:r>
          </w:p>
        </w:tc>
        <w:tc>
          <w:tcPr>
            <w:tcW w:w="0" w:type="auto"/>
            <w:vAlign w:val="center"/>
          </w:tcPr>
          <w:p w:rsidR="00A03222" w:rsidRDefault="006B0B1F">
            <w:pPr>
              <w:jc w:val="center"/>
            </w:pPr>
            <w:r>
              <w:rPr>
                <w:rFonts w:eastAsiaTheme="minorEastAsia"/>
                <w:color w:val="000000"/>
                <w:sz w:val="24"/>
              </w:rPr>
              <w:t>江南转债</w:t>
            </w:r>
          </w:p>
        </w:tc>
        <w:tc>
          <w:tcPr>
            <w:tcW w:w="0" w:type="auto"/>
            <w:vAlign w:val="center"/>
          </w:tcPr>
          <w:p w:rsidR="00A03222" w:rsidRDefault="006B0B1F">
            <w:pPr>
              <w:jc w:val="right"/>
            </w:pPr>
            <w:r>
              <w:rPr>
                <w:rFonts w:eastAsiaTheme="minorEastAsia"/>
                <w:color w:val="000000"/>
                <w:sz w:val="24"/>
              </w:rPr>
              <w:t>685,212.00</w:t>
            </w:r>
          </w:p>
        </w:tc>
        <w:tc>
          <w:tcPr>
            <w:tcW w:w="0" w:type="auto"/>
            <w:vAlign w:val="center"/>
          </w:tcPr>
          <w:p w:rsidR="00A03222" w:rsidRDefault="006B0B1F">
            <w:pPr>
              <w:jc w:val="right"/>
            </w:pPr>
            <w:r>
              <w:rPr>
                <w:rFonts w:eastAsiaTheme="minorEastAsia"/>
                <w:color w:val="000000"/>
                <w:sz w:val="24"/>
              </w:rPr>
              <w:t>0.11</w:t>
            </w:r>
          </w:p>
        </w:tc>
      </w:tr>
    </w:tbl>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本基金本报告期末前十名股票中不存在流通受限情况。</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交银周期回报灵活配置混合</w:t>
            </w:r>
            <w:r w:rsidRPr="007F52FA">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交银周期回报灵活配置混合</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287,013,225.64</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205,374,490.98</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3,727,025.73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3,229,693.96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8,930.51</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287,510,557.41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205,365,560.47</w:t>
            </w:r>
          </w:p>
        </w:tc>
      </w:tr>
    </w:tbl>
    <w:p w:rsidR="00A03222" w:rsidRDefault="006B0B1F">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BE251D">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lastRenderedPageBreak/>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ED0E09" w:rsidRDefault="00ED0E09" w:rsidP="00BE251D">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§8 </w:t>
      </w:r>
      <w:r>
        <w:rPr>
          <w:rFonts w:eastAsiaTheme="minorEastAsia" w:hint="eastAsia"/>
          <w:color w:val="000000" w:themeColor="text1"/>
          <w:kern w:val="0"/>
          <w:sz w:val="21"/>
          <w:szCs w:val="21"/>
        </w:rPr>
        <w:t>影响投资者决策的其他重要信息</w:t>
      </w:r>
    </w:p>
    <w:p w:rsidR="00ED0E09" w:rsidRDefault="00ED0E09" w:rsidP="00ED0E09">
      <w:pPr>
        <w:autoSpaceDE w:val="0"/>
        <w:autoSpaceDN w:val="0"/>
        <w:adjustRightInd w:val="0"/>
        <w:spacing w:line="360" w:lineRule="auto"/>
        <w:jc w:val="left"/>
        <w:rPr>
          <w:rFonts w:ascii="宋体" w:hAnsi="宋体"/>
          <w:b/>
          <w:bCs/>
          <w:color w:val="000000"/>
          <w:kern w:val="0"/>
          <w:szCs w:val="21"/>
        </w:rPr>
      </w:pPr>
      <w:r>
        <w:rPr>
          <w:rFonts w:ascii="宋体" w:hAnsi="宋体" w:hint="eastAsia"/>
          <w:b/>
          <w:bCs/>
          <w:color w:val="000000"/>
          <w:kern w:val="0"/>
          <w:szCs w:val="21"/>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ED0E09" w:rsidTr="00ED0E09">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0E09" w:rsidTr="00ED0E09">
        <w:tc>
          <w:tcPr>
            <w:tcW w:w="993" w:type="dxa"/>
            <w:vMerge/>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A03222">
        <w:tc>
          <w:tcPr>
            <w:tcW w:w="992" w:type="dxa"/>
          </w:tcPr>
          <w:p w:rsidR="00A03222" w:rsidRDefault="00A03222"/>
          <w:p w:rsidR="00A03222" w:rsidRDefault="006B0B1F">
            <w:r>
              <w:rPr>
                <w:rFonts w:ascii="宋体" w:hAnsi="宋体" w:hint="eastAsia"/>
                <w:bCs/>
                <w:color w:val="000000"/>
                <w:kern w:val="0"/>
                <w:szCs w:val="21"/>
              </w:rPr>
              <w:t>机构</w:t>
            </w:r>
          </w:p>
        </w:tc>
        <w:tc>
          <w:tcPr>
            <w:tcW w:w="991" w:type="dxa"/>
            <w:vAlign w:val="center"/>
          </w:tcPr>
          <w:p w:rsidR="00A03222" w:rsidRDefault="006B0B1F">
            <w:pPr>
              <w:jc w:val="center"/>
            </w:pPr>
            <w:r>
              <w:rPr>
                <w:rFonts w:ascii="宋体" w:hAnsi="宋体" w:hint="eastAsia"/>
                <w:color w:val="000000"/>
                <w:kern w:val="0"/>
                <w:szCs w:val="21"/>
              </w:rPr>
              <w:t>1</w:t>
            </w:r>
          </w:p>
        </w:tc>
        <w:tc>
          <w:tcPr>
            <w:tcW w:w="1843" w:type="dxa"/>
            <w:vAlign w:val="center"/>
          </w:tcPr>
          <w:p w:rsidR="00A03222" w:rsidRDefault="006B0B1F">
            <w:pPr>
              <w:jc w:val="center"/>
            </w:pPr>
            <w:r>
              <w:rPr>
                <w:rFonts w:ascii="宋体" w:hAnsi="宋体" w:hint="eastAsia"/>
                <w:color w:val="000000"/>
                <w:kern w:val="0"/>
                <w:szCs w:val="21"/>
              </w:rPr>
              <w:t>2017/10/1-2017/12/31</w:t>
            </w:r>
          </w:p>
        </w:tc>
        <w:tc>
          <w:tcPr>
            <w:tcW w:w="851" w:type="dxa"/>
            <w:vAlign w:val="center"/>
          </w:tcPr>
          <w:p w:rsidR="00A03222" w:rsidRDefault="006B0B1F">
            <w:pPr>
              <w:jc w:val="center"/>
            </w:pPr>
            <w:r>
              <w:rPr>
                <w:rFonts w:ascii="宋体" w:hAnsi="宋体" w:hint="eastAsia"/>
                <w:color w:val="000000"/>
                <w:kern w:val="0"/>
                <w:szCs w:val="21"/>
              </w:rPr>
              <w:t>460,456,585.75</w:t>
            </w:r>
          </w:p>
        </w:tc>
        <w:tc>
          <w:tcPr>
            <w:tcW w:w="850" w:type="dxa"/>
            <w:vAlign w:val="center"/>
          </w:tcPr>
          <w:p w:rsidR="00A03222" w:rsidRDefault="006B0B1F">
            <w:pPr>
              <w:jc w:val="center"/>
            </w:pPr>
            <w:r>
              <w:rPr>
                <w:rFonts w:ascii="宋体" w:hAnsi="宋体" w:hint="eastAsia"/>
                <w:color w:val="000000"/>
                <w:kern w:val="0"/>
                <w:szCs w:val="21"/>
              </w:rPr>
              <w:t>-</w:t>
            </w:r>
          </w:p>
        </w:tc>
        <w:tc>
          <w:tcPr>
            <w:tcW w:w="1134" w:type="dxa"/>
            <w:vAlign w:val="center"/>
          </w:tcPr>
          <w:p w:rsidR="00A03222" w:rsidRDefault="006B0B1F">
            <w:pPr>
              <w:jc w:val="center"/>
            </w:pPr>
            <w:r>
              <w:rPr>
                <w:rFonts w:ascii="宋体" w:hAnsi="宋体" w:hint="eastAsia"/>
                <w:color w:val="000000"/>
                <w:kern w:val="0"/>
                <w:szCs w:val="21"/>
              </w:rPr>
              <w:t>-</w:t>
            </w:r>
          </w:p>
        </w:tc>
        <w:tc>
          <w:tcPr>
            <w:tcW w:w="1419" w:type="dxa"/>
            <w:vAlign w:val="center"/>
          </w:tcPr>
          <w:p w:rsidR="00A03222" w:rsidRDefault="006B0B1F">
            <w:pPr>
              <w:jc w:val="center"/>
            </w:pPr>
            <w:r>
              <w:rPr>
                <w:rFonts w:ascii="宋体" w:hAnsi="宋体" w:hint="eastAsia"/>
                <w:color w:val="000000"/>
                <w:kern w:val="0"/>
                <w:szCs w:val="21"/>
              </w:rPr>
              <w:t>460,456,585.75</w:t>
            </w:r>
          </w:p>
        </w:tc>
        <w:tc>
          <w:tcPr>
            <w:tcW w:w="1130" w:type="dxa"/>
            <w:vAlign w:val="center"/>
          </w:tcPr>
          <w:p w:rsidR="00A03222" w:rsidRDefault="006B0B1F">
            <w:pPr>
              <w:jc w:val="center"/>
            </w:pPr>
            <w:r>
              <w:rPr>
                <w:rFonts w:ascii="宋体" w:hAnsi="宋体" w:hint="eastAsia"/>
                <w:color w:val="000000"/>
                <w:kern w:val="0"/>
                <w:szCs w:val="21"/>
              </w:rPr>
              <w:t>93.42%</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75E3A" w:rsidRPr="007032A6" w:rsidRDefault="009238DB" w:rsidP="00BE251D">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9</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A03222" w:rsidRDefault="006B0B1F">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、中国证监会核准交银施罗德周期回报灵活配置混合型证券投资基金募集的文件；</w:t>
      </w:r>
      <w:r>
        <w:rPr>
          <w:rFonts w:eastAsiaTheme="minorEastAsia"/>
          <w:color w:val="000000"/>
          <w:sz w:val="24"/>
        </w:rPr>
        <w:t xml:space="preserve"> </w:t>
      </w:r>
    </w:p>
    <w:p w:rsidR="00A03222" w:rsidRDefault="006B0B1F">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、《交银施罗德周期回报灵活配置混合型证券投资基金基金合同》；</w:t>
      </w:r>
    </w:p>
    <w:p w:rsidR="00A03222" w:rsidRDefault="006B0B1F">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、《交银施罗德周期回报灵活配置混合型证券投资基金招募说明书》；</w:t>
      </w:r>
    </w:p>
    <w:p w:rsidR="00A03222" w:rsidRDefault="006B0B1F">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、《交银施罗德周期回报灵活配置混合型证券投资基金托管协议》；</w:t>
      </w:r>
    </w:p>
    <w:p w:rsidR="00A03222" w:rsidRDefault="006B0B1F">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、关于申请募集交银施罗德周期回报灵活配置混合型证券投资基金之法律意见书；</w:t>
      </w:r>
    </w:p>
    <w:p w:rsidR="00A03222" w:rsidRDefault="006B0B1F">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p>
    <w:p w:rsidR="00A03222" w:rsidRDefault="006B0B1F">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、报告期内交银施罗德周期回报灵活配置混合型证券投资基金在指定报刊上各项公告的原稿。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lastRenderedPageBreak/>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FB3C94" w:rsidRPr="007F52FA">
        <w:rPr>
          <w:rFonts w:eastAsiaTheme="minorEastAsia"/>
          <w:b/>
          <w:bCs/>
          <w:color w:val="000000"/>
          <w:kern w:val="0"/>
          <w:sz w:val="24"/>
        </w:rPr>
        <w:t>查阅方式</w:t>
      </w:r>
    </w:p>
    <w:p w:rsidR="00A03222" w:rsidRDefault="006B0B1F">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241" w:rsidRDefault="00AF7241">
      <w:r>
        <w:separator/>
      </w:r>
    </w:p>
  </w:endnote>
  <w:endnote w:type="continuationSeparator" w:id="0">
    <w:p w:rsidR="00AF7241" w:rsidRDefault="00AF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7866A0">
      <w:rPr>
        <w:kern w:val="0"/>
        <w:szCs w:val="21"/>
      </w:rPr>
      <w:fldChar w:fldCharType="begin"/>
    </w:r>
    <w:r>
      <w:rPr>
        <w:kern w:val="0"/>
        <w:szCs w:val="21"/>
      </w:rPr>
      <w:instrText xml:space="preserve"> PAGE </w:instrText>
    </w:r>
    <w:r w:rsidR="007866A0">
      <w:rPr>
        <w:kern w:val="0"/>
        <w:szCs w:val="21"/>
      </w:rPr>
      <w:fldChar w:fldCharType="separate"/>
    </w:r>
    <w:r w:rsidR="00582408">
      <w:rPr>
        <w:noProof/>
        <w:kern w:val="0"/>
        <w:szCs w:val="21"/>
      </w:rPr>
      <w:t>1</w:t>
    </w:r>
    <w:r w:rsidR="007866A0">
      <w:rPr>
        <w:kern w:val="0"/>
        <w:szCs w:val="21"/>
      </w:rPr>
      <w:fldChar w:fldCharType="end"/>
    </w:r>
    <w:r>
      <w:rPr>
        <w:rFonts w:hint="eastAsia"/>
        <w:kern w:val="0"/>
        <w:szCs w:val="21"/>
      </w:rPr>
      <w:t>页共</w:t>
    </w:r>
    <w:r w:rsidR="007866A0">
      <w:rPr>
        <w:kern w:val="0"/>
        <w:szCs w:val="21"/>
      </w:rPr>
      <w:fldChar w:fldCharType="begin"/>
    </w:r>
    <w:r>
      <w:rPr>
        <w:kern w:val="0"/>
        <w:szCs w:val="21"/>
      </w:rPr>
      <w:instrText xml:space="preserve"> NUMPAGES </w:instrText>
    </w:r>
    <w:r w:rsidR="007866A0">
      <w:rPr>
        <w:kern w:val="0"/>
        <w:szCs w:val="21"/>
      </w:rPr>
      <w:fldChar w:fldCharType="separate"/>
    </w:r>
    <w:r w:rsidR="00582408">
      <w:rPr>
        <w:noProof/>
        <w:kern w:val="0"/>
        <w:szCs w:val="21"/>
      </w:rPr>
      <w:t>15</w:t>
    </w:r>
    <w:r w:rsidR="007866A0">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7866A0">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241" w:rsidRDefault="00AF7241">
      <w:r>
        <w:separator/>
      </w:r>
    </w:p>
  </w:footnote>
  <w:footnote w:type="continuationSeparator" w:id="0">
    <w:p w:rsidR="00AF7241" w:rsidRDefault="00AF7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AF7241"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408"/>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0B1F"/>
    <w:rsid w:val="006B252F"/>
    <w:rsid w:val="006B25AD"/>
    <w:rsid w:val="006B2CE8"/>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61C4"/>
    <w:rsid w:val="008F6228"/>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222"/>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241"/>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1D1A"/>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D280667D-A2B7-475E-881F-A85A23CC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4BC10-C2E7-4C9D-8A96-F9AACEE4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196</TotalTime>
  <Pages>1</Pages>
  <Words>1232</Words>
  <Characters>7029</Characters>
  <Application>Microsoft Office Word</Application>
  <DocSecurity>0</DocSecurity>
  <Lines>58</Lines>
  <Paragraphs>16</Paragraphs>
  <ScaleCrop>false</ScaleCrop>
  <Company>TRT. Ltd. Co.</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荣华</cp:lastModifiedBy>
  <cp:revision>372</cp:revision>
  <cp:lastPrinted>2007-07-19T00:46:00Z</cp:lastPrinted>
  <dcterms:created xsi:type="dcterms:W3CDTF">2014-01-17T06:19:00Z</dcterms:created>
  <dcterms:modified xsi:type="dcterms:W3CDTF">2018-01-18T05:40:00Z</dcterms:modified>
</cp:coreProperties>
</file>