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交银施罗德新成长混合型证券投资基金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二〇一八年一月二十二日</w:t>
      </w:r>
    </w:p>
    <w:p w:rsidR="004061AC" w:rsidRPr="00414345" w:rsidRDefault="004061AC" w:rsidP="00EE49F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C97E0E" w:rsidRDefault="00763EE4">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C97E0E" w:rsidRDefault="00763EE4">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2018</w:t>
      </w:r>
      <w:r>
        <w:rPr>
          <w:color w:val="000000"/>
          <w:sz w:val="24"/>
          <w:szCs w:val="24"/>
        </w:rPr>
        <w:t>年</w:t>
      </w:r>
      <w:r>
        <w:rPr>
          <w:color w:val="000000"/>
          <w:sz w:val="24"/>
          <w:szCs w:val="24"/>
        </w:rPr>
        <w:t>1</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C97E0E" w:rsidRDefault="00763EE4">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C97E0E" w:rsidRDefault="00763EE4">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C97E0E" w:rsidRDefault="00763EE4">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交银新成长混合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519736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519736</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519737</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2014</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983,520,837.25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深入挖掘经济转型背景下的投资机会，自下而上精选个股，力争实现基金资产的长期稳定增值。</w:t>
            </w:r>
            <w:r w:rsidRPr="00414345">
              <w:rPr>
                <w:color w:val="000000"/>
                <w:kern w:val="0"/>
                <w:sz w:val="24"/>
                <w:szCs w:val="24"/>
              </w:rPr>
              <w:t xml:space="preserve"> </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在经济转型大背景下，分析和判断宏观经济运行变化和政府产业政策等多因素影响，积极挖掘不同行业和子行业景气度新变化下的个股投资机会，通过团队对个股深入的基本面研究和细致的实地调研，精选公司品质良好、成长具有可持续性、定价相对合理的股票进行投资，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富时中国</w:t>
            </w:r>
            <w:r w:rsidRPr="00414345">
              <w:rPr>
                <w:color w:val="000000"/>
                <w:kern w:val="0"/>
                <w:sz w:val="24"/>
                <w:szCs w:val="24"/>
              </w:rPr>
              <w:t>A600</w:t>
            </w:r>
            <w:r w:rsidRPr="00414345">
              <w:rPr>
                <w:color w:val="000000"/>
                <w:kern w:val="0"/>
                <w:sz w:val="24"/>
                <w:szCs w:val="24"/>
              </w:rPr>
              <w:t>成长指数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w:t>
            </w:r>
            <w:r w:rsidRPr="00414345">
              <w:rPr>
                <w:color w:val="000000"/>
                <w:kern w:val="0"/>
                <w:sz w:val="24"/>
                <w:szCs w:val="24"/>
              </w:rPr>
              <w:lastRenderedPageBreak/>
              <w:t>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763EE4" w:rsidRPr="00414345" w:rsidTr="00763EE4">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763EE4" w:rsidRPr="00414345" w:rsidTr="00763EE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103,522,721.96</w:t>
            </w:r>
          </w:p>
        </w:tc>
      </w:tr>
      <w:tr w:rsidR="00763EE4" w:rsidRPr="00414345" w:rsidTr="00763EE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108,180,706.26</w:t>
            </w:r>
          </w:p>
        </w:tc>
      </w:tr>
      <w:tr w:rsidR="00763EE4" w:rsidRPr="00414345" w:rsidTr="00763EE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0.1117</w:t>
            </w:r>
          </w:p>
        </w:tc>
      </w:tr>
      <w:tr w:rsidR="00763EE4" w:rsidRPr="00414345" w:rsidTr="00763EE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2,005,363,385.40</w:t>
            </w:r>
          </w:p>
        </w:tc>
      </w:tr>
      <w:tr w:rsidR="00763EE4" w:rsidRPr="00414345" w:rsidTr="00763EE4">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2.039</w:t>
            </w:r>
          </w:p>
        </w:tc>
      </w:tr>
    </w:tbl>
    <w:p w:rsidR="00C97E0E" w:rsidRDefault="00763EE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BA1E35">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F76A0F">
        <w:trPr>
          <w:jc w:val="center"/>
        </w:trPr>
        <w:tc>
          <w:tcPr>
            <w:tcW w:w="1614" w:type="dxa"/>
            <w:tcBorders>
              <w:bottom w:val="single" w:sz="4" w:space="0" w:color="auto"/>
            </w:tcBorders>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tcBorders>
              <w:bottom w:val="single" w:sz="4" w:space="0" w:color="auto"/>
            </w:tcBorders>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tcBorders>
              <w:bottom w:val="single" w:sz="4" w:space="0" w:color="auto"/>
            </w:tcBorders>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tcBorders>
              <w:bottom w:val="single" w:sz="4" w:space="0" w:color="auto"/>
            </w:tcBorders>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tcBorders>
              <w:bottom w:val="single" w:sz="4" w:space="0" w:color="auto"/>
            </w:tcBorders>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tcBorders>
              <w:bottom w:val="single" w:sz="4" w:space="0" w:color="auto"/>
            </w:tcBorders>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tcBorders>
              <w:bottom w:val="single" w:sz="4" w:space="0" w:color="auto"/>
            </w:tcBorders>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C97E0E" w:rsidTr="00F76A0F">
        <w:trPr>
          <w:jc w:val="center"/>
        </w:trPr>
        <w:tc>
          <w:tcPr>
            <w:tcW w:w="1701" w:type="dxa"/>
            <w:tcBorders>
              <w:bottom w:val="single" w:sz="4" w:space="0" w:color="auto"/>
            </w:tcBorders>
            <w:vAlign w:val="center"/>
          </w:tcPr>
          <w:p w:rsidR="00C97E0E" w:rsidRDefault="00763EE4">
            <w:pPr>
              <w:jc w:val="left"/>
            </w:pPr>
            <w:r>
              <w:rPr>
                <w:color w:val="000000"/>
                <w:sz w:val="24"/>
                <w:szCs w:val="24"/>
              </w:rPr>
              <w:t>过去三个月</w:t>
            </w:r>
          </w:p>
        </w:tc>
        <w:tc>
          <w:tcPr>
            <w:tcW w:w="1045" w:type="dxa"/>
            <w:tcBorders>
              <w:bottom w:val="single" w:sz="4" w:space="0" w:color="auto"/>
            </w:tcBorders>
            <w:vAlign w:val="center"/>
          </w:tcPr>
          <w:p w:rsidR="00C97E0E" w:rsidRDefault="00763EE4">
            <w:pPr>
              <w:jc w:val="center"/>
            </w:pPr>
            <w:r>
              <w:rPr>
                <w:color w:val="000000"/>
                <w:sz w:val="24"/>
                <w:szCs w:val="24"/>
              </w:rPr>
              <w:t>6.14%</w:t>
            </w:r>
          </w:p>
        </w:tc>
        <w:tc>
          <w:tcPr>
            <w:tcW w:w="1344" w:type="dxa"/>
            <w:tcBorders>
              <w:bottom w:val="single" w:sz="4" w:space="0" w:color="auto"/>
            </w:tcBorders>
            <w:vAlign w:val="center"/>
          </w:tcPr>
          <w:p w:rsidR="00C97E0E" w:rsidRDefault="00763EE4">
            <w:pPr>
              <w:jc w:val="center"/>
            </w:pPr>
            <w:r>
              <w:rPr>
                <w:color w:val="000000"/>
                <w:sz w:val="24"/>
                <w:szCs w:val="24"/>
              </w:rPr>
              <w:t>0.98%</w:t>
            </w:r>
          </w:p>
        </w:tc>
        <w:tc>
          <w:tcPr>
            <w:tcW w:w="1194" w:type="dxa"/>
            <w:tcBorders>
              <w:bottom w:val="single" w:sz="4" w:space="0" w:color="auto"/>
            </w:tcBorders>
            <w:vAlign w:val="center"/>
          </w:tcPr>
          <w:p w:rsidR="00C97E0E" w:rsidRDefault="00763EE4">
            <w:pPr>
              <w:jc w:val="center"/>
            </w:pPr>
            <w:r>
              <w:rPr>
                <w:color w:val="000000"/>
                <w:sz w:val="24"/>
                <w:szCs w:val="24"/>
              </w:rPr>
              <w:t>2.29%</w:t>
            </w:r>
          </w:p>
        </w:tc>
        <w:tc>
          <w:tcPr>
            <w:tcW w:w="1492" w:type="dxa"/>
            <w:tcBorders>
              <w:bottom w:val="single" w:sz="4" w:space="0" w:color="auto"/>
            </w:tcBorders>
            <w:vAlign w:val="center"/>
          </w:tcPr>
          <w:p w:rsidR="00C97E0E" w:rsidRDefault="00763EE4">
            <w:pPr>
              <w:jc w:val="center"/>
            </w:pPr>
            <w:r>
              <w:rPr>
                <w:color w:val="000000"/>
                <w:sz w:val="24"/>
                <w:szCs w:val="24"/>
              </w:rPr>
              <w:t>0.70%</w:t>
            </w:r>
          </w:p>
        </w:tc>
        <w:tc>
          <w:tcPr>
            <w:tcW w:w="1194" w:type="dxa"/>
            <w:tcBorders>
              <w:bottom w:val="single" w:sz="4" w:space="0" w:color="auto"/>
            </w:tcBorders>
            <w:vAlign w:val="center"/>
          </w:tcPr>
          <w:p w:rsidR="00C97E0E" w:rsidRDefault="00763EE4">
            <w:pPr>
              <w:jc w:val="center"/>
            </w:pPr>
            <w:r>
              <w:rPr>
                <w:color w:val="000000"/>
                <w:sz w:val="24"/>
                <w:szCs w:val="24"/>
              </w:rPr>
              <w:t>3.85%</w:t>
            </w:r>
          </w:p>
        </w:tc>
        <w:tc>
          <w:tcPr>
            <w:tcW w:w="898" w:type="dxa"/>
            <w:tcBorders>
              <w:bottom w:val="single" w:sz="4" w:space="0" w:color="auto"/>
            </w:tcBorders>
            <w:vAlign w:val="center"/>
          </w:tcPr>
          <w:p w:rsidR="00C97E0E" w:rsidRDefault="00763EE4">
            <w:pPr>
              <w:jc w:val="center"/>
            </w:pPr>
            <w:r>
              <w:rPr>
                <w:color w:val="000000"/>
                <w:sz w:val="24"/>
                <w:szCs w:val="24"/>
              </w:rPr>
              <w:t>0.28%</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w:t>
      </w:r>
      <w:r w:rsidRPr="00414345">
        <w:rPr>
          <w:color w:val="000000"/>
          <w:sz w:val="24"/>
          <w:szCs w:val="24"/>
        </w:rPr>
        <w:t>+25%×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富时中国</w:t>
      </w:r>
      <w:r w:rsidRPr="00414345">
        <w:rPr>
          <w:color w:val="000000"/>
          <w:sz w:val="24"/>
          <w:szCs w:val="24"/>
        </w:rPr>
        <w:t>A600</w:t>
      </w:r>
      <w:r w:rsidRPr="00414345">
        <w:rPr>
          <w:color w:val="000000"/>
          <w:sz w:val="24"/>
          <w:szCs w:val="24"/>
        </w:rPr>
        <w:t>成长指数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w:t>
      </w:r>
      <w:bookmarkStart w:id="0" w:name="_GoBack"/>
      <w:bookmarkEnd w:id="0"/>
      <w:r w:rsidRPr="00414345">
        <w:rPr>
          <w:color w:val="000000"/>
          <w:sz w:val="24"/>
          <w:szCs w:val="24"/>
        </w:rPr>
        <w:t>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w:t>
      </w:r>
      <w:r w:rsidR="00C6002A" w:rsidRPr="00414345">
        <w:rPr>
          <w:b/>
          <w:bCs/>
          <w:color w:val="000000"/>
          <w:sz w:val="24"/>
        </w:rPr>
        <w:lastRenderedPageBreak/>
        <w:t>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交银施罗德新成长混合型证券投资基金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2014</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C97E0E">
        <w:trPr>
          <w:jc w:val="center"/>
        </w:trPr>
        <w:tc>
          <w:tcPr>
            <w:tcW w:w="846" w:type="dxa"/>
            <w:vAlign w:val="center"/>
          </w:tcPr>
          <w:p w:rsidR="00C97E0E" w:rsidRDefault="00763EE4">
            <w:pPr>
              <w:jc w:val="center"/>
            </w:pPr>
            <w:r>
              <w:rPr>
                <w:color w:val="000000"/>
                <w:sz w:val="24"/>
                <w:szCs w:val="24"/>
              </w:rPr>
              <w:t>王崇</w:t>
            </w:r>
          </w:p>
        </w:tc>
        <w:tc>
          <w:tcPr>
            <w:tcW w:w="845" w:type="dxa"/>
            <w:vAlign w:val="center"/>
          </w:tcPr>
          <w:p w:rsidR="00C97E0E" w:rsidRDefault="00763EE4">
            <w:pPr>
              <w:jc w:val="center"/>
            </w:pPr>
            <w:r>
              <w:rPr>
                <w:color w:val="000000"/>
                <w:sz w:val="24"/>
                <w:szCs w:val="24"/>
              </w:rPr>
              <w:t>交银精选混合、交银新成长混合的基金经理</w:t>
            </w:r>
          </w:p>
        </w:tc>
        <w:tc>
          <w:tcPr>
            <w:tcW w:w="1549" w:type="dxa"/>
            <w:vAlign w:val="center"/>
          </w:tcPr>
          <w:p w:rsidR="00C97E0E" w:rsidRDefault="00763EE4">
            <w:pPr>
              <w:jc w:val="center"/>
            </w:pPr>
            <w:r>
              <w:rPr>
                <w:color w:val="000000"/>
                <w:sz w:val="24"/>
                <w:szCs w:val="24"/>
              </w:rPr>
              <w:t>2014-10-22</w:t>
            </w:r>
          </w:p>
        </w:tc>
        <w:tc>
          <w:tcPr>
            <w:tcW w:w="1548" w:type="dxa"/>
            <w:vAlign w:val="center"/>
          </w:tcPr>
          <w:p w:rsidR="00C97E0E" w:rsidRDefault="00763EE4">
            <w:pPr>
              <w:jc w:val="center"/>
            </w:pPr>
            <w:r>
              <w:rPr>
                <w:color w:val="000000"/>
                <w:sz w:val="24"/>
                <w:szCs w:val="24"/>
              </w:rPr>
              <w:t>-</w:t>
            </w:r>
          </w:p>
        </w:tc>
        <w:tc>
          <w:tcPr>
            <w:tcW w:w="1407" w:type="dxa"/>
            <w:vAlign w:val="center"/>
          </w:tcPr>
          <w:p w:rsidR="00C97E0E" w:rsidRDefault="00763EE4">
            <w:pPr>
              <w:jc w:val="center"/>
            </w:pPr>
            <w:r>
              <w:rPr>
                <w:color w:val="000000"/>
                <w:sz w:val="24"/>
                <w:szCs w:val="24"/>
              </w:rPr>
              <w:t>9</w:t>
            </w:r>
            <w:r>
              <w:rPr>
                <w:color w:val="000000"/>
                <w:sz w:val="24"/>
                <w:szCs w:val="24"/>
              </w:rPr>
              <w:t>年</w:t>
            </w:r>
          </w:p>
        </w:tc>
        <w:tc>
          <w:tcPr>
            <w:tcW w:w="2673" w:type="dxa"/>
            <w:vAlign w:val="center"/>
          </w:tcPr>
          <w:p w:rsidR="00C97E0E" w:rsidRDefault="00763EE4">
            <w:r>
              <w:rPr>
                <w:color w:val="000000"/>
                <w:sz w:val="24"/>
                <w:szCs w:val="24"/>
              </w:rPr>
              <w:t>王崇先生，北京大学金融学博士。</w:t>
            </w:r>
            <w:r>
              <w:rPr>
                <w:color w:val="000000"/>
                <w:sz w:val="24"/>
                <w:szCs w:val="24"/>
              </w:rPr>
              <w:t>2008</w:t>
            </w:r>
            <w:r>
              <w:rPr>
                <w:color w:val="000000"/>
                <w:sz w:val="24"/>
                <w:szCs w:val="24"/>
              </w:rPr>
              <w:t>年加入交银施罗德基金管理有限公司，历任行业分析师、高级研究员。</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C97E0E" w:rsidRDefault="00763EE4">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C97E0E" w:rsidRDefault="00763EE4">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C97E0E" w:rsidRDefault="00763EE4">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C97E0E" w:rsidRDefault="00763EE4">
      <w:pPr>
        <w:spacing w:before="29" w:line="288" w:lineRule="auto"/>
        <w:ind w:firstLineChars="200" w:firstLine="480"/>
        <w:rPr>
          <w:color w:val="000000"/>
          <w:sz w:val="24"/>
          <w:szCs w:val="24"/>
        </w:rPr>
      </w:pPr>
      <w:r>
        <w:rPr>
          <w:color w:val="000000"/>
          <w:sz w:val="24"/>
          <w:szCs w:val="24"/>
        </w:rPr>
        <w:t>四季度国内经济增长平稳，地产销售同比小幅回落，货币政策总体中性偏紧。四季度</w:t>
      </w:r>
      <w:r>
        <w:rPr>
          <w:color w:val="000000"/>
          <w:sz w:val="24"/>
          <w:szCs w:val="24"/>
        </w:rPr>
        <w:t>A</w:t>
      </w:r>
      <w:r>
        <w:rPr>
          <w:color w:val="000000"/>
          <w:sz w:val="24"/>
          <w:szCs w:val="24"/>
        </w:rPr>
        <w:t>股市场先扬后抑，沪深</w:t>
      </w:r>
      <w:r>
        <w:rPr>
          <w:color w:val="000000"/>
          <w:sz w:val="24"/>
          <w:szCs w:val="24"/>
        </w:rPr>
        <w:t>300</w:t>
      </w:r>
      <w:r>
        <w:rPr>
          <w:color w:val="000000"/>
          <w:sz w:val="24"/>
          <w:szCs w:val="24"/>
        </w:rPr>
        <w:t>指数继续跑赢中小板、创业板，其中食品饮料板块继续遥遥领先表现亮眼，而以电子、新能源汽车为首的新兴成长板块回调幅度较大。</w:t>
      </w:r>
    </w:p>
    <w:p w:rsidR="00C97E0E" w:rsidRDefault="00763EE4">
      <w:pPr>
        <w:spacing w:before="29" w:line="288" w:lineRule="auto"/>
        <w:ind w:firstLineChars="200" w:firstLine="480"/>
        <w:rPr>
          <w:color w:val="000000"/>
          <w:sz w:val="24"/>
          <w:szCs w:val="24"/>
        </w:rPr>
      </w:pPr>
      <w:r>
        <w:rPr>
          <w:color w:val="000000"/>
          <w:sz w:val="24"/>
          <w:szCs w:val="24"/>
        </w:rPr>
        <w:t>四季度本基金继续采取稳健投资策略，十月至十二月中旬保持中性仓位，在十二月下旬小幅加仓。行业配置层面，本基金四季度减持金融、旅游、通信等板块，加仓传媒、电子、医药、新能源汽车、食品饮料等板块。本基金四季度取得了正收益，并跑赢业绩</w:t>
      </w:r>
      <w:r>
        <w:rPr>
          <w:color w:val="000000"/>
          <w:sz w:val="24"/>
          <w:szCs w:val="24"/>
        </w:rPr>
        <w:lastRenderedPageBreak/>
        <w:t>比较基准。</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2018</w:t>
      </w:r>
      <w:r w:rsidRPr="00414345">
        <w:rPr>
          <w:color w:val="000000"/>
          <w:sz w:val="24"/>
          <w:szCs w:val="24"/>
        </w:rPr>
        <w:t>年，我们继续维持谨慎乐观的态度。一方面，我们时刻警惕可能高企的通货膨胀及金融去杠杆深化对市场的冲击；另一方面，从中观层面，优秀的行业和公司会保持良好发展势头，由于</w:t>
      </w:r>
      <w:r w:rsidRPr="00414345">
        <w:rPr>
          <w:color w:val="000000"/>
          <w:sz w:val="24"/>
          <w:szCs w:val="24"/>
        </w:rPr>
        <w:t>2017</w:t>
      </w:r>
      <w:r w:rsidRPr="00414345">
        <w:rPr>
          <w:color w:val="000000"/>
          <w:sz w:val="24"/>
          <w:szCs w:val="24"/>
        </w:rPr>
        <w:t>年市场极度偏好大盘蓝筹股，持续压缩中小市值成长股估值，部分优秀中小盘新兴成长公司股价的估值水平已变得很有吸引力。本基金将继续关注</w:t>
      </w:r>
      <w:r w:rsidRPr="00414345">
        <w:rPr>
          <w:color w:val="000000"/>
          <w:sz w:val="24"/>
          <w:szCs w:val="24"/>
        </w:rPr>
        <w:t>2018</w:t>
      </w:r>
      <w:r w:rsidRPr="00414345">
        <w:rPr>
          <w:color w:val="000000"/>
          <w:sz w:val="24"/>
          <w:szCs w:val="24"/>
        </w:rPr>
        <w:t>年电子、医药、传媒、新能源汽车等新兴成长领域投资机会，精选优质新兴成长股票，恪守安全边际，努力为基金份额持有人带来稳定回报。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2.039</w:t>
      </w:r>
      <w:r w:rsidRPr="00414345">
        <w:rPr>
          <w:color w:val="000000"/>
          <w:sz w:val="24"/>
          <w:szCs w:val="24"/>
        </w:rPr>
        <w:t>元，本报告期份额净值增长率为</w:t>
      </w:r>
      <w:r w:rsidRPr="00414345">
        <w:rPr>
          <w:color w:val="000000"/>
          <w:sz w:val="24"/>
          <w:szCs w:val="24"/>
        </w:rPr>
        <w:t>6.14%</w:t>
      </w:r>
      <w:r w:rsidRPr="00414345">
        <w:rPr>
          <w:color w:val="000000"/>
          <w:sz w:val="24"/>
          <w:szCs w:val="24"/>
        </w:rPr>
        <w:t>，同期业绩比较基准增长率为</w:t>
      </w:r>
      <w:r w:rsidR="00BB1A0B">
        <w:rPr>
          <w:color w:val="000000"/>
          <w:sz w:val="24"/>
          <w:szCs w:val="24"/>
        </w:rPr>
        <w:t>2.29%</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BA1E35" w:rsidRDefault="00BA1E35" w:rsidP="00421CD2">
      <w:pPr>
        <w:spacing w:before="29" w:line="288" w:lineRule="auto"/>
        <w:ind w:firstLineChars="200" w:firstLine="480"/>
        <w:rPr>
          <w:color w:val="000000"/>
          <w:sz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1,673,673,645.67</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83.19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1,673,673,645.67</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83.19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124,007,000.00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6.16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124,007,000.00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6.16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98,263,540.90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4.88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88,759,264.09</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4.41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27,268,585.59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1.36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2,011,972,036.25</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56,360,236.00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2.81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1,013,848,225.48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50.56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59,721,649.20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17,942.76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76,807,533.45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212,585,968.56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10.60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127,894,679.04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32,323.20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126,405,087.98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1,673,673,645.67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83.46</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lastRenderedPageBreak/>
              <w:t>（％）</w:t>
            </w:r>
          </w:p>
        </w:tc>
      </w:tr>
      <w:tr w:rsidR="00C97E0E">
        <w:trPr>
          <w:jc w:val="center"/>
        </w:trPr>
        <w:tc>
          <w:tcPr>
            <w:tcW w:w="855" w:type="dxa"/>
            <w:vAlign w:val="center"/>
          </w:tcPr>
          <w:p w:rsidR="00C97E0E" w:rsidRDefault="00763EE4">
            <w:pPr>
              <w:jc w:val="center"/>
            </w:pPr>
            <w:r>
              <w:rPr>
                <w:color w:val="000000"/>
                <w:sz w:val="24"/>
                <w:szCs w:val="24"/>
              </w:rPr>
              <w:lastRenderedPageBreak/>
              <w:t>1</w:t>
            </w:r>
          </w:p>
        </w:tc>
        <w:tc>
          <w:tcPr>
            <w:tcW w:w="1334" w:type="dxa"/>
            <w:vAlign w:val="center"/>
          </w:tcPr>
          <w:p w:rsidR="00C97E0E" w:rsidRDefault="00763EE4">
            <w:pPr>
              <w:jc w:val="center"/>
            </w:pPr>
            <w:r>
              <w:rPr>
                <w:color w:val="000000"/>
                <w:sz w:val="24"/>
                <w:szCs w:val="24"/>
              </w:rPr>
              <w:t>603986</w:t>
            </w:r>
          </w:p>
        </w:tc>
        <w:tc>
          <w:tcPr>
            <w:tcW w:w="1777" w:type="dxa"/>
            <w:vAlign w:val="center"/>
          </w:tcPr>
          <w:p w:rsidR="00C97E0E" w:rsidRDefault="00763EE4">
            <w:pPr>
              <w:jc w:val="center"/>
            </w:pPr>
            <w:r>
              <w:rPr>
                <w:color w:val="000000"/>
                <w:sz w:val="24"/>
                <w:szCs w:val="24"/>
              </w:rPr>
              <w:t>兆易创新</w:t>
            </w:r>
          </w:p>
        </w:tc>
        <w:tc>
          <w:tcPr>
            <w:tcW w:w="1334" w:type="dxa"/>
            <w:vAlign w:val="center"/>
          </w:tcPr>
          <w:p w:rsidR="00C97E0E" w:rsidRDefault="00763EE4">
            <w:pPr>
              <w:jc w:val="right"/>
            </w:pPr>
            <w:r>
              <w:rPr>
                <w:color w:val="000000"/>
                <w:sz w:val="24"/>
                <w:szCs w:val="24"/>
              </w:rPr>
              <w:t>1,252,942</w:t>
            </w:r>
          </w:p>
        </w:tc>
        <w:tc>
          <w:tcPr>
            <w:tcW w:w="1924" w:type="dxa"/>
            <w:vAlign w:val="center"/>
          </w:tcPr>
          <w:p w:rsidR="00C97E0E" w:rsidRDefault="00763EE4">
            <w:pPr>
              <w:jc w:val="right"/>
            </w:pPr>
            <w:r>
              <w:rPr>
                <w:color w:val="000000"/>
                <w:sz w:val="24"/>
                <w:szCs w:val="24"/>
              </w:rPr>
              <w:t>192,602,244.24</w:t>
            </w:r>
          </w:p>
        </w:tc>
        <w:tc>
          <w:tcPr>
            <w:tcW w:w="1644" w:type="dxa"/>
            <w:vAlign w:val="center"/>
          </w:tcPr>
          <w:p w:rsidR="00C97E0E" w:rsidRDefault="00763EE4">
            <w:pPr>
              <w:jc w:val="right"/>
            </w:pPr>
            <w:r>
              <w:rPr>
                <w:color w:val="000000"/>
                <w:sz w:val="24"/>
                <w:szCs w:val="24"/>
              </w:rPr>
              <w:t>9.60</w:t>
            </w:r>
          </w:p>
        </w:tc>
      </w:tr>
      <w:tr w:rsidR="00C97E0E">
        <w:trPr>
          <w:jc w:val="center"/>
        </w:trPr>
        <w:tc>
          <w:tcPr>
            <w:tcW w:w="855" w:type="dxa"/>
            <w:vAlign w:val="center"/>
          </w:tcPr>
          <w:p w:rsidR="00C97E0E" w:rsidRDefault="00763EE4">
            <w:pPr>
              <w:jc w:val="center"/>
            </w:pPr>
            <w:r>
              <w:rPr>
                <w:color w:val="000000"/>
                <w:sz w:val="24"/>
                <w:szCs w:val="24"/>
              </w:rPr>
              <w:t>2</w:t>
            </w:r>
          </w:p>
        </w:tc>
        <w:tc>
          <w:tcPr>
            <w:tcW w:w="1334" w:type="dxa"/>
            <w:vAlign w:val="center"/>
          </w:tcPr>
          <w:p w:rsidR="00C97E0E" w:rsidRDefault="00763EE4">
            <w:pPr>
              <w:jc w:val="center"/>
            </w:pPr>
            <w:r>
              <w:rPr>
                <w:color w:val="000000"/>
                <w:sz w:val="24"/>
                <w:szCs w:val="24"/>
              </w:rPr>
              <w:t>002027</w:t>
            </w:r>
          </w:p>
        </w:tc>
        <w:tc>
          <w:tcPr>
            <w:tcW w:w="1777" w:type="dxa"/>
            <w:vAlign w:val="center"/>
          </w:tcPr>
          <w:p w:rsidR="00C97E0E" w:rsidRDefault="00763EE4">
            <w:pPr>
              <w:jc w:val="center"/>
            </w:pPr>
            <w:r>
              <w:rPr>
                <w:color w:val="000000"/>
                <w:sz w:val="24"/>
                <w:szCs w:val="24"/>
              </w:rPr>
              <w:t>分众传媒</w:t>
            </w:r>
          </w:p>
        </w:tc>
        <w:tc>
          <w:tcPr>
            <w:tcW w:w="1334" w:type="dxa"/>
            <w:vAlign w:val="center"/>
          </w:tcPr>
          <w:p w:rsidR="00C97E0E" w:rsidRDefault="00763EE4">
            <w:pPr>
              <w:jc w:val="right"/>
            </w:pPr>
            <w:r>
              <w:rPr>
                <w:color w:val="000000"/>
                <w:sz w:val="24"/>
                <w:szCs w:val="24"/>
              </w:rPr>
              <w:t>9,147,463</w:t>
            </w:r>
          </w:p>
        </w:tc>
        <w:tc>
          <w:tcPr>
            <w:tcW w:w="1924" w:type="dxa"/>
            <w:vAlign w:val="center"/>
          </w:tcPr>
          <w:p w:rsidR="00C97E0E" w:rsidRDefault="00763EE4">
            <w:pPr>
              <w:jc w:val="right"/>
            </w:pPr>
            <w:r>
              <w:rPr>
                <w:color w:val="000000"/>
                <w:sz w:val="24"/>
                <w:szCs w:val="24"/>
              </w:rPr>
              <w:t>127,894,679.04</w:t>
            </w:r>
          </w:p>
        </w:tc>
        <w:tc>
          <w:tcPr>
            <w:tcW w:w="1644" w:type="dxa"/>
            <w:vAlign w:val="center"/>
          </w:tcPr>
          <w:p w:rsidR="00C97E0E" w:rsidRDefault="00763EE4">
            <w:pPr>
              <w:jc w:val="right"/>
            </w:pPr>
            <w:r>
              <w:rPr>
                <w:color w:val="000000"/>
                <w:sz w:val="24"/>
                <w:szCs w:val="24"/>
              </w:rPr>
              <w:t>6.38</w:t>
            </w:r>
          </w:p>
        </w:tc>
      </w:tr>
      <w:tr w:rsidR="00C97E0E">
        <w:trPr>
          <w:jc w:val="center"/>
        </w:trPr>
        <w:tc>
          <w:tcPr>
            <w:tcW w:w="855" w:type="dxa"/>
            <w:vAlign w:val="center"/>
          </w:tcPr>
          <w:p w:rsidR="00C97E0E" w:rsidRDefault="00763EE4">
            <w:pPr>
              <w:jc w:val="center"/>
            </w:pPr>
            <w:r>
              <w:rPr>
                <w:color w:val="000000"/>
                <w:sz w:val="24"/>
                <w:szCs w:val="24"/>
              </w:rPr>
              <w:t>3</w:t>
            </w:r>
          </w:p>
        </w:tc>
        <w:tc>
          <w:tcPr>
            <w:tcW w:w="1334" w:type="dxa"/>
            <w:vAlign w:val="center"/>
          </w:tcPr>
          <w:p w:rsidR="00C97E0E" w:rsidRDefault="00763EE4">
            <w:pPr>
              <w:jc w:val="center"/>
            </w:pPr>
            <w:r>
              <w:rPr>
                <w:color w:val="000000"/>
                <w:sz w:val="24"/>
                <w:szCs w:val="24"/>
              </w:rPr>
              <w:t>300347</w:t>
            </w:r>
          </w:p>
        </w:tc>
        <w:tc>
          <w:tcPr>
            <w:tcW w:w="1777" w:type="dxa"/>
            <w:vAlign w:val="center"/>
          </w:tcPr>
          <w:p w:rsidR="00C97E0E" w:rsidRDefault="00763EE4">
            <w:pPr>
              <w:jc w:val="center"/>
            </w:pPr>
            <w:r>
              <w:rPr>
                <w:color w:val="000000"/>
                <w:sz w:val="24"/>
                <w:szCs w:val="24"/>
              </w:rPr>
              <w:t>泰格医药</w:t>
            </w:r>
          </w:p>
        </w:tc>
        <w:tc>
          <w:tcPr>
            <w:tcW w:w="1334" w:type="dxa"/>
            <w:vAlign w:val="center"/>
          </w:tcPr>
          <w:p w:rsidR="00C97E0E" w:rsidRDefault="00763EE4">
            <w:pPr>
              <w:jc w:val="right"/>
            </w:pPr>
            <w:r>
              <w:rPr>
                <w:color w:val="000000"/>
                <w:sz w:val="24"/>
                <w:szCs w:val="24"/>
              </w:rPr>
              <w:t>3,651,961</w:t>
            </w:r>
          </w:p>
        </w:tc>
        <w:tc>
          <w:tcPr>
            <w:tcW w:w="1924" w:type="dxa"/>
            <w:vAlign w:val="center"/>
          </w:tcPr>
          <w:p w:rsidR="00C97E0E" w:rsidRDefault="00763EE4">
            <w:pPr>
              <w:jc w:val="right"/>
            </w:pPr>
            <w:r>
              <w:rPr>
                <w:color w:val="000000"/>
                <w:sz w:val="24"/>
                <w:szCs w:val="24"/>
              </w:rPr>
              <w:t>126,405,087.98</w:t>
            </w:r>
          </w:p>
        </w:tc>
        <w:tc>
          <w:tcPr>
            <w:tcW w:w="1644" w:type="dxa"/>
            <w:vAlign w:val="center"/>
          </w:tcPr>
          <w:p w:rsidR="00C97E0E" w:rsidRDefault="00763EE4">
            <w:pPr>
              <w:jc w:val="right"/>
            </w:pPr>
            <w:r>
              <w:rPr>
                <w:color w:val="000000"/>
                <w:sz w:val="24"/>
                <w:szCs w:val="24"/>
              </w:rPr>
              <w:t>6.30</w:t>
            </w:r>
          </w:p>
        </w:tc>
      </w:tr>
      <w:tr w:rsidR="00C97E0E">
        <w:trPr>
          <w:jc w:val="center"/>
        </w:trPr>
        <w:tc>
          <w:tcPr>
            <w:tcW w:w="855" w:type="dxa"/>
            <w:vAlign w:val="center"/>
          </w:tcPr>
          <w:p w:rsidR="00C97E0E" w:rsidRDefault="00763EE4">
            <w:pPr>
              <w:jc w:val="center"/>
            </w:pPr>
            <w:r>
              <w:rPr>
                <w:color w:val="000000"/>
                <w:sz w:val="24"/>
                <w:szCs w:val="24"/>
              </w:rPr>
              <w:t>4</w:t>
            </w:r>
          </w:p>
        </w:tc>
        <w:tc>
          <w:tcPr>
            <w:tcW w:w="1334" w:type="dxa"/>
            <w:vAlign w:val="center"/>
          </w:tcPr>
          <w:p w:rsidR="00C97E0E" w:rsidRDefault="00763EE4">
            <w:pPr>
              <w:jc w:val="center"/>
            </w:pPr>
            <w:r>
              <w:rPr>
                <w:color w:val="000000"/>
                <w:sz w:val="24"/>
                <w:szCs w:val="24"/>
              </w:rPr>
              <w:t>002456</w:t>
            </w:r>
          </w:p>
        </w:tc>
        <w:tc>
          <w:tcPr>
            <w:tcW w:w="1777" w:type="dxa"/>
            <w:vAlign w:val="center"/>
          </w:tcPr>
          <w:p w:rsidR="00C97E0E" w:rsidRPr="00B620E1" w:rsidRDefault="00B620E1">
            <w:pPr>
              <w:jc w:val="center"/>
              <w:rPr>
                <w:color w:val="000000"/>
                <w:sz w:val="24"/>
                <w:szCs w:val="24"/>
              </w:rPr>
            </w:pPr>
            <w:r w:rsidRPr="00B620E1">
              <w:rPr>
                <w:rFonts w:hint="eastAsia"/>
                <w:color w:val="000000"/>
                <w:sz w:val="24"/>
                <w:szCs w:val="24"/>
              </w:rPr>
              <w:t>欧菲科技</w:t>
            </w:r>
          </w:p>
        </w:tc>
        <w:tc>
          <w:tcPr>
            <w:tcW w:w="1334" w:type="dxa"/>
            <w:vAlign w:val="center"/>
          </w:tcPr>
          <w:p w:rsidR="00C97E0E" w:rsidRDefault="00763EE4">
            <w:pPr>
              <w:jc w:val="right"/>
            </w:pPr>
            <w:r>
              <w:rPr>
                <w:color w:val="000000"/>
                <w:sz w:val="24"/>
                <w:szCs w:val="24"/>
              </w:rPr>
              <w:t>5,991,556</w:t>
            </w:r>
          </w:p>
        </w:tc>
        <w:tc>
          <w:tcPr>
            <w:tcW w:w="1924" w:type="dxa"/>
            <w:vAlign w:val="center"/>
          </w:tcPr>
          <w:p w:rsidR="00C97E0E" w:rsidRDefault="00763EE4">
            <w:pPr>
              <w:jc w:val="right"/>
            </w:pPr>
            <w:r>
              <w:rPr>
                <w:color w:val="000000"/>
                <w:sz w:val="24"/>
                <w:szCs w:val="24"/>
              </w:rPr>
              <w:t>123,366,138.04</w:t>
            </w:r>
          </w:p>
        </w:tc>
        <w:tc>
          <w:tcPr>
            <w:tcW w:w="1644" w:type="dxa"/>
            <w:vAlign w:val="center"/>
          </w:tcPr>
          <w:p w:rsidR="00C97E0E" w:rsidRDefault="00763EE4">
            <w:pPr>
              <w:jc w:val="right"/>
            </w:pPr>
            <w:r>
              <w:rPr>
                <w:color w:val="000000"/>
                <w:sz w:val="24"/>
                <w:szCs w:val="24"/>
              </w:rPr>
              <w:t>6.15</w:t>
            </w:r>
          </w:p>
        </w:tc>
      </w:tr>
      <w:tr w:rsidR="00C97E0E">
        <w:trPr>
          <w:jc w:val="center"/>
        </w:trPr>
        <w:tc>
          <w:tcPr>
            <w:tcW w:w="855" w:type="dxa"/>
            <w:vAlign w:val="center"/>
          </w:tcPr>
          <w:p w:rsidR="00C97E0E" w:rsidRDefault="00763EE4">
            <w:pPr>
              <w:jc w:val="center"/>
            </w:pPr>
            <w:r>
              <w:rPr>
                <w:color w:val="000000"/>
                <w:sz w:val="24"/>
                <w:szCs w:val="24"/>
              </w:rPr>
              <w:t>5</w:t>
            </w:r>
          </w:p>
        </w:tc>
        <w:tc>
          <w:tcPr>
            <w:tcW w:w="1334" w:type="dxa"/>
            <w:vAlign w:val="center"/>
          </w:tcPr>
          <w:p w:rsidR="00C97E0E" w:rsidRDefault="00763EE4">
            <w:pPr>
              <w:jc w:val="center"/>
            </w:pPr>
            <w:r>
              <w:rPr>
                <w:color w:val="000000"/>
                <w:sz w:val="24"/>
                <w:szCs w:val="24"/>
              </w:rPr>
              <w:t>601166</w:t>
            </w:r>
          </w:p>
        </w:tc>
        <w:tc>
          <w:tcPr>
            <w:tcW w:w="1777" w:type="dxa"/>
            <w:vAlign w:val="center"/>
          </w:tcPr>
          <w:p w:rsidR="00C97E0E" w:rsidRDefault="00763EE4">
            <w:pPr>
              <w:jc w:val="center"/>
            </w:pPr>
            <w:r>
              <w:rPr>
                <w:color w:val="000000"/>
                <w:sz w:val="24"/>
                <w:szCs w:val="24"/>
              </w:rPr>
              <w:t>兴业银行</w:t>
            </w:r>
          </w:p>
        </w:tc>
        <w:tc>
          <w:tcPr>
            <w:tcW w:w="1334" w:type="dxa"/>
            <w:vAlign w:val="center"/>
          </w:tcPr>
          <w:p w:rsidR="00C97E0E" w:rsidRDefault="00763EE4">
            <w:pPr>
              <w:jc w:val="right"/>
            </w:pPr>
            <w:r>
              <w:rPr>
                <w:color w:val="000000"/>
                <w:sz w:val="24"/>
                <w:szCs w:val="24"/>
              </w:rPr>
              <w:t>5,894,076</w:t>
            </w:r>
          </w:p>
        </w:tc>
        <w:tc>
          <w:tcPr>
            <w:tcW w:w="1924" w:type="dxa"/>
            <w:vAlign w:val="center"/>
          </w:tcPr>
          <w:p w:rsidR="00C97E0E" w:rsidRDefault="00763EE4">
            <w:pPr>
              <w:jc w:val="right"/>
            </w:pPr>
            <w:r>
              <w:rPr>
                <w:color w:val="000000"/>
                <w:sz w:val="24"/>
                <w:szCs w:val="24"/>
              </w:rPr>
              <w:t>100,140,351.24</w:t>
            </w:r>
          </w:p>
        </w:tc>
        <w:tc>
          <w:tcPr>
            <w:tcW w:w="1644" w:type="dxa"/>
            <w:vAlign w:val="center"/>
          </w:tcPr>
          <w:p w:rsidR="00C97E0E" w:rsidRDefault="00763EE4">
            <w:pPr>
              <w:jc w:val="right"/>
            </w:pPr>
            <w:r>
              <w:rPr>
                <w:color w:val="000000"/>
                <w:sz w:val="24"/>
                <w:szCs w:val="24"/>
              </w:rPr>
              <w:t>4.99</w:t>
            </w:r>
          </w:p>
        </w:tc>
      </w:tr>
      <w:tr w:rsidR="00C97E0E">
        <w:trPr>
          <w:jc w:val="center"/>
        </w:trPr>
        <w:tc>
          <w:tcPr>
            <w:tcW w:w="855" w:type="dxa"/>
            <w:vAlign w:val="center"/>
          </w:tcPr>
          <w:p w:rsidR="00C97E0E" w:rsidRDefault="00763EE4">
            <w:pPr>
              <w:jc w:val="center"/>
            </w:pPr>
            <w:r>
              <w:rPr>
                <w:color w:val="000000"/>
                <w:sz w:val="24"/>
                <w:szCs w:val="24"/>
              </w:rPr>
              <w:t>6</w:t>
            </w:r>
          </w:p>
        </w:tc>
        <w:tc>
          <w:tcPr>
            <w:tcW w:w="1334" w:type="dxa"/>
            <w:vAlign w:val="center"/>
          </w:tcPr>
          <w:p w:rsidR="00C97E0E" w:rsidRDefault="00763EE4">
            <w:pPr>
              <w:jc w:val="center"/>
            </w:pPr>
            <w:r>
              <w:rPr>
                <w:color w:val="000000"/>
                <w:sz w:val="24"/>
                <w:szCs w:val="24"/>
              </w:rPr>
              <w:t>600285</w:t>
            </w:r>
          </w:p>
        </w:tc>
        <w:tc>
          <w:tcPr>
            <w:tcW w:w="1777" w:type="dxa"/>
            <w:vAlign w:val="center"/>
          </w:tcPr>
          <w:p w:rsidR="00C97E0E" w:rsidRDefault="00763EE4">
            <w:pPr>
              <w:jc w:val="center"/>
            </w:pPr>
            <w:r>
              <w:rPr>
                <w:color w:val="000000"/>
                <w:sz w:val="24"/>
                <w:szCs w:val="24"/>
              </w:rPr>
              <w:t>羚锐制药</w:t>
            </w:r>
          </w:p>
        </w:tc>
        <w:tc>
          <w:tcPr>
            <w:tcW w:w="1334" w:type="dxa"/>
            <w:vAlign w:val="center"/>
          </w:tcPr>
          <w:p w:rsidR="00C97E0E" w:rsidRDefault="00763EE4">
            <w:pPr>
              <w:jc w:val="right"/>
            </w:pPr>
            <w:r>
              <w:rPr>
                <w:color w:val="000000"/>
                <w:sz w:val="24"/>
                <w:szCs w:val="24"/>
              </w:rPr>
              <w:t>8,659,769</w:t>
            </w:r>
          </w:p>
        </w:tc>
        <w:tc>
          <w:tcPr>
            <w:tcW w:w="1924" w:type="dxa"/>
            <w:vAlign w:val="center"/>
          </w:tcPr>
          <w:p w:rsidR="00C97E0E" w:rsidRDefault="00763EE4">
            <w:pPr>
              <w:jc w:val="right"/>
            </w:pPr>
            <w:r>
              <w:rPr>
                <w:color w:val="000000"/>
                <w:sz w:val="24"/>
                <w:szCs w:val="24"/>
              </w:rPr>
              <w:t>80,535,851.70</w:t>
            </w:r>
          </w:p>
        </w:tc>
        <w:tc>
          <w:tcPr>
            <w:tcW w:w="1644" w:type="dxa"/>
            <w:vAlign w:val="center"/>
          </w:tcPr>
          <w:p w:rsidR="00C97E0E" w:rsidRDefault="00763EE4">
            <w:pPr>
              <w:jc w:val="right"/>
            </w:pPr>
            <w:r>
              <w:rPr>
                <w:color w:val="000000"/>
                <w:sz w:val="24"/>
                <w:szCs w:val="24"/>
              </w:rPr>
              <w:t>4.02</w:t>
            </w:r>
          </w:p>
        </w:tc>
      </w:tr>
      <w:tr w:rsidR="00C97E0E">
        <w:trPr>
          <w:jc w:val="center"/>
        </w:trPr>
        <w:tc>
          <w:tcPr>
            <w:tcW w:w="855" w:type="dxa"/>
            <w:vAlign w:val="center"/>
          </w:tcPr>
          <w:p w:rsidR="00C97E0E" w:rsidRDefault="00763EE4">
            <w:pPr>
              <w:jc w:val="center"/>
            </w:pPr>
            <w:r>
              <w:rPr>
                <w:color w:val="000000"/>
                <w:sz w:val="24"/>
                <w:szCs w:val="24"/>
              </w:rPr>
              <w:t>7</w:t>
            </w:r>
          </w:p>
        </w:tc>
        <w:tc>
          <w:tcPr>
            <w:tcW w:w="1334" w:type="dxa"/>
            <w:vAlign w:val="center"/>
          </w:tcPr>
          <w:p w:rsidR="00C97E0E" w:rsidRDefault="00763EE4">
            <w:pPr>
              <w:jc w:val="center"/>
            </w:pPr>
            <w:r>
              <w:rPr>
                <w:color w:val="000000"/>
                <w:sz w:val="24"/>
                <w:szCs w:val="24"/>
              </w:rPr>
              <w:t>601100</w:t>
            </w:r>
          </w:p>
        </w:tc>
        <w:tc>
          <w:tcPr>
            <w:tcW w:w="1777" w:type="dxa"/>
            <w:vAlign w:val="center"/>
          </w:tcPr>
          <w:p w:rsidR="00C97E0E" w:rsidRDefault="00763EE4">
            <w:pPr>
              <w:jc w:val="center"/>
            </w:pPr>
            <w:r>
              <w:rPr>
                <w:color w:val="000000"/>
                <w:sz w:val="24"/>
                <w:szCs w:val="24"/>
              </w:rPr>
              <w:t>恒立液压</w:t>
            </w:r>
          </w:p>
        </w:tc>
        <w:tc>
          <w:tcPr>
            <w:tcW w:w="1334" w:type="dxa"/>
            <w:vAlign w:val="center"/>
          </w:tcPr>
          <w:p w:rsidR="00C97E0E" w:rsidRDefault="00763EE4">
            <w:pPr>
              <w:jc w:val="right"/>
            </w:pPr>
            <w:r>
              <w:rPr>
                <w:color w:val="000000"/>
                <w:sz w:val="24"/>
                <w:szCs w:val="24"/>
              </w:rPr>
              <w:t>2,912,943</w:t>
            </w:r>
          </w:p>
        </w:tc>
        <w:tc>
          <w:tcPr>
            <w:tcW w:w="1924" w:type="dxa"/>
            <w:vAlign w:val="center"/>
          </w:tcPr>
          <w:p w:rsidR="00C97E0E" w:rsidRDefault="00763EE4">
            <w:pPr>
              <w:jc w:val="right"/>
            </w:pPr>
            <w:r>
              <w:rPr>
                <w:color w:val="000000"/>
                <w:sz w:val="24"/>
                <w:szCs w:val="24"/>
              </w:rPr>
              <w:t>79,931,155.92</w:t>
            </w:r>
          </w:p>
        </w:tc>
        <w:tc>
          <w:tcPr>
            <w:tcW w:w="1644" w:type="dxa"/>
            <w:vAlign w:val="center"/>
          </w:tcPr>
          <w:p w:rsidR="00C97E0E" w:rsidRDefault="00763EE4">
            <w:pPr>
              <w:jc w:val="right"/>
            </w:pPr>
            <w:r>
              <w:rPr>
                <w:color w:val="000000"/>
                <w:sz w:val="24"/>
                <w:szCs w:val="24"/>
              </w:rPr>
              <w:t>3.99</w:t>
            </w:r>
          </w:p>
        </w:tc>
      </w:tr>
      <w:tr w:rsidR="00C97E0E">
        <w:trPr>
          <w:jc w:val="center"/>
        </w:trPr>
        <w:tc>
          <w:tcPr>
            <w:tcW w:w="855" w:type="dxa"/>
            <w:vAlign w:val="center"/>
          </w:tcPr>
          <w:p w:rsidR="00C97E0E" w:rsidRDefault="00763EE4">
            <w:pPr>
              <w:jc w:val="center"/>
            </w:pPr>
            <w:r>
              <w:rPr>
                <w:color w:val="000000"/>
                <w:sz w:val="24"/>
                <w:szCs w:val="24"/>
              </w:rPr>
              <w:t>8</w:t>
            </w:r>
          </w:p>
        </w:tc>
        <w:tc>
          <w:tcPr>
            <w:tcW w:w="1334" w:type="dxa"/>
            <w:vAlign w:val="center"/>
          </w:tcPr>
          <w:p w:rsidR="00C97E0E" w:rsidRDefault="00763EE4">
            <w:pPr>
              <w:jc w:val="center"/>
            </w:pPr>
            <w:r>
              <w:rPr>
                <w:color w:val="000000"/>
                <w:sz w:val="24"/>
                <w:szCs w:val="24"/>
              </w:rPr>
              <w:t>600066</w:t>
            </w:r>
          </w:p>
        </w:tc>
        <w:tc>
          <w:tcPr>
            <w:tcW w:w="1777" w:type="dxa"/>
            <w:vAlign w:val="center"/>
          </w:tcPr>
          <w:p w:rsidR="00C97E0E" w:rsidRDefault="00763EE4">
            <w:pPr>
              <w:jc w:val="center"/>
            </w:pPr>
            <w:r>
              <w:rPr>
                <w:color w:val="000000"/>
                <w:sz w:val="24"/>
                <w:szCs w:val="24"/>
              </w:rPr>
              <w:t>宇通客车</w:t>
            </w:r>
          </w:p>
        </w:tc>
        <w:tc>
          <w:tcPr>
            <w:tcW w:w="1334" w:type="dxa"/>
            <w:vAlign w:val="center"/>
          </w:tcPr>
          <w:p w:rsidR="00C97E0E" w:rsidRDefault="00763EE4">
            <w:pPr>
              <w:jc w:val="right"/>
            </w:pPr>
            <w:r>
              <w:rPr>
                <w:color w:val="000000"/>
                <w:sz w:val="24"/>
                <w:szCs w:val="24"/>
              </w:rPr>
              <w:t>3,320,700</w:t>
            </w:r>
          </w:p>
        </w:tc>
        <w:tc>
          <w:tcPr>
            <w:tcW w:w="1924" w:type="dxa"/>
            <w:vAlign w:val="center"/>
          </w:tcPr>
          <w:p w:rsidR="00C97E0E" w:rsidRDefault="00763EE4">
            <w:pPr>
              <w:jc w:val="right"/>
            </w:pPr>
            <w:r>
              <w:rPr>
                <w:color w:val="000000"/>
                <w:sz w:val="24"/>
                <w:szCs w:val="24"/>
              </w:rPr>
              <w:t>79,929,249.00</w:t>
            </w:r>
          </w:p>
        </w:tc>
        <w:tc>
          <w:tcPr>
            <w:tcW w:w="1644" w:type="dxa"/>
            <w:vAlign w:val="center"/>
          </w:tcPr>
          <w:p w:rsidR="00C97E0E" w:rsidRDefault="00763EE4">
            <w:pPr>
              <w:jc w:val="right"/>
            </w:pPr>
            <w:r>
              <w:rPr>
                <w:color w:val="000000"/>
                <w:sz w:val="24"/>
                <w:szCs w:val="24"/>
              </w:rPr>
              <w:t>3.99</w:t>
            </w:r>
          </w:p>
        </w:tc>
      </w:tr>
      <w:tr w:rsidR="00C97E0E">
        <w:trPr>
          <w:jc w:val="center"/>
        </w:trPr>
        <w:tc>
          <w:tcPr>
            <w:tcW w:w="855" w:type="dxa"/>
            <w:vAlign w:val="center"/>
          </w:tcPr>
          <w:p w:rsidR="00C97E0E" w:rsidRDefault="00763EE4">
            <w:pPr>
              <w:jc w:val="center"/>
            </w:pPr>
            <w:r>
              <w:rPr>
                <w:color w:val="000000"/>
                <w:sz w:val="24"/>
                <w:szCs w:val="24"/>
              </w:rPr>
              <w:t>9</w:t>
            </w:r>
          </w:p>
        </w:tc>
        <w:tc>
          <w:tcPr>
            <w:tcW w:w="1334" w:type="dxa"/>
            <w:vAlign w:val="center"/>
          </w:tcPr>
          <w:p w:rsidR="00C97E0E" w:rsidRDefault="00763EE4">
            <w:pPr>
              <w:jc w:val="center"/>
            </w:pPr>
            <w:r>
              <w:rPr>
                <w:color w:val="000000"/>
                <w:sz w:val="24"/>
                <w:szCs w:val="24"/>
              </w:rPr>
              <w:t>002709</w:t>
            </w:r>
          </w:p>
        </w:tc>
        <w:tc>
          <w:tcPr>
            <w:tcW w:w="1777" w:type="dxa"/>
            <w:vAlign w:val="center"/>
          </w:tcPr>
          <w:p w:rsidR="00C97E0E" w:rsidRDefault="00763EE4">
            <w:pPr>
              <w:jc w:val="center"/>
            </w:pPr>
            <w:r>
              <w:rPr>
                <w:color w:val="000000"/>
                <w:sz w:val="24"/>
                <w:szCs w:val="24"/>
              </w:rPr>
              <w:t>天赐材料</w:t>
            </w:r>
          </w:p>
        </w:tc>
        <w:tc>
          <w:tcPr>
            <w:tcW w:w="1334" w:type="dxa"/>
            <w:vAlign w:val="center"/>
          </w:tcPr>
          <w:p w:rsidR="00C97E0E" w:rsidRDefault="00763EE4">
            <w:pPr>
              <w:jc w:val="right"/>
            </w:pPr>
            <w:r>
              <w:rPr>
                <w:color w:val="000000"/>
                <w:sz w:val="24"/>
                <w:szCs w:val="24"/>
              </w:rPr>
              <w:t>1,628,720</w:t>
            </w:r>
          </w:p>
        </w:tc>
        <w:tc>
          <w:tcPr>
            <w:tcW w:w="1924" w:type="dxa"/>
            <w:vAlign w:val="center"/>
          </w:tcPr>
          <w:p w:rsidR="00C97E0E" w:rsidRDefault="00763EE4">
            <w:pPr>
              <w:jc w:val="right"/>
            </w:pPr>
            <w:r>
              <w:rPr>
                <w:color w:val="000000"/>
                <w:sz w:val="24"/>
                <w:szCs w:val="24"/>
              </w:rPr>
              <w:t>74,904,832.80</w:t>
            </w:r>
          </w:p>
        </w:tc>
        <w:tc>
          <w:tcPr>
            <w:tcW w:w="1644" w:type="dxa"/>
            <w:vAlign w:val="center"/>
          </w:tcPr>
          <w:p w:rsidR="00C97E0E" w:rsidRDefault="00763EE4">
            <w:pPr>
              <w:jc w:val="right"/>
            </w:pPr>
            <w:r>
              <w:rPr>
                <w:color w:val="000000"/>
                <w:sz w:val="24"/>
                <w:szCs w:val="24"/>
              </w:rPr>
              <w:t>3.74</w:t>
            </w:r>
          </w:p>
        </w:tc>
      </w:tr>
      <w:tr w:rsidR="00C97E0E">
        <w:trPr>
          <w:jc w:val="center"/>
        </w:trPr>
        <w:tc>
          <w:tcPr>
            <w:tcW w:w="855" w:type="dxa"/>
            <w:vAlign w:val="center"/>
          </w:tcPr>
          <w:p w:rsidR="00C97E0E" w:rsidRDefault="00763EE4">
            <w:pPr>
              <w:jc w:val="center"/>
            </w:pPr>
            <w:r>
              <w:rPr>
                <w:color w:val="000000"/>
                <w:sz w:val="24"/>
                <w:szCs w:val="24"/>
              </w:rPr>
              <w:t>10</w:t>
            </w:r>
          </w:p>
        </w:tc>
        <w:tc>
          <w:tcPr>
            <w:tcW w:w="1334" w:type="dxa"/>
            <w:vAlign w:val="center"/>
          </w:tcPr>
          <w:p w:rsidR="00C97E0E" w:rsidRDefault="00763EE4">
            <w:pPr>
              <w:jc w:val="center"/>
            </w:pPr>
            <w:r>
              <w:rPr>
                <w:color w:val="000000"/>
                <w:sz w:val="24"/>
                <w:szCs w:val="24"/>
              </w:rPr>
              <w:t>002304</w:t>
            </w:r>
          </w:p>
        </w:tc>
        <w:tc>
          <w:tcPr>
            <w:tcW w:w="1777" w:type="dxa"/>
            <w:vAlign w:val="center"/>
          </w:tcPr>
          <w:p w:rsidR="00C97E0E" w:rsidRDefault="00763EE4">
            <w:pPr>
              <w:jc w:val="center"/>
            </w:pPr>
            <w:r>
              <w:rPr>
                <w:color w:val="000000"/>
                <w:sz w:val="24"/>
                <w:szCs w:val="24"/>
              </w:rPr>
              <w:t>洋河股份</w:t>
            </w:r>
          </w:p>
        </w:tc>
        <w:tc>
          <w:tcPr>
            <w:tcW w:w="1334" w:type="dxa"/>
            <w:vAlign w:val="center"/>
          </w:tcPr>
          <w:p w:rsidR="00C97E0E" w:rsidRDefault="00763EE4">
            <w:pPr>
              <w:jc w:val="right"/>
            </w:pPr>
            <w:r>
              <w:rPr>
                <w:color w:val="000000"/>
                <w:sz w:val="24"/>
                <w:szCs w:val="24"/>
              </w:rPr>
              <w:t>643,336</w:t>
            </w:r>
          </w:p>
        </w:tc>
        <w:tc>
          <w:tcPr>
            <w:tcW w:w="1924" w:type="dxa"/>
            <w:vAlign w:val="center"/>
          </w:tcPr>
          <w:p w:rsidR="00C97E0E" w:rsidRDefault="00763EE4">
            <w:pPr>
              <w:jc w:val="right"/>
            </w:pPr>
            <w:r>
              <w:rPr>
                <w:color w:val="000000"/>
                <w:sz w:val="24"/>
                <w:szCs w:val="24"/>
              </w:rPr>
              <w:t>73,983,640.00</w:t>
            </w:r>
          </w:p>
        </w:tc>
        <w:tc>
          <w:tcPr>
            <w:tcW w:w="1644" w:type="dxa"/>
            <w:vAlign w:val="center"/>
          </w:tcPr>
          <w:p w:rsidR="00C97E0E" w:rsidRDefault="00763EE4">
            <w:pPr>
              <w:jc w:val="right"/>
            </w:pPr>
            <w:r>
              <w:rPr>
                <w:color w:val="000000"/>
                <w:sz w:val="24"/>
                <w:szCs w:val="24"/>
              </w:rPr>
              <w:t>3.69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94,697,000.00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4.72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94,697,000.00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4.72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29,310,000.00</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1.46</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124,007,000.00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6.18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C97E0E">
        <w:trPr>
          <w:jc w:val="center"/>
        </w:trPr>
        <w:tc>
          <w:tcPr>
            <w:tcW w:w="850" w:type="dxa"/>
            <w:vAlign w:val="center"/>
          </w:tcPr>
          <w:p w:rsidR="00C97E0E" w:rsidRDefault="00763EE4">
            <w:pPr>
              <w:jc w:val="center"/>
            </w:pPr>
            <w:r>
              <w:rPr>
                <w:color w:val="000000"/>
                <w:sz w:val="24"/>
                <w:szCs w:val="24"/>
              </w:rPr>
              <w:t>1</w:t>
            </w:r>
          </w:p>
        </w:tc>
        <w:tc>
          <w:tcPr>
            <w:tcW w:w="1475" w:type="dxa"/>
            <w:vAlign w:val="center"/>
          </w:tcPr>
          <w:p w:rsidR="00C97E0E" w:rsidRDefault="00763EE4">
            <w:pPr>
              <w:jc w:val="center"/>
            </w:pPr>
            <w:r>
              <w:rPr>
                <w:color w:val="000000"/>
                <w:sz w:val="24"/>
                <w:szCs w:val="24"/>
              </w:rPr>
              <w:t>170204</w:t>
            </w:r>
          </w:p>
        </w:tc>
        <w:tc>
          <w:tcPr>
            <w:tcW w:w="1769" w:type="dxa"/>
            <w:vAlign w:val="center"/>
          </w:tcPr>
          <w:p w:rsidR="00C97E0E" w:rsidRDefault="00763EE4">
            <w:pPr>
              <w:jc w:val="center"/>
            </w:pPr>
            <w:r>
              <w:rPr>
                <w:color w:val="000000"/>
                <w:sz w:val="24"/>
                <w:szCs w:val="24"/>
              </w:rPr>
              <w:t>17</w:t>
            </w:r>
            <w:r>
              <w:rPr>
                <w:color w:val="000000"/>
                <w:sz w:val="24"/>
                <w:szCs w:val="24"/>
              </w:rPr>
              <w:t>国开</w:t>
            </w:r>
            <w:r>
              <w:rPr>
                <w:color w:val="000000"/>
                <w:sz w:val="24"/>
                <w:szCs w:val="24"/>
              </w:rPr>
              <w:t>04</w:t>
            </w:r>
          </w:p>
        </w:tc>
        <w:tc>
          <w:tcPr>
            <w:tcW w:w="1387" w:type="dxa"/>
            <w:vAlign w:val="center"/>
          </w:tcPr>
          <w:p w:rsidR="00C97E0E" w:rsidRDefault="00763EE4">
            <w:pPr>
              <w:jc w:val="right"/>
            </w:pPr>
            <w:r>
              <w:rPr>
                <w:color w:val="000000"/>
                <w:sz w:val="24"/>
                <w:szCs w:val="24"/>
              </w:rPr>
              <w:t>500,000</w:t>
            </w:r>
          </w:p>
        </w:tc>
        <w:tc>
          <w:tcPr>
            <w:tcW w:w="2150" w:type="dxa"/>
            <w:vAlign w:val="center"/>
          </w:tcPr>
          <w:p w:rsidR="00C97E0E" w:rsidRDefault="00763EE4">
            <w:pPr>
              <w:jc w:val="right"/>
            </w:pPr>
            <w:r>
              <w:rPr>
                <w:color w:val="000000"/>
                <w:sz w:val="24"/>
                <w:szCs w:val="24"/>
              </w:rPr>
              <w:t>49,900,000.00</w:t>
            </w:r>
          </w:p>
        </w:tc>
        <w:tc>
          <w:tcPr>
            <w:tcW w:w="1237" w:type="dxa"/>
            <w:vAlign w:val="center"/>
          </w:tcPr>
          <w:p w:rsidR="00C97E0E" w:rsidRDefault="00763EE4">
            <w:pPr>
              <w:jc w:val="right"/>
            </w:pPr>
            <w:r>
              <w:rPr>
                <w:color w:val="000000"/>
                <w:sz w:val="24"/>
                <w:szCs w:val="24"/>
              </w:rPr>
              <w:t>2.49</w:t>
            </w:r>
          </w:p>
        </w:tc>
      </w:tr>
      <w:tr w:rsidR="00C97E0E">
        <w:trPr>
          <w:jc w:val="center"/>
        </w:trPr>
        <w:tc>
          <w:tcPr>
            <w:tcW w:w="850" w:type="dxa"/>
            <w:vAlign w:val="center"/>
          </w:tcPr>
          <w:p w:rsidR="00C97E0E" w:rsidRDefault="00763EE4">
            <w:pPr>
              <w:jc w:val="center"/>
            </w:pPr>
            <w:r>
              <w:rPr>
                <w:color w:val="000000"/>
                <w:sz w:val="24"/>
                <w:szCs w:val="24"/>
              </w:rPr>
              <w:lastRenderedPageBreak/>
              <w:t>2</w:t>
            </w:r>
          </w:p>
        </w:tc>
        <w:tc>
          <w:tcPr>
            <w:tcW w:w="1475" w:type="dxa"/>
            <w:vAlign w:val="center"/>
          </w:tcPr>
          <w:p w:rsidR="00C97E0E" w:rsidRDefault="00763EE4">
            <w:pPr>
              <w:jc w:val="center"/>
            </w:pPr>
            <w:r>
              <w:rPr>
                <w:color w:val="000000"/>
                <w:sz w:val="24"/>
                <w:szCs w:val="24"/>
              </w:rPr>
              <w:t>170207</w:t>
            </w:r>
          </w:p>
        </w:tc>
        <w:tc>
          <w:tcPr>
            <w:tcW w:w="1769" w:type="dxa"/>
            <w:vAlign w:val="center"/>
          </w:tcPr>
          <w:p w:rsidR="00C97E0E" w:rsidRDefault="00763EE4">
            <w:pPr>
              <w:jc w:val="center"/>
            </w:pPr>
            <w:r>
              <w:rPr>
                <w:color w:val="000000"/>
                <w:sz w:val="24"/>
                <w:szCs w:val="24"/>
              </w:rPr>
              <w:t>17</w:t>
            </w:r>
            <w:r>
              <w:rPr>
                <w:color w:val="000000"/>
                <w:sz w:val="24"/>
                <w:szCs w:val="24"/>
              </w:rPr>
              <w:t>国开</w:t>
            </w:r>
            <w:r>
              <w:rPr>
                <w:color w:val="000000"/>
                <w:sz w:val="24"/>
                <w:szCs w:val="24"/>
              </w:rPr>
              <w:t>07</w:t>
            </w:r>
          </w:p>
        </w:tc>
        <w:tc>
          <w:tcPr>
            <w:tcW w:w="1387" w:type="dxa"/>
            <w:vAlign w:val="center"/>
          </w:tcPr>
          <w:p w:rsidR="00C97E0E" w:rsidRDefault="00763EE4">
            <w:pPr>
              <w:jc w:val="right"/>
            </w:pPr>
            <w:r>
              <w:rPr>
                <w:color w:val="000000"/>
                <w:sz w:val="24"/>
                <w:szCs w:val="24"/>
              </w:rPr>
              <w:t>400,000</w:t>
            </w:r>
          </w:p>
        </w:tc>
        <w:tc>
          <w:tcPr>
            <w:tcW w:w="2150" w:type="dxa"/>
            <w:vAlign w:val="center"/>
          </w:tcPr>
          <w:p w:rsidR="00C97E0E" w:rsidRDefault="00763EE4">
            <w:pPr>
              <w:jc w:val="right"/>
            </w:pPr>
            <w:r>
              <w:rPr>
                <w:color w:val="000000"/>
                <w:sz w:val="24"/>
                <w:szCs w:val="24"/>
              </w:rPr>
              <w:t>39,808,000.00</w:t>
            </w:r>
          </w:p>
        </w:tc>
        <w:tc>
          <w:tcPr>
            <w:tcW w:w="1237" w:type="dxa"/>
            <w:vAlign w:val="center"/>
          </w:tcPr>
          <w:p w:rsidR="00C97E0E" w:rsidRDefault="00763EE4">
            <w:pPr>
              <w:jc w:val="right"/>
            </w:pPr>
            <w:r>
              <w:rPr>
                <w:color w:val="000000"/>
                <w:sz w:val="24"/>
                <w:szCs w:val="24"/>
              </w:rPr>
              <w:t>1.99</w:t>
            </w:r>
          </w:p>
        </w:tc>
      </w:tr>
      <w:tr w:rsidR="00C97E0E">
        <w:trPr>
          <w:jc w:val="center"/>
        </w:trPr>
        <w:tc>
          <w:tcPr>
            <w:tcW w:w="850" w:type="dxa"/>
            <w:vAlign w:val="center"/>
          </w:tcPr>
          <w:p w:rsidR="00C97E0E" w:rsidRDefault="00763EE4">
            <w:pPr>
              <w:jc w:val="center"/>
            </w:pPr>
            <w:r>
              <w:rPr>
                <w:color w:val="000000"/>
                <w:sz w:val="24"/>
                <w:szCs w:val="24"/>
              </w:rPr>
              <w:t>3</w:t>
            </w:r>
          </w:p>
        </w:tc>
        <w:tc>
          <w:tcPr>
            <w:tcW w:w="1475" w:type="dxa"/>
            <w:vAlign w:val="center"/>
          </w:tcPr>
          <w:p w:rsidR="00C97E0E" w:rsidRDefault="00763EE4">
            <w:pPr>
              <w:jc w:val="center"/>
            </w:pPr>
            <w:r>
              <w:rPr>
                <w:color w:val="000000"/>
                <w:sz w:val="24"/>
                <w:szCs w:val="24"/>
              </w:rPr>
              <w:t>111780850</w:t>
            </w:r>
          </w:p>
        </w:tc>
        <w:tc>
          <w:tcPr>
            <w:tcW w:w="1769" w:type="dxa"/>
            <w:vAlign w:val="center"/>
          </w:tcPr>
          <w:p w:rsidR="00C97E0E" w:rsidRDefault="00763EE4">
            <w:pPr>
              <w:jc w:val="center"/>
            </w:pPr>
            <w:r>
              <w:rPr>
                <w:color w:val="000000"/>
                <w:sz w:val="24"/>
                <w:szCs w:val="24"/>
              </w:rPr>
              <w:t>17</w:t>
            </w:r>
            <w:r>
              <w:rPr>
                <w:color w:val="000000"/>
                <w:sz w:val="24"/>
                <w:szCs w:val="24"/>
              </w:rPr>
              <w:t>贵阳银行</w:t>
            </w:r>
            <w:r>
              <w:rPr>
                <w:color w:val="000000"/>
                <w:sz w:val="24"/>
                <w:szCs w:val="24"/>
              </w:rPr>
              <w:t>CD091</w:t>
            </w:r>
          </w:p>
        </w:tc>
        <w:tc>
          <w:tcPr>
            <w:tcW w:w="1387" w:type="dxa"/>
            <w:vAlign w:val="center"/>
          </w:tcPr>
          <w:p w:rsidR="00C97E0E" w:rsidRDefault="00763EE4">
            <w:pPr>
              <w:jc w:val="right"/>
            </w:pPr>
            <w:r>
              <w:rPr>
                <w:color w:val="000000"/>
                <w:sz w:val="24"/>
                <w:szCs w:val="24"/>
              </w:rPr>
              <w:t>300,000</w:t>
            </w:r>
          </w:p>
        </w:tc>
        <w:tc>
          <w:tcPr>
            <w:tcW w:w="2150" w:type="dxa"/>
            <w:vAlign w:val="center"/>
          </w:tcPr>
          <w:p w:rsidR="00C97E0E" w:rsidRDefault="00763EE4">
            <w:pPr>
              <w:jc w:val="right"/>
            </w:pPr>
            <w:r>
              <w:rPr>
                <w:color w:val="000000"/>
                <w:sz w:val="24"/>
                <w:szCs w:val="24"/>
              </w:rPr>
              <w:t>29,310,000.00</w:t>
            </w:r>
          </w:p>
        </w:tc>
        <w:tc>
          <w:tcPr>
            <w:tcW w:w="1237" w:type="dxa"/>
            <w:vAlign w:val="center"/>
          </w:tcPr>
          <w:p w:rsidR="00C97E0E" w:rsidRDefault="00763EE4">
            <w:pPr>
              <w:jc w:val="right"/>
            </w:pPr>
            <w:r>
              <w:rPr>
                <w:color w:val="000000"/>
                <w:sz w:val="24"/>
                <w:szCs w:val="24"/>
              </w:rPr>
              <w:t>1.46</w:t>
            </w:r>
          </w:p>
        </w:tc>
      </w:tr>
      <w:tr w:rsidR="00C97E0E">
        <w:trPr>
          <w:jc w:val="center"/>
        </w:trPr>
        <w:tc>
          <w:tcPr>
            <w:tcW w:w="850" w:type="dxa"/>
            <w:vAlign w:val="center"/>
          </w:tcPr>
          <w:p w:rsidR="00C97E0E" w:rsidRDefault="00763EE4">
            <w:pPr>
              <w:jc w:val="center"/>
            </w:pPr>
            <w:r>
              <w:rPr>
                <w:color w:val="000000"/>
                <w:sz w:val="24"/>
                <w:szCs w:val="24"/>
              </w:rPr>
              <w:t>4</w:t>
            </w:r>
          </w:p>
        </w:tc>
        <w:tc>
          <w:tcPr>
            <w:tcW w:w="1475" w:type="dxa"/>
            <w:vAlign w:val="center"/>
          </w:tcPr>
          <w:p w:rsidR="00C97E0E" w:rsidRDefault="00763EE4">
            <w:pPr>
              <w:jc w:val="center"/>
            </w:pPr>
            <w:r>
              <w:rPr>
                <w:color w:val="000000"/>
                <w:sz w:val="24"/>
                <w:szCs w:val="24"/>
              </w:rPr>
              <w:t>108601</w:t>
            </w:r>
          </w:p>
        </w:tc>
        <w:tc>
          <w:tcPr>
            <w:tcW w:w="1769" w:type="dxa"/>
            <w:vAlign w:val="center"/>
          </w:tcPr>
          <w:p w:rsidR="00C97E0E" w:rsidRDefault="00763EE4">
            <w:pPr>
              <w:jc w:val="center"/>
            </w:pPr>
            <w:r>
              <w:rPr>
                <w:color w:val="000000"/>
                <w:sz w:val="24"/>
                <w:szCs w:val="24"/>
              </w:rPr>
              <w:t>国开</w:t>
            </w:r>
            <w:r>
              <w:rPr>
                <w:color w:val="000000"/>
                <w:sz w:val="24"/>
                <w:szCs w:val="24"/>
              </w:rPr>
              <w:t>1703</w:t>
            </w:r>
          </w:p>
        </w:tc>
        <w:tc>
          <w:tcPr>
            <w:tcW w:w="1387" w:type="dxa"/>
            <w:vAlign w:val="center"/>
          </w:tcPr>
          <w:p w:rsidR="00C97E0E" w:rsidRDefault="00763EE4">
            <w:pPr>
              <w:jc w:val="right"/>
            </w:pPr>
            <w:r>
              <w:rPr>
                <w:color w:val="000000"/>
                <w:sz w:val="24"/>
                <w:szCs w:val="24"/>
              </w:rPr>
              <w:t>50,000</w:t>
            </w:r>
          </w:p>
        </w:tc>
        <w:tc>
          <w:tcPr>
            <w:tcW w:w="2150" w:type="dxa"/>
            <w:vAlign w:val="center"/>
          </w:tcPr>
          <w:p w:rsidR="00C97E0E" w:rsidRDefault="00763EE4">
            <w:pPr>
              <w:jc w:val="right"/>
            </w:pPr>
            <w:r>
              <w:rPr>
                <w:color w:val="000000"/>
                <w:sz w:val="24"/>
                <w:szCs w:val="24"/>
              </w:rPr>
              <w:t>4,989,000.00</w:t>
            </w:r>
          </w:p>
        </w:tc>
        <w:tc>
          <w:tcPr>
            <w:tcW w:w="1237" w:type="dxa"/>
            <w:vAlign w:val="center"/>
          </w:tcPr>
          <w:p w:rsidR="00C97E0E" w:rsidRDefault="00763EE4">
            <w:pPr>
              <w:jc w:val="right"/>
            </w:pPr>
            <w:r>
              <w:rPr>
                <w:color w:val="000000"/>
                <w:sz w:val="24"/>
                <w:szCs w:val="24"/>
              </w:rPr>
              <w:t>0.25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654,854.91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21,894,180.45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2,816,652.20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1,902,898.03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27,268,585.59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763EE4">
        <w:trPr>
          <w:jc w:val="center"/>
        </w:trPr>
        <w:tc>
          <w:tcPr>
            <w:tcW w:w="11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56"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8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72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42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C97E0E">
        <w:trPr>
          <w:jc w:val="center"/>
        </w:trPr>
        <w:tc>
          <w:tcPr>
            <w:tcW w:w="1129" w:type="dxa"/>
            <w:vAlign w:val="center"/>
          </w:tcPr>
          <w:p w:rsidR="00C97E0E" w:rsidRDefault="00763EE4">
            <w:pPr>
              <w:jc w:val="center"/>
            </w:pPr>
            <w:r>
              <w:rPr>
                <w:color w:val="000000"/>
                <w:sz w:val="24"/>
                <w:szCs w:val="24"/>
              </w:rPr>
              <w:t>1</w:t>
            </w:r>
          </w:p>
        </w:tc>
        <w:tc>
          <w:tcPr>
            <w:tcW w:w="1356" w:type="dxa"/>
            <w:vAlign w:val="center"/>
          </w:tcPr>
          <w:p w:rsidR="00C97E0E" w:rsidRDefault="00763EE4">
            <w:pPr>
              <w:jc w:val="center"/>
            </w:pPr>
            <w:r>
              <w:rPr>
                <w:color w:val="000000"/>
                <w:sz w:val="24"/>
                <w:szCs w:val="24"/>
              </w:rPr>
              <w:t>002027</w:t>
            </w:r>
          </w:p>
        </w:tc>
        <w:tc>
          <w:tcPr>
            <w:tcW w:w="1355" w:type="dxa"/>
            <w:vAlign w:val="center"/>
          </w:tcPr>
          <w:p w:rsidR="00C97E0E" w:rsidRDefault="00763EE4">
            <w:pPr>
              <w:jc w:val="center"/>
            </w:pPr>
            <w:r>
              <w:rPr>
                <w:color w:val="000000"/>
                <w:sz w:val="24"/>
                <w:szCs w:val="24"/>
              </w:rPr>
              <w:t>分众传媒</w:t>
            </w:r>
          </w:p>
        </w:tc>
        <w:tc>
          <w:tcPr>
            <w:tcW w:w="1880" w:type="dxa"/>
            <w:vAlign w:val="center"/>
          </w:tcPr>
          <w:p w:rsidR="00C97E0E" w:rsidRDefault="00763EE4">
            <w:pPr>
              <w:jc w:val="right"/>
            </w:pPr>
            <w:r>
              <w:rPr>
                <w:color w:val="000000"/>
                <w:sz w:val="24"/>
                <w:szCs w:val="24"/>
              </w:rPr>
              <w:t>21,767,200.00</w:t>
            </w:r>
          </w:p>
        </w:tc>
        <w:tc>
          <w:tcPr>
            <w:tcW w:w="1724" w:type="dxa"/>
            <w:vAlign w:val="center"/>
          </w:tcPr>
          <w:p w:rsidR="00C97E0E" w:rsidRDefault="00763EE4">
            <w:pPr>
              <w:jc w:val="right"/>
            </w:pPr>
            <w:r>
              <w:rPr>
                <w:color w:val="000000"/>
                <w:sz w:val="24"/>
                <w:szCs w:val="24"/>
              </w:rPr>
              <w:t>1.09</w:t>
            </w:r>
          </w:p>
        </w:tc>
        <w:tc>
          <w:tcPr>
            <w:tcW w:w="1424" w:type="dxa"/>
            <w:vAlign w:val="center"/>
          </w:tcPr>
          <w:p w:rsidR="00C97E0E" w:rsidRPr="00763EE4" w:rsidRDefault="00763EE4" w:rsidP="00763EE4">
            <w:pPr>
              <w:jc w:val="center"/>
              <w:rPr>
                <w:color w:val="000000"/>
                <w:sz w:val="24"/>
                <w:szCs w:val="24"/>
              </w:rPr>
            </w:pPr>
            <w:r w:rsidRPr="00763EE4">
              <w:rPr>
                <w:rFonts w:hint="eastAsia"/>
                <w:color w:val="000000"/>
                <w:sz w:val="24"/>
                <w:szCs w:val="24"/>
              </w:rPr>
              <w:t>限售股</w:t>
            </w:r>
          </w:p>
        </w:tc>
      </w:tr>
      <w:tr w:rsidR="00C97E0E">
        <w:trPr>
          <w:jc w:val="center"/>
        </w:trPr>
        <w:tc>
          <w:tcPr>
            <w:tcW w:w="1129" w:type="dxa"/>
            <w:vAlign w:val="center"/>
          </w:tcPr>
          <w:p w:rsidR="00C97E0E" w:rsidRDefault="00763EE4">
            <w:pPr>
              <w:jc w:val="center"/>
            </w:pPr>
            <w:r>
              <w:rPr>
                <w:color w:val="000000"/>
                <w:sz w:val="24"/>
                <w:szCs w:val="24"/>
              </w:rPr>
              <w:t>2</w:t>
            </w:r>
          </w:p>
        </w:tc>
        <w:tc>
          <w:tcPr>
            <w:tcW w:w="1356" w:type="dxa"/>
            <w:vAlign w:val="center"/>
          </w:tcPr>
          <w:p w:rsidR="00C97E0E" w:rsidRDefault="00763EE4">
            <w:pPr>
              <w:jc w:val="center"/>
            </w:pPr>
            <w:r>
              <w:rPr>
                <w:color w:val="000000"/>
                <w:sz w:val="24"/>
                <w:szCs w:val="24"/>
              </w:rPr>
              <w:t>603986</w:t>
            </w:r>
          </w:p>
        </w:tc>
        <w:tc>
          <w:tcPr>
            <w:tcW w:w="1355" w:type="dxa"/>
            <w:vAlign w:val="center"/>
          </w:tcPr>
          <w:p w:rsidR="00C97E0E" w:rsidRDefault="00763EE4">
            <w:pPr>
              <w:jc w:val="center"/>
            </w:pPr>
            <w:r>
              <w:rPr>
                <w:color w:val="000000"/>
                <w:sz w:val="24"/>
                <w:szCs w:val="24"/>
              </w:rPr>
              <w:t>兆易创新</w:t>
            </w:r>
          </w:p>
        </w:tc>
        <w:tc>
          <w:tcPr>
            <w:tcW w:w="1880" w:type="dxa"/>
            <w:vAlign w:val="center"/>
          </w:tcPr>
          <w:p w:rsidR="00C97E0E" w:rsidRDefault="00763EE4">
            <w:pPr>
              <w:jc w:val="right"/>
            </w:pPr>
            <w:r>
              <w:rPr>
                <w:color w:val="000000"/>
                <w:sz w:val="24"/>
                <w:szCs w:val="24"/>
              </w:rPr>
              <w:t>192,602,244.24</w:t>
            </w:r>
          </w:p>
        </w:tc>
        <w:tc>
          <w:tcPr>
            <w:tcW w:w="1724" w:type="dxa"/>
            <w:vAlign w:val="center"/>
          </w:tcPr>
          <w:p w:rsidR="00C97E0E" w:rsidRDefault="00763EE4">
            <w:pPr>
              <w:jc w:val="right"/>
            </w:pPr>
            <w:r>
              <w:rPr>
                <w:color w:val="000000"/>
                <w:sz w:val="24"/>
                <w:szCs w:val="24"/>
              </w:rPr>
              <w:t>9.60</w:t>
            </w:r>
          </w:p>
        </w:tc>
        <w:tc>
          <w:tcPr>
            <w:tcW w:w="1424" w:type="dxa"/>
            <w:vAlign w:val="center"/>
          </w:tcPr>
          <w:p w:rsidR="00763EE4" w:rsidRPr="00763EE4" w:rsidRDefault="00763EE4" w:rsidP="00763EE4">
            <w:pPr>
              <w:jc w:val="center"/>
              <w:rPr>
                <w:color w:val="000000"/>
                <w:sz w:val="24"/>
                <w:szCs w:val="24"/>
              </w:rPr>
            </w:pPr>
            <w:r w:rsidRPr="00763EE4">
              <w:rPr>
                <w:rFonts w:hint="eastAsia"/>
                <w:color w:val="000000"/>
                <w:sz w:val="24"/>
                <w:szCs w:val="24"/>
              </w:rPr>
              <w:t>重大</w:t>
            </w:r>
            <w:r w:rsidRPr="00763EE4">
              <w:rPr>
                <w:color w:val="000000"/>
                <w:sz w:val="24"/>
                <w:szCs w:val="24"/>
              </w:rPr>
              <w:t>事项</w:t>
            </w:r>
          </w:p>
        </w:tc>
      </w:tr>
      <w:tr w:rsidR="00763EE4">
        <w:trPr>
          <w:jc w:val="center"/>
        </w:trPr>
        <w:tc>
          <w:tcPr>
            <w:tcW w:w="1129" w:type="dxa"/>
            <w:vAlign w:val="center"/>
          </w:tcPr>
          <w:p w:rsidR="00763EE4" w:rsidRDefault="00763EE4" w:rsidP="00763EE4">
            <w:pPr>
              <w:jc w:val="center"/>
            </w:pPr>
            <w:r>
              <w:rPr>
                <w:color w:val="000000"/>
                <w:sz w:val="24"/>
                <w:szCs w:val="24"/>
              </w:rPr>
              <w:t>3</w:t>
            </w:r>
          </w:p>
        </w:tc>
        <w:tc>
          <w:tcPr>
            <w:tcW w:w="1356" w:type="dxa"/>
            <w:vAlign w:val="center"/>
          </w:tcPr>
          <w:p w:rsidR="00763EE4" w:rsidRDefault="00763EE4" w:rsidP="00763EE4">
            <w:pPr>
              <w:jc w:val="center"/>
            </w:pPr>
            <w:r>
              <w:rPr>
                <w:color w:val="000000"/>
                <w:sz w:val="24"/>
                <w:szCs w:val="24"/>
              </w:rPr>
              <w:t>300347</w:t>
            </w:r>
          </w:p>
        </w:tc>
        <w:tc>
          <w:tcPr>
            <w:tcW w:w="1355" w:type="dxa"/>
            <w:vAlign w:val="center"/>
          </w:tcPr>
          <w:p w:rsidR="00763EE4" w:rsidRDefault="00763EE4" w:rsidP="00763EE4">
            <w:pPr>
              <w:jc w:val="center"/>
            </w:pPr>
            <w:r>
              <w:rPr>
                <w:color w:val="000000"/>
                <w:sz w:val="24"/>
                <w:szCs w:val="24"/>
              </w:rPr>
              <w:t>泰格医药</w:t>
            </w:r>
          </w:p>
        </w:tc>
        <w:tc>
          <w:tcPr>
            <w:tcW w:w="1880" w:type="dxa"/>
            <w:vAlign w:val="center"/>
          </w:tcPr>
          <w:p w:rsidR="00763EE4" w:rsidRDefault="00763EE4" w:rsidP="00763EE4">
            <w:pPr>
              <w:jc w:val="right"/>
            </w:pPr>
            <w:r>
              <w:rPr>
                <w:color w:val="000000"/>
                <w:sz w:val="24"/>
                <w:szCs w:val="24"/>
              </w:rPr>
              <w:t>39,089,700.00</w:t>
            </w:r>
          </w:p>
        </w:tc>
        <w:tc>
          <w:tcPr>
            <w:tcW w:w="1724" w:type="dxa"/>
            <w:vAlign w:val="center"/>
          </w:tcPr>
          <w:p w:rsidR="00763EE4" w:rsidRDefault="00763EE4" w:rsidP="00763EE4">
            <w:pPr>
              <w:jc w:val="right"/>
            </w:pPr>
            <w:r>
              <w:rPr>
                <w:color w:val="000000"/>
                <w:sz w:val="24"/>
                <w:szCs w:val="24"/>
              </w:rPr>
              <w:t>1.95</w:t>
            </w:r>
          </w:p>
        </w:tc>
        <w:tc>
          <w:tcPr>
            <w:tcW w:w="1424" w:type="dxa"/>
            <w:vAlign w:val="center"/>
          </w:tcPr>
          <w:p w:rsidR="00763EE4" w:rsidRPr="00763EE4" w:rsidRDefault="00763EE4" w:rsidP="00763EE4">
            <w:pPr>
              <w:jc w:val="center"/>
              <w:rPr>
                <w:color w:val="000000"/>
                <w:sz w:val="24"/>
                <w:szCs w:val="24"/>
              </w:rPr>
            </w:pPr>
            <w:r w:rsidRPr="00763EE4">
              <w:rPr>
                <w:rFonts w:hint="eastAsia"/>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913,742,319.52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153,354,241.44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83,575,723.71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983,520,837.25</w:t>
            </w:r>
          </w:p>
        </w:tc>
      </w:tr>
    </w:tbl>
    <w:p w:rsidR="00C97E0E" w:rsidRDefault="00763EE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94634D">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EE49F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lastRenderedPageBreak/>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EE49FE">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C97E0E">
        <w:tc>
          <w:tcPr>
            <w:tcW w:w="993" w:type="dxa"/>
            <w:vMerge w:val="restart"/>
          </w:tcPr>
          <w:p w:rsidR="00C97E0E" w:rsidRDefault="00C97E0E"/>
          <w:p w:rsidR="00C97E0E" w:rsidRDefault="00763EE4">
            <w:r>
              <w:rPr>
                <w:rFonts w:ascii="宋体" w:hAnsi="宋体" w:hint="eastAsia"/>
                <w:bCs/>
                <w:color w:val="000000"/>
                <w:kern w:val="0"/>
              </w:rPr>
              <w:t>机构</w:t>
            </w:r>
          </w:p>
        </w:tc>
        <w:tc>
          <w:tcPr>
            <w:tcW w:w="992" w:type="dxa"/>
            <w:vAlign w:val="center"/>
          </w:tcPr>
          <w:p w:rsidR="00C97E0E" w:rsidRDefault="00763EE4">
            <w:pPr>
              <w:jc w:val="center"/>
            </w:pPr>
            <w:r>
              <w:rPr>
                <w:rFonts w:ascii="宋体" w:hAnsi="宋体"/>
                <w:color w:val="000000"/>
                <w:kern w:val="0"/>
              </w:rPr>
              <w:t>1</w:t>
            </w:r>
          </w:p>
        </w:tc>
        <w:tc>
          <w:tcPr>
            <w:tcW w:w="1843" w:type="dxa"/>
            <w:vAlign w:val="center"/>
          </w:tcPr>
          <w:p w:rsidR="00C97E0E" w:rsidRDefault="00763EE4">
            <w:pPr>
              <w:jc w:val="center"/>
            </w:pPr>
            <w:r>
              <w:rPr>
                <w:rFonts w:ascii="宋体" w:hAnsi="宋体"/>
                <w:color w:val="000000"/>
                <w:kern w:val="0"/>
              </w:rPr>
              <w:t>2017/10/1-2017/12/31</w:t>
            </w:r>
          </w:p>
        </w:tc>
        <w:tc>
          <w:tcPr>
            <w:tcW w:w="851" w:type="dxa"/>
            <w:vAlign w:val="center"/>
          </w:tcPr>
          <w:p w:rsidR="00C97E0E" w:rsidRDefault="00763EE4">
            <w:pPr>
              <w:jc w:val="center"/>
            </w:pPr>
            <w:r>
              <w:rPr>
                <w:rFonts w:ascii="宋体" w:hAnsi="宋体"/>
                <w:color w:val="000000"/>
                <w:kern w:val="0"/>
              </w:rPr>
              <w:t>186,036,440.77</w:t>
            </w:r>
          </w:p>
        </w:tc>
        <w:tc>
          <w:tcPr>
            <w:tcW w:w="850" w:type="dxa"/>
            <w:vAlign w:val="center"/>
          </w:tcPr>
          <w:p w:rsidR="00C97E0E" w:rsidRDefault="00763EE4">
            <w:pPr>
              <w:jc w:val="center"/>
            </w:pPr>
            <w:r>
              <w:rPr>
                <w:rFonts w:ascii="宋体" w:hAnsi="宋体"/>
                <w:color w:val="000000"/>
                <w:kern w:val="0"/>
              </w:rPr>
              <w:t>-</w:t>
            </w:r>
          </w:p>
        </w:tc>
        <w:tc>
          <w:tcPr>
            <w:tcW w:w="1134" w:type="dxa"/>
            <w:vAlign w:val="center"/>
          </w:tcPr>
          <w:p w:rsidR="00C97E0E" w:rsidRDefault="00763EE4">
            <w:pPr>
              <w:jc w:val="center"/>
            </w:pPr>
            <w:r>
              <w:rPr>
                <w:rFonts w:ascii="宋体" w:hAnsi="宋体"/>
                <w:color w:val="000000"/>
                <w:kern w:val="0"/>
              </w:rPr>
              <w:t>17,870,937.43</w:t>
            </w:r>
          </w:p>
        </w:tc>
        <w:tc>
          <w:tcPr>
            <w:tcW w:w="1419" w:type="dxa"/>
            <w:vAlign w:val="center"/>
          </w:tcPr>
          <w:p w:rsidR="00C97E0E" w:rsidRDefault="00763EE4">
            <w:pPr>
              <w:jc w:val="center"/>
            </w:pPr>
            <w:r>
              <w:rPr>
                <w:rFonts w:ascii="宋体" w:hAnsi="宋体"/>
                <w:color w:val="000000"/>
                <w:kern w:val="0"/>
              </w:rPr>
              <w:t>168,165,503.34</w:t>
            </w:r>
          </w:p>
        </w:tc>
        <w:tc>
          <w:tcPr>
            <w:tcW w:w="1130" w:type="dxa"/>
            <w:vAlign w:val="center"/>
          </w:tcPr>
          <w:p w:rsidR="00C97E0E" w:rsidRDefault="00763EE4">
            <w:pPr>
              <w:jc w:val="center"/>
            </w:pPr>
            <w:r>
              <w:rPr>
                <w:rFonts w:ascii="宋体" w:hAnsi="宋体"/>
                <w:color w:val="000000"/>
                <w:kern w:val="0"/>
              </w:rPr>
              <w:t>17.10%</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C97E0E" w:rsidRDefault="00763EE4">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、中国证监会准予交银施罗德新成长股票型证券投资基金募集注册的文件；</w:t>
      </w:r>
    </w:p>
    <w:p w:rsidR="00C97E0E" w:rsidRDefault="00763EE4">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、《交银施罗德新成长混合型证券投资基金基金合同》；</w:t>
      </w:r>
      <w:r>
        <w:rPr>
          <w:color w:val="000000"/>
          <w:sz w:val="24"/>
          <w:szCs w:val="24"/>
        </w:rPr>
        <w:t xml:space="preserve"> </w:t>
      </w:r>
    </w:p>
    <w:p w:rsidR="00C97E0E" w:rsidRDefault="00763EE4">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、《交银施罗德新成长混合型证券投资基金招募说明书》；</w:t>
      </w:r>
      <w:r>
        <w:rPr>
          <w:color w:val="000000"/>
          <w:sz w:val="24"/>
          <w:szCs w:val="24"/>
        </w:rPr>
        <w:t xml:space="preserve"> </w:t>
      </w:r>
    </w:p>
    <w:p w:rsidR="00C97E0E" w:rsidRDefault="00763EE4">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、《交银施罗德新成长混合型证券投资基金托管协议》；</w:t>
      </w:r>
    </w:p>
    <w:p w:rsidR="00C97E0E" w:rsidRDefault="00763EE4">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、关于申请募集注册交银施罗德新成长股票型证券投资基金的法律意见书；</w:t>
      </w:r>
      <w:r>
        <w:rPr>
          <w:color w:val="000000"/>
          <w:sz w:val="24"/>
          <w:szCs w:val="24"/>
        </w:rPr>
        <w:t xml:space="preserve"> </w:t>
      </w:r>
    </w:p>
    <w:p w:rsidR="00C97E0E" w:rsidRDefault="00763EE4">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C97E0E" w:rsidRDefault="00763EE4">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、报告期内交银施罗德新成长混合型证券投资基金在指定报刊上各项公告的原稿。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C97E0E" w:rsidRDefault="00763EE4">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lastRenderedPageBreak/>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B59" w:rsidRDefault="006C7B59" w:rsidP="00876D65">
      <w:r>
        <w:separator/>
      </w:r>
    </w:p>
  </w:endnote>
  <w:endnote w:type="continuationSeparator" w:id="0">
    <w:p w:rsidR="006C7B59" w:rsidRDefault="006C7B59"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F76A0F">
      <w:rPr>
        <w:noProof/>
        <w:kern w:val="0"/>
        <w:szCs w:val="21"/>
      </w:rPr>
      <w:t>3</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F76A0F">
      <w:rPr>
        <w:noProof/>
        <w:kern w:val="0"/>
        <w:szCs w:val="21"/>
      </w:rPr>
      <w:t>12</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B59" w:rsidRDefault="006C7B59" w:rsidP="00876D65">
      <w:r>
        <w:separator/>
      </w:r>
    </w:p>
  </w:footnote>
  <w:footnote w:type="continuationSeparator" w:id="0">
    <w:p w:rsidR="006C7B59" w:rsidRDefault="006C7B59"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B59"/>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3EE4"/>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4634D"/>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0E1"/>
    <w:rsid w:val="00B62AC1"/>
    <w:rsid w:val="00B64723"/>
    <w:rsid w:val="00B7378D"/>
    <w:rsid w:val="00B7444D"/>
    <w:rsid w:val="00B816A7"/>
    <w:rsid w:val="00B82413"/>
    <w:rsid w:val="00B85352"/>
    <w:rsid w:val="00B86CD8"/>
    <w:rsid w:val="00B87214"/>
    <w:rsid w:val="00B92FF5"/>
    <w:rsid w:val="00B959E6"/>
    <w:rsid w:val="00BA1E35"/>
    <w:rsid w:val="00BA604D"/>
    <w:rsid w:val="00BB1A0B"/>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1800"/>
    <w:rsid w:val="00C72F5B"/>
    <w:rsid w:val="00C73BCD"/>
    <w:rsid w:val="00C74E5E"/>
    <w:rsid w:val="00C77AEF"/>
    <w:rsid w:val="00C85A6E"/>
    <w:rsid w:val="00C87129"/>
    <w:rsid w:val="00C91E1B"/>
    <w:rsid w:val="00C9613D"/>
    <w:rsid w:val="00C9690F"/>
    <w:rsid w:val="00C97E0E"/>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9CD"/>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76A0F"/>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6828D4-A292-47FE-8C41-672C40DC0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2055C-E0B9-452B-9016-5CEFC1243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1796</TotalTime>
  <Pages>12</Pages>
  <Words>1103</Words>
  <Characters>6288</Characters>
  <Application>Microsoft Office Word</Application>
  <DocSecurity>0</DocSecurity>
  <Lines>52</Lines>
  <Paragraphs>14</Paragraphs>
  <ScaleCrop>false</ScaleCrop>
  <Company/>
  <LinksUpToDate>false</LinksUpToDate>
  <CharactersWithSpaces>7377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572</cp:revision>
  <dcterms:created xsi:type="dcterms:W3CDTF">2012-10-16T06:07:00Z</dcterms:created>
  <dcterms:modified xsi:type="dcterms:W3CDTF">2018-01-18T03:30:00Z</dcterms:modified>
</cp:coreProperties>
</file>