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交银施罗德增强收益债券型证券投资基金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2017年第4季度报告</w:t>
      </w:r>
    </w:p>
    <w:p w:rsidR="004061AC" w:rsidRPr="0081286B" w:rsidRDefault="00655CD8" w:rsidP="00C15CAC">
      <w:pPr>
        <w:spacing w:before="29" w:line="288" w:lineRule="auto"/>
        <w:jc w:val="center"/>
        <w:rPr>
          <w:b/>
          <w:sz w:val="36"/>
          <w:szCs w:val="36"/>
        </w:rPr>
      </w:pPr>
      <w:r w:rsidRPr="0081286B">
        <w:rPr>
          <w:b/>
          <w:sz w:val="36"/>
          <w:szCs w:val="36"/>
        </w:rPr>
        <w:t>2017年12月31日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二〇一八年一月二十二日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基金托管人中国建设银行股份有限公司根据本基金合同规定，于2018年1月19日复核了本报告中的财务指标、净值表现和投资组合报告等内容，保证复核内容不存在虚假记载、误导性陈述或者重大遗漏。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本报告期自2017年10月1日起至12月31日止。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2016年12月30日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37,581,503.83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90%×中证综合债券指数收益率+10%×沪深300指数收益率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本基金为债券型证券投资基金，其长期平均的预期收益和风险高于货币市场基金，低于混合型基金和股票型基金，属于证券投资基金中中等风险品种。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(2017年10月1日-2017年12月31日)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-534,580.40</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-14,053.78</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-0.0004</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47,711,504.08</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1.270</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-0.08%</w:t>
            </w:r>
          </w:p>
        </w:tc>
        <w:tc>
          <w:tcPr>
            <w:vAlign w:val="center"/>
          </w:tcPr>
          <w:p>
            <w:pPr>
              <w:jc w:val="center"/>
            </w:pPr>
            <w:r>
              <w:rPr>
                <w:color w:val="000000"/>
                <w:sz w:val="24"/>
                <w:szCs w:val="24"/>
              </w:rPr>
              <w:t>0.24%</w:t>
            </w:r>
          </w:p>
        </w:tc>
        <w:tc>
          <w:tcPr>
            <w:vAlign w:val="center"/>
          </w:tcPr>
          <w:p>
            <w:pPr>
              <w:jc w:val="center"/>
            </w:pPr>
            <w:r>
              <w:rPr>
                <w:color w:val="000000"/>
                <w:sz w:val="24"/>
                <w:szCs w:val="24"/>
              </w:rPr>
              <w:t>0.09%</w:t>
            </w:r>
          </w:p>
        </w:tc>
        <w:tc>
          <w:tcPr>
            <w:vAlign w:val="center"/>
          </w:tcPr>
          <w:p>
            <w:pPr>
              <w:jc w:val="center"/>
            </w:pPr>
            <w:r>
              <w:rPr>
                <w:color w:val="000000"/>
                <w:sz w:val="24"/>
                <w:szCs w:val="24"/>
              </w:rPr>
              <w:t>0.10%</w:t>
            </w:r>
          </w:p>
        </w:tc>
        <w:tc>
          <w:tcPr>
            <w:vAlign w:val="center"/>
          </w:tcPr>
          <w:p>
            <w:pPr>
              <w:jc w:val="center"/>
            </w:pPr>
            <w:r>
              <w:rPr>
                <w:color w:val="000000"/>
                <w:sz w:val="24"/>
                <w:szCs w:val="24"/>
              </w:rPr>
              <w:t>-0.17%</w:t>
            </w:r>
          </w:p>
        </w:tc>
        <w:tc>
          <w:tcPr>
            <w:vAlign w:val="center"/>
          </w:tcPr>
          <w:p>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交银施罗德增强收益债券型证券投资基金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2016年12月30日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2017年12月31日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泰保本混合型证券投资基金转型而来。基金转型日为2016年12月30日。本基金的投资转型期为交银施罗德荣泰保本混合型证券投资基金保本周期到期期间截止日的次日（即2016年12月30日）起的3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于海颖</w:t>
            </w:r>
          </w:p>
        </w:tc>
        <w:tc>
          <w:tcPr>
            <w:vAlign w:val="center"/>
          </w:tcPr>
          <w:p>
            <w:pPr>
              <w:jc w:val="center"/>
            </w:pPr>
            <w:r>
              <w:rPr>
                <w:color w:val="000000"/>
                <w:sz w:val="24"/>
                <w:szCs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vAlign w:val="center"/>
          </w:tcPr>
          <w:p>
            <w:pPr>
              <w:jc w:val="center"/>
            </w:pPr>
            <w:r>
              <w:rPr>
                <w:color w:val="000000"/>
                <w:sz w:val="24"/>
                <w:szCs w:val="24"/>
              </w:rPr>
              <w:t>2017-06-10</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本报告期内，经济数据表现依然强劲，对二级市场收益率产生压力。此外，央行保持中性货币政策，监管层推进金融监管意图坚决也影响了债市情绪，债市自十一月中旬击破年内高点后，出现了一轮明显下跌，随着央行对资金面相对呵护，叠加国开行等利率债发债主体在高利率环境下对发行计划进行了适度调整，市场情绪有所缓和，年末收益率高位企稳。</w:t>
      </w:r>
    </w:p>
    <w:p>
      <w:pPr>
        <w:spacing w:before="29" w:line="288" w:lineRule="auto"/>
        <w:ind w:firstLineChars="200" w:firstLine="480"/>
        <w:rPr>
          <w:color w:val="000000"/>
          <w:sz w:val="24"/>
          <w:szCs w:val="24"/>
        </w:rPr>
      </w:pPr>
      <w:r>
        <w:rPr>
          <w:color w:val="000000"/>
          <w:sz w:val="24"/>
          <w:szCs w:val="24"/>
        </w:rPr>
        <w:t>权益市场方面，四季度市场经历十月至十一月中旬的上涨后回落，在前期表现强势的板块方面，白酒、家电及保险保持相对强势，消费电子及新能源汽车则经历了阶段性调整。</w:t>
      </w:r>
    </w:p>
    <w:p>
      <w:pPr>
        <w:spacing w:before="29" w:line="288" w:lineRule="auto"/>
        <w:ind w:firstLineChars="200" w:firstLine="480"/>
        <w:rPr>
          <w:color w:val="000000"/>
          <w:sz w:val="24"/>
          <w:szCs w:val="24"/>
        </w:rPr>
      </w:pPr>
      <w:r>
        <w:rPr>
          <w:color w:val="000000"/>
          <w:sz w:val="24"/>
          <w:szCs w:val="24"/>
        </w:rPr>
        <w:t>报告期内，前期组合大部分债券仓位主要以偏短久期利率债为主，以维持组合的流动性，避免债市调整对组合收益的影响，并于十一月底债市调整到相对低位时适当拉长组合久期，提升组合静态收益。权益方面，我们重点关注代表着未来新兴产业升级与发展方向的成长股，并根据权益市场估值变动情况，动态调整组合仓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一季度，经济基本面面临一段数据真空期，市场对经济基本面强韧的预期也将维持。尽管通胀预期在一季度缓步上行，但对货币政策的约束尚不存在，短期我们对债市持谨慎态度。一季度过后若CPI冲高回落，监管政策落地情绪缓解，债市机会或阶段性出现。权益方面，一季度我们将从细分行业景气度及业绩指标精选个股，择机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截至2017年12月31日，本基金份额净值为1.270元，本报告期份额净值增长率为-0.08%，同期业绩比较基准增长率为0.09%。</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4,037,661.00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4,037,661.00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39,303,001.60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39,303,001.60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2,611,980.02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947,311.50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48,299,954.12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473,936.00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1,893,725.00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711,480.00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958,520.00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4,037,661.00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8.46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600885</w:t>
            </w:r>
          </w:p>
        </w:tc>
        <w:tc>
          <w:tcPr>
            <w:vAlign w:val="center"/>
          </w:tcPr>
          <w:p>
            <w:pPr>
              <w:jc w:val="center"/>
            </w:pPr>
            <w:r>
              <w:rPr>
                <w:color w:val="000000"/>
                <w:sz w:val="24"/>
                <w:szCs w:val="24"/>
              </w:rPr>
              <w:t>宏发股份</w:t>
            </w:r>
          </w:p>
        </w:tc>
        <w:tc>
          <w:tcPr>
            <w:vAlign w:val="center"/>
          </w:tcPr>
          <w:p>
            <w:pPr>
              <w:jc w:val="right"/>
            </w:pPr>
            <w:r>
              <w:rPr>
                <w:color w:val="000000"/>
                <w:sz w:val="24"/>
                <w:szCs w:val="24"/>
              </w:rPr>
              <w:t>33,900</w:t>
            </w:r>
          </w:p>
        </w:tc>
        <w:tc>
          <w:tcPr>
            <w:vAlign w:val="center"/>
          </w:tcPr>
          <w:p>
            <w:pPr>
              <w:jc w:val="right"/>
            </w:pPr>
            <w:r>
              <w:rPr>
                <w:color w:val="000000"/>
                <w:sz w:val="24"/>
                <w:szCs w:val="24"/>
              </w:rPr>
              <w:t>1,402,443.00</w:t>
            </w:r>
          </w:p>
        </w:tc>
        <w:tc>
          <w:tcPr>
            <w:vAlign w:val="center"/>
          </w:tcPr>
          <w:p>
            <w:pPr>
              <w:jc w:val="right"/>
            </w:pPr>
            <w:r>
              <w:rPr>
                <w:color w:val="000000"/>
                <w:sz w:val="24"/>
                <w:szCs w:val="24"/>
              </w:rPr>
              <w:t>2.94</w:t>
            </w:r>
          </w:p>
        </w:tc>
      </w:tr>
      <w:tr>
        <w:tc>
          <w:tcPr>
            <w:vAlign w:val="center"/>
          </w:tcPr>
          <w:p>
            <w:pPr>
              <w:jc w:val="center"/>
            </w:pPr>
            <w:r>
              <w:rPr>
                <w:color w:val="000000"/>
                <w:sz w:val="24"/>
                <w:szCs w:val="24"/>
              </w:rPr>
              <w:t>2</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154,600</w:t>
            </w:r>
          </w:p>
        </w:tc>
        <w:tc>
          <w:tcPr>
            <w:vAlign w:val="center"/>
          </w:tcPr>
          <w:p>
            <w:pPr>
              <w:jc w:val="right"/>
            </w:pPr>
            <w:r>
              <w:rPr>
                <w:color w:val="000000"/>
                <w:sz w:val="24"/>
                <w:szCs w:val="24"/>
              </w:rPr>
              <w:t>958,520.00</w:t>
            </w:r>
          </w:p>
        </w:tc>
        <w:tc>
          <w:tcPr>
            <w:vAlign w:val="center"/>
          </w:tcPr>
          <w:p>
            <w:pPr>
              <w:jc w:val="right"/>
            </w:pPr>
            <w:r>
              <w:rPr>
                <w:color w:val="000000"/>
                <w:sz w:val="24"/>
                <w:szCs w:val="24"/>
              </w:rPr>
              <w:t>2.01</w:t>
            </w:r>
          </w:p>
        </w:tc>
      </w:tr>
      <w:tr>
        <w:tc>
          <w:tcPr>
            <w:vAlign w:val="center"/>
          </w:tcPr>
          <w:p>
            <w:pPr>
              <w:jc w:val="center"/>
            </w:pPr>
            <w:r>
              <w:rPr>
                <w:color w:val="000000"/>
                <w:sz w:val="24"/>
                <w:szCs w:val="24"/>
              </w:rPr>
              <w:t>3</w:t>
            </w:r>
          </w:p>
        </w:tc>
        <w:tc>
          <w:tcPr>
            <w:vAlign w:val="center"/>
          </w:tcPr>
          <w:p>
            <w:pPr>
              <w:jc w:val="center"/>
            </w:pPr>
            <w:r>
              <w:rPr>
                <w:color w:val="000000"/>
                <w:sz w:val="24"/>
                <w:szCs w:val="24"/>
              </w:rPr>
              <w:t>002410</w:t>
            </w:r>
          </w:p>
        </w:tc>
        <w:tc>
          <w:tcPr>
            <w:vAlign w:val="center"/>
          </w:tcPr>
          <w:p>
            <w:pPr>
              <w:jc w:val="center"/>
            </w:pPr>
            <w:r>
              <w:rPr>
                <w:color w:val="000000"/>
                <w:sz w:val="24"/>
                <w:szCs w:val="24"/>
              </w:rPr>
              <w:t>广联达</w:t>
            </w:r>
          </w:p>
        </w:tc>
        <w:tc>
          <w:tcPr>
            <w:vAlign w:val="center"/>
          </w:tcPr>
          <w:p>
            <w:pPr>
              <w:jc w:val="right"/>
            </w:pPr>
            <w:r>
              <w:rPr>
                <w:color w:val="000000"/>
                <w:sz w:val="24"/>
                <w:szCs w:val="24"/>
              </w:rPr>
              <w:t>36,300</w:t>
            </w:r>
          </w:p>
        </w:tc>
        <w:tc>
          <w:tcPr>
            <w:vAlign w:val="center"/>
          </w:tcPr>
          <w:p>
            <w:pPr>
              <w:jc w:val="right"/>
            </w:pPr>
            <w:r>
              <w:rPr>
                <w:color w:val="000000"/>
                <w:sz w:val="24"/>
                <w:szCs w:val="24"/>
              </w:rPr>
              <w:t>711,480.00</w:t>
            </w:r>
          </w:p>
        </w:tc>
        <w:tc>
          <w:tcPr>
            <w:vAlign w:val="center"/>
          </w:tcPr>
          <w:p>
            <w:pPr>
              <w:jc w:val="right"/>
            </w:pPr>
            <w:r>
              <w:rPr>
                <w:color w:val="000000"/>
                <w:sz w:val="24"/>
                <w:szCs w:val="24"/>
              </w:rPr>
              <w:t>1.49</w:t>
            </w:r>
          </w:p>
        </w:tc>
      </w:tr>
      <w:tr>
        <w:tc>
          <w:tcPr>
            <w:vAlign w:val="center"/>
          </w:tcPr>
          <w:p>
            <w:pPr>
              <w:jc w:val="center"/>
            </w:pPr>
            <w:r>
              <w:rPr>
                <w:color w:val="000000"/>
                <w:sz w:val="24"/>
                <w:szCs w:val="24"/>
              </w:rPr>
              <w:t>4</w:t>
            </w:r>
          </w:p>
        </w:tc>
        <w:tc>
          <w:tcPr>
            <w:vAlign w:val="center"/>
          </w:tcPr>
          <w:p>
            <w:pPr>
              <w:jc w:val="center"/>
            </w:pPr>
            <w:r>
              <w:rPr>
                <w:color w:val="000000"/>
                <w:sz w:val="24"/>
                <w:szCs w:val="24"/>
              </w:rPr>
              <w:t>002035</w:t>
            </w:r>
          </w:p>
        </w:tc>
        <w:tc>
          <w:tcPr>
            <w:vAlign w:val="center"/>
          </w:tcPr>
          <w:p>
            <w:pPr>
              <w:jc w:val="center"/>
            </w:pPr>
            <w:r>
              <w:rPr>
                <w:color w:val="000000"/>
                <w:sz w:val="24"/>
                <w:szCs w:val="24"/>
              </w:rPr>
              <w:t>华帝股份</w:t>
            </w:r>
          </w:p>
        </w:tc>
        <w:tc>
          <w:tcPr>
            <w:vAlign w:val="center"/>
          </w:tcPr>
          <w:p>
            <w:pPr>
              <w:jc w:val="right"/>
            </w:pPr>
            <w:r>
              <w:rPr>
                <w:color w:val="000000"/>
                <w:sz w:val="24"/>
                <w:szCs w:val="24"/>
              </w:rPr>
              <w:t>16,300</w:t>
            </w:r>
          </w:p>
        </w:tc>
        <w:tc>
          <w:tcPr>
            <w:vAlign w:val="center"/>
          </w:tcPr>
          <w:p>
            <w:pPr>
              <w:jc w:val="right"/>
            </w:pPr>
            <w:r>
              <w:rPr>
                <w:color w:val="000000"/>
                <w:sz w:val="24"/>
                <w:szCs w:val="24"/>
              </w:rPr>
              <w:t>491,282.00</w:t>
            </w:r>
          </w:p>
        </w:tc>
        <w:tc>
          <w:tcPr>
            <w:vAlign w:val="center"/>
          </w:tcPr>
          <w:p>
            <w:pPr>
              <w:jc w:val="right"/>
            </w:pPr>
            <w:r>
              <w:rPr>
                <w:color w:val="000000"/>
                <w:sz w:val="24"/>
                <w:szCs w:val="24"/>
              </w:rPr>
              <w:t>1.03</w:t>
            </w:r>
          </w:p>
        </w:tc>
      </w:tr>
      <w:tr>
        <w:tc>
          <w:tcPr>
            <w:vAlign w:val="center"/>
          </w:tcPr>
          <w:p>
            <w:pPr>
              <w:jc w:val="center"/>
            </w:pPr>
            <w:r>
              <w:rPr>
                <w:color w:val="000000"/>
                <w:sz w:val="24"/>
                <w:szCs w:val="24"/>
              </w:rPr>
              <w:t>5</w:t>
            </w:r>
          </w:p>
        </w:tc>
        <w:tc>
          <w:tcPr>
            <w:vAlign w:val="center"/>
          </w:tcPr>
          <w:p>
            <w:pPr>
              <w:jc w:val="center"/>
            </w:pPr>
            <w:r>
              <w:rPr>
                <w:color w:val="000000"/>
                <w:sz w:val="24"/>
                <w:szCs w:val="24"/>
              </w:rPr>
              <w:t>600547</w:t>
            </w:r>
          </w:p>
        </w:tc>
        <w:tc>
          <w:tcPr>
            <w:vAlign w:val="center"/>
          </w:tcPr>
          <w:p>
            <w:pPr>
              <w:jc w:val="center"/>
            </w:pPr>
            <w:r>
              <w:rPr>
                <w:color w:val="000000"/>
                <w:sz w:val="24"/>
                <w:szCs w:val="24"/>
              </w:rPr>
              <w:t>山东黄金</w:t>
            </w:r>
          </w:p>
        </w:tc>
        <w:tc>
          <w:tcPr>
            <w:vAlign w:val="center"/>
          </w:tcPr>
          <w:p>
            <w:pPr>
              <w:jc w:val="right"/>
            </w:pPr>
            <w:r>
              <w:rPr>
                <w:color w:val="000000"/>
                <w:sz w:val="24"/>
                <w:szCs w:val="24"/>
              </w:rPr>
              <w:t>15,200</w:t>
            </w:r>
          </w:p>
        </w:tc>
        <w:tc>
          <w:tcPr>
            <w:vAlign w:val="center"/>
          </w:tcPr>
          <w:p>
            <w:pPr>
              <w:jc w:val="right"/>
            </w:pPr>
            <w:r>
              <w:rPr>
                <w:color w:val="000000"/>
                <w:sz w:val="24"/>
                <w:szCs w:val="24"/>
              </w:rPr>
              <w:t>473,936.00</w:t>
            </w:r>
          </w:p>
        </w:tc>
        <w:tc>
          <w:tcPr>
            <w:vAlign w:val="center"/>
          </w:tcPr>
          <w:p>
            <w:pPr>
              <w:jc w:val="right"/>
            </w:pPr>
            <w:r>
              <w:rPr>
                <w:color w:val="000000"/>
                <w:sz w:val="24"/>
                <w:szCs w:val="24"/>
              </w:rPr>
              <w:t>0.99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18,550,737.80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38.88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20,752,263.80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20,752,263.80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39,303,001.60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82.38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018005</w:t>
            </w:r>
          </w:p>
        </w:tc>
        <w:tc>
          <w:tcPr>
            <w:vAlign w:val="center"/>
          </w:tcPr>
          <w:p>
            <w:pPr>
              <w:jc w:val="center"/>
            </w:pPr>
            <w:r>
              <w:rPr>
                <w:color w:val="000000"/>
                <w:sz w:val="24"/>
                <w:szCs w:val="24"/>
              </w:rPr>
              <w:t>国开1701</w:t>
            </w:r>
          </w:p>
        </w:tc>
        <w:tc>
          <w:tcPr>
            <w:vAlign w:val="center"/>
          </w:tcPr>
          <w:p>
            <w:pPr>
              <w:jc w:val="right"/>
            </w:pPr>
            <w:r>
              <w:rPr>
                <w:color w:val="000000"/>
                <w:sz w:val="24"/>
                <w:szCs w:val="24"/>
              </w:rPr>
              <w:t>161,420</w:t>
            </w:r>
          </w:p>
        </w:tc>
        <w:tc>
          <w:tcPr>
            <w:vAlign w:val="center"/>
          </w:tcPr>
          <w:p>
            <w:pPr>
              <w:jc w:val="right"/>
            </w:pPr>
            <w:r>
              <w:rPr>
                <w:color w:val="000000"/>
                <w:sz w:val="24"/>
                <w:szCs w:val="24"/>
              </w:rPr>
              <w:t>15,962,823.80</w:t>
            </w:r>
          </w:p>
        </w:tc>
        <w:tc>
          <w:tcPr>
            <w:vAlign w:val="center"/>
          </w:tcPr>
          <w:p>
            <w:pPr>
              <w:jc w:val="right"/>
            </w:pPr>
            <w:r>
              <w:rPr>
                <w:color w:val="000000"/>
                <w:sz w:val="24"/>
                <w:szCs w:val="24"/>
              </w:rPr>
              <w:t>33.46</w:t>
            </w:r>
          </w:p>
        </w:tc>
      </w:tr>
      <w:tr>
        <w:tc>
          <w:tcPr>
            <w:vAlign w:val="center"/>
          </w:tcPr>
          <w:p>
            <w:pPr>
              <w:jc w:val="center"/>
            </w:pPr>
            <w:r>
              <w:rPr>
                <w:color w:val="000000"/>
                <w:sz w:val="24"/>
                <w:szCs w:val="24"/>
              </w:rPr>
              <w:t>2</w:t>
            </w:r>
          </w:p>
        </w:tc>
        <w:tc>
          <w:tcPr>
            <w:vAlign w:val="center"/>
          </w:tcPr>
          <w:p>
            <w:pPr>
              <w:jc w:val="center"/>
            </w:pPr>
            <w:r>
              <w:rPr>
                <w:color w:val="000000"/>
                <w:sz w:val="24"/>
                <w:szCs w:val="24"/>
              </w:rPr>
              <w:t>179934</w:t>
            </w:r>
          </w:p>
        </w:tc>
        <w:tc>
          <w:tcPr>
            <w:vAlign w:val="center"/>
          </w:tcPr>
          <w:p>
            <w:pPr>
              <w:jc w:val="center"/>
            </w:pPr>
            <w:r>
              <w:rPr>
                <w:color w:val="000000"/>
                <w:sz w:val="24"/>
                <w:szCs w:val="24"/>
              </w:rPr>
              <w:t>17贴现国债34</w:t>
            </w:r>
          </w:p>
        </w:tc>
        <w:tc>
          <w:tcPr>
            <w:vAlign w:val="center"/>
          </w:tcPr>
          <w:p>
            <w:pPr>
              <w:jc w:val="right"/>
            </w:pPr>
            <w:r>
              <w:rPr>
                <w:color w:val="000000"/>
                <w:sz w:val="24"/>
                <w:szCs w:val="24"/>
              </w:rPr>
              <w:t>100,000</w:t>
            </w:r>
          </w:p>
        </w:tc>
        <w:tc>
          <w:tcPr>
            <w:vAlign w:val="center"/>
          </w:tcPr>
          <w:p>
            <w:pPr>
              <w:jc w:val="right"/>
            </w:pPr>
            <w:r>
              <w:rPr>
                <w:color w:val="000000"/>
                <w:sz w:val="24"/>
                <w:szCs w:val="24"/>
              </w:rPr>
              <w:t>9,833,000.00</w:t>
            </w:r>
          </w:p>
        </w:tc>
        <w:tc>
          <w:tcPr>
            <w:vAlign w:val="center"/>
          </w:tcPr>
          <w:p>
            <w:pPr>
              <w:jc w:val="right"/>
            </w:pPr>
            <w:r>
              <w:rPr>
                <w:color w:val="000000"/>
                <w:sz w:val="24"/>
                <w:szCs w:val="24"/>
              </w:rPr>
              <w:t>20.61</w:t>
            </w:r>
          </w:p>
        </w:tc>
      </w:tr>
      <w:tr>
        <w:tc>
          <w:tcPr>
            <w:vAlign w:val="center"/>
          </w:tcPr>
          <w:p>
            <w:pPr>
              <w:jc w:val="center"/>
            </w:pPr>
            <w:r>
              <w:rPr>
                <w:color w:val="000000"/>
                <w:sz w:val="24"/>
                <w:szCs w:val="24"/>
              </w:rPr>
              <w:t>3</w:t>
            </w:r>
          </w:p>
        </w:tc>
        <w:tc>
          <w:tcPr>
            <w:vAlign w:val="center"/>
          </w:tcPr>
          <w:p>
            <w:pPr>
              <w:jc w:val="center"/>
            </w:pPr>
            <w:r>
              <w:rPr>
                <w:color w:val="000000"/>
                <w:sz w:val="24"/>
                <w:szCs w:val="24"/>
              </w:rPr>
              <w:t>010303</w:t>
            </w:r>
          </w:p>
        </w:tc>
        <w:tc>
          <w:tcPr>
            <w:vAlign w:val="center"/>
          </w:tcPr>
          <w:p>
            <w:pPr>
              <w:jc w:val="center"/>
            </w:pPr>
            <w:r>
              <w:rPr>
                <w:color w:val="000000"/>
                <w:sz w:val="24"/>
                <w:szCs w:val="24"/>
              </w:rPr>
              <w:t>03国债⑶</w:t>
            </w:r>
          </w:p>
        </w:tc>
        <w:tc>
          <w:tcPr>
            <w:vAlign w:val="center"/>
          </w:tcPr>
          <w:p>
            <w:pPr>
              <w:jc w:val="right"/>
            </w:pPr>
            <w:r>
              <w:rPr>
                <w:color w:val="000000"/>
                <w:sz w:val="24"/>
                <w:szCs w:val="24"/>
              </w:rPr>
              <w:t>53,240</w:t>
            </w:r>
          </w:p>
        </w:tc>
        <w:tc>
          <w:tcPr>
            <w:vAlign w:val="center"/>
          </w:tcPr>
          <w:p>
            <w:pPr>
              <w:jc w:val="right"/>
            </w:pPr>
            <w:r>
              <w:rPr>
                <w:color w:val="000000"/>
                <w:sz w:val="24"/>
                <w:szCs w:val="24"/>
              </w:rPr>
              <w:t>5,103,054.00</w:t>
            </w:r>
          </w:p>
        </w:tc>
        <w:tc>
          <w:tcPr>
            <w:vAlign w:val="center"/>
          </w:tcPr>
          <w:p>
            <w:pPr>
              <w:jc w:val="right"/>
            </w:pPr>
            <w:r>
              <w:rPr>
                <w:color w:val="000000"/>
                <w:sz w:val="24"/>
                <w:szCs w:val="24"/>
              </w:rPr>
              <w:t>10.70</w:t>
            </w:r>
          </w:p>
        </w:tc>
      </w:tr>
      <w:tr>
        <w:tc>
          <w:tcPr>
            <w:vAlign w:val="center"/>
          </w:tcPr>
          <w:p>
            <w:pPr>
              <w:jc w:val="center"/>
            </w:pPr>
            <w:r>
              <w:rPr>
                <w:color w:val="000000"/>
                <w:sz w:val="24"/>
                <w:szCs w:val="24"/>
              </w:rPr>
              <w:t>4</w:t>
            </w:r>
          </w:p>
        </w:tc>
        <w:tc>
          <w:tcPr>
            <w:vAlign w:val="center"/>
          </w:tcPr>
          <w:p>
            <w:pPr>
              <w:jc w:val="center"/>
            </w:pPr>
            <w:r>
              <w:rPr>
                <w:color w:val="000000"/>
                <w:sz w:val="24"/>
                <w:szCs w:val="24"/>
              </w:rPr>
              <w:t>108601</w:t>
            </w:r>
          </w:p>
        </w:tc>
        <w:tc>
          <w:tcPr>
            <w:vAlign w:val="center"/>
          </w:tcPr>
          <w:p>
            <w:pPr>
              <w:jc w:val="center"/>
            </w:pPr>
            <w:r>
              <w:rPr>
                <w:color w:val="000000"/>
                <w:sz w:val="24"/>
                <w:szCs w:val="24"/>
              </w:rPr>
              <w:t>国开1703</w:t>
            </w:r>
          </w:p>
        </w:tc>
        <w:tc>
          <w:tcPr>
            <w:vAlign w:val="center"/>
          </w:tcPr>
          <w:p>
            <w:pPr>
              <w:jc w:val="right"/>
            </w:pPr>
            <w:r>
              <w:rPr>
                <w:color w:val="000000"/>
                <w:sz w:val="24"/>
                <w:szCs w:val="24"/>
              </w:rPr>
              <w:t>48,000</w:t>
            </w:r>
          </w:p>
        </w:tc>
        <w:tc>
          <w:tcPr>
            <w:vAlign w:val="center"/>
          </w:tcPr>
          <w:p>
            <w:pPr>
              <w:jc w:val="right"/>
            </w:pPr>
            <w:r>
              <w:rPr>
                <w:color w:val="000000"/>
                <w:sz w:val="24"/>
                <w:szCs w:val="24"/>
              </w:rPr>
              <w:t>4,789,440.00</w:t>
            </w:r>
          </w:p>
        </w:tc>
        <w:tc>
          <w:tcPr>
            <w:vAlign w:val="center"/>
          </w:tcPr>
          <w:p>
            <w:pPr>
              <w:jc w:val="right"/>
            </w:pPr>
            <w:r>
              <w:rPr>
                <w:color w:val="000000"/>
                <w:sz w:val="24"/>
                <w:szCs w:val="24"/>
              </w:rPr>
              <w:t>10.04</w:t>
            </w:r>
          </w:p>
        </w:tc>
      </w:tr>
      <w:tr>
        <w:tc>
          <w:tcPr>
            <w:vAlign w:val="center"/>
          </w:tcPr>
          <w:p>
            <w:pPr>
              <w:jc w:val="center"/>
            </w:pPr>
            <w:r>
              <w:rPr>
                <w:color w:val="000000"/>
                <w:sz w:val="24"/>
                <w:szCs w:val="24"/>
              </w:rPr>
              <w:t>5</w:t>
            </w:r>
          </w:p>
        </w:tc>
        <w:tc>
          <w:tcPr>
            <w:vAlign w:val="center"/>
          </w:tcPr>
          <w:p>
            <w:pPr>
              <w:jc w:val="center"/>
            </w:pPr>
            <w:r>
              <w:rPr>
                <w:color w:val="000000"/>
                <w:sz w:val="24"/>
                <w:szCs w:val="24"/>
              </w:rPr>
              <w:t>010107</w:t>
            </w:r>
          </w:p>
        </w:tc>
        <w:tc>
          <w:tcPr>
            <w:vAlign w:val="center"/>
          </w:tcPr>
          <w:p>
            <w:pPr>
              <w:jc w:val="center"/>
            </w:pPr>
            <w:r>
              <w:rPr>
                <w:color w:val="000000"/>
                <w:sz w:val="24"/>
                <w:szCs w:val="24"/>
              </w:rPr>
              <w:t>21国债⑺</w:t>
            </w:r>
          </w:p>
        </w:tc>
        <w:tc>
          <w:tcPr>
            <w:vAlign w:val="center"/>
          </w:tcPr>
          <w:p>
            <w:pPr>
              <w:jc w:val="right"/>
            </w:pPr>
            <w:r>
              <w:rPr>
                <w:color w:val="000000"/>
                <w:sz w:val="24"/>
                <w:szCs w:val="24"/>
              </w:rPr>
              <w:t>36,010</w:t>
            </w:r>
          </w:p>
        </w:tc>
        <w:tc>
          <w:tcPr>
            <w:vAlign w:val="center"/>
          </w:tcPr>
          <w:p>
            <w:pPr>
              <w:jc w:val="right"/>
            </w:pPr>
            <w:r>
              <w:rPr>
                <w:color w:val="000000"/>
                <w:sz w:val="24"/>
                <w:szCs w:val="24"/>
              </w:rPr>
              <w:t>3,614,683.80</w:t>
            </w:r>
          </w:p>
        </w:tc>
        <w:tc>
          <w:tcPr>
            <w:vAlign w:val="center"/>
          </w:tcPr>
          <w:p>
            <w:pPr>
              <w:jc w:val="right"/>
            </w:pPr>
            <w:r>
              <w:rPr>
                <w:color w:val="000000"/>
                <w:sz w:val="24"/>
                <w:szCs w:val="24"/>
              </w:rPr>
              <w:t>7.58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34,506.19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87,095.05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825,710.26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947,311.50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35,537,817.45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17,003,244.86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14,959,558.48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37,581,503.83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1、中国证监会批准交银施罗德荣泰保本混合型证券投资基金募集的文件； </w:t>
      </w:r>
    </w:p>
    <w:p>
      <w:pPr>
        <w:spacing w:before="29" w:line="288" w:lineRule="auto"/>
        <w:ind w:firstLineChars="200" w:firstLine="480"/>
        <w:rPr>
          <w:color w:val="000000"/>
          <w:sz w:val="24"/>
          <w:szCs w:val="24"/>
        </w:rPr>
      </w:pPr>
      <w:r>
        <w:rPr>
          <w:color w:val="000000"/>
          <w:sz w:val="24"/>
          <w:szCs w:val="24"/>
        </w:rPr>
        <w:t>2、《交银施罗德增强收益债券型证券投资基金基金合同》；</w:t>
      </w:r>
    </w:p>
    <w:p>
      <w:pPr>
        <w:spacing w:before="29" w:line="288" w:lineRule="auto"/>
        <w:ind w:firstLineChars="200" w:firstLine="480"/>
        <w:rPr>
          <w:color w:val="000000"/>
          <w:sz w:val="24"/>
          <w:szCs w:val="24"/>
        </w:rPr>
      </w:pPr>
      <w:r>
        <w:rPr>
          <w:color w:val="000000"/>
          <w:sz w:val="24"/>
          <w:szCs w:val="24"/>
        </w:rPr>
        <w:t>3、《交银施罗德增强收益债券型证券投资基金招募说明书》；</w:t>
      </w:r>
    </w:p>
    <w:p>
      <w:pPr>
        <w:spacing w:before="29" w:line="288" w:lineRule="auto"/>
        <w:ind w:firstLineChars="200" w:firstLine="480"/>
        <w:rPr>
          <w:color w:val="000000"/>
          <w:sz w:val="24"/>
          <w:szCs w:val="24"/>
        </w:rPr>
      </w:pPr>
      <w:r>
        <w:rPr>
          <w:color w:val="000000"/>
          <w:sz w:val="24"/>
          <w:szCs w:val="24"/>
        </w:rPr>
        <w:t>4、《交银施罗德增强收益债券型证券投资基金托管协议》；</w:t>
      </w:r>
    </w:p>
    <w:p>
      <w:pPr>
        <w:spacing w:before="29" w:line="288" w:lineRule="auto"/>
        <w:ind w:firstLineChars="200" w:firstLine="480"/>
        <w:rPr>
          <w:color w:val="000000"/>
          <w:sz w:val="24"/>
          <w:szCs w:val="24"/>
        </w:rPr>
      </w:pPr>
      <w:r>
        <w:rPr>
          <w:color w:val="000000"/>
          <w:sz w:val="24"/>
          <w:szCs w:val="24"/>
        </w:rPr>
        <w:t>5、《交银施罗德荣泰保本混合型证券投资基金基金合同》；</w:t>
      </w:r>
    </w:p>
    <w:p>
      <w:pPr>
        <w:spacing w:before="29" w:line="288" w:lineRule="auto"/>
        <w:ind w:firstLineChars="200" w:firstLine="480"/>
        <w:rPr>
          <w:color w:val="000000"/>
          <w:sz w:val="24"/>
          <w:szCs w:val="24"/>
        </w:rPr>
      </w:pPr>
      <w:r>
        <w:rPr>
          <w:color w:val="000000"/>
          <w:sz w:val="24"/>
          <w:szCs w:val="24"/>
        </w:rPr>
        <w:t>6、《交银施罗德荣泰保本混合型证券投资基金招募说明书》；</w:t>
      </w:r>
    </w:p>
    <w:p>
      <w:pPr>
        <w:spacing w:before="29" w:line="288" w:lineRule="auto"/>
        <w:ind w:firstLineChars="200" w:firstLine="480"/>
        <w:rPr>
          <w:color w:val="000000"/>
          <w:sz w:val="24"/>
          <w:szCs w:val="24"/>
        </w:rPr>
      </w:pPr>
      <w:r>
        <w:rPr>
          <w:color w:val="000000"/>
          <w:sz w:val="24"/>
          <w:szCs w:val="24"/>
        </w:rPr>
        <w:t>7、《交银施罗德荣泰保本混合型证券投资基金托管协议》；</w:t>
      </w:r>
    </w:p>
    <w:p>
      <w:pPr>
        <w:spacing w:before="29" w:line="288" w:lineRule="auto"/>
        <w:ind w:firstLineChars="200" w:firstLine="480"/>
        <w:rPr>
          <w:color w:val="000000"/>
          <w:sz w:val="24"/>
          <w:szCs w:val="24"/>
        </w:rPr>
      </w:pPr>
      <w:r>
        <w:rPr>
          <w:color w:val="000000"/>
          <w:sz w:val="24"/>
          <w:szCs w:val="24"/>
        </w:rPr>
        <w:t xml:space="preserve">8、《交银施罗德荣泰保本混合型证券投资基金保证合同》； </w:t>
      </w:r>
    </w:p>
    <w:p>
      <w:pPr>
        <w:spacing w:before="29" w:line="288" w:lineRule="auto"/>
        <w:ind w:firstLineChars="200" w:firstLine="480"/>
        <w:rPr>
          <w:color w:val="000000"/>
          <w:sz w:val="24"/>
          <w:szCs w:val="24"/>
        </w:rPr>
      </w:pPr>
      <w:r>
        <w:rPr>
          <w:color w:val="000000"/>
          <w:sz w:val="24"/>
          <w:szCs w:val="24"/>
        </w:rPr>
        <w:t>9、基金管理人业务资格批件、营业执照；</w:t>
      </w:r>
    </w:p>
    <w:p>
      <w:pPr>
        <w:spacing w:before="29" w:line="288" w:lineRule="auto"/>
        <w:ind w:firstLineChars="200" w:firstLine="480"/>
        <w:rPr>
          <w:color w:val="000000"/>
          <w:sz w:val="24"/>
          <w:szCs w:val="24"/>
        </w:rPr>
      </w:pPr>
      <w:r>
        <w:rPr>
          <w:color w:val="000000"/>
          <w:sz w:val="24"/>
          <w:szCs w:val="24"/>
        </w:rPr>
        <w:t>10、基金托管人业务资格批件、营业执照；</w:t>
      </w:r>
    </w:p>
    <w:p>
      <w:pPr>
        <w:spacing w:before="29" w:line="288" w:lineRule="auto"/>
        <w:ind w:firstLineChars="200" w:firstLine="480"/>
        <w:rPr>
          <w:color w:val="000000"/>
          <w:sz w:val="24"/>
          <w:szCs w:val="24"/>
        </w:rPr>
      </w:pPr>
      <w:r>
        <w:rPr>
          <w:color w:val="000000"/>
          <w:sz w:val="24"/>
          <w:szCs w:val="24"/>
        </w:rPr>
        <w:t>11、关于申请募集交银施罗德荣泰保本混合型证券投资基金之法律意见书；</w:t>
      </w:r>
    </w:p>
    <w:p>
      <w:pPr>
        <w:spacing w:before="29" w:line="288" w:lineRule="auto"/>
        <w:ind w:firstLineChars="200" w:firstLine="480"/>
        <w:rPr>
          <w:color w:val="000000"/>
          <w:sz w:val="24"/>
          <w:szCs w:val="24"/>
        </w:rPr>
      </w:pPr>
      <w:r>
        <w:rPr>
          <w:color w:val="000000"/>
          <w:sz w:val="24"/>
          <w:szCs w:val="24"/>
        </w:rPr>
        <w:t>12、关于交银施罗德荣泰保本混合型证券投资基金保本周期到期转型及基金合同修改的法律意见；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13、报告期内交银施罗德增强收益债券型证券投资基金、交银施罗德荣泰保本混合型证券投资基金在指定报刊上各项公告的原稿。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