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1134E" w:rsidRDefault="008D5B6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1134E" w:rsidRDefault="008D5B6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1134E" w:rsidRDefault="008D5B6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1134E" w:rsidRDefault="008D5B6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1134E" w:rsidRDefault="008D5B6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86,768,456.33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D5B6E" w:rsidRPr="00414345" w:rsidTr="008D5B6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D5B6E" w:rsidRPr="00414345" w:rsidTr="008D5B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9,235,733.67</w:t>
            </w:r>
          </w:p>
        </w:tc>
      </w:tr>
      <w:tr w:rsidR="008D5B6E" w:rsidRPr="00414345" w:rsidTr="008D5B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13,260,216.18</w:t>
            </w:r>
          </w:p>
        </w:tc>
      </w:tr>
      <w:tr w:rsidR="008D5B6E" w:rsidRPr="00414345" w:rsidTr="008D5B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075511">
            <w:pPr>
              <w:adjustRightInd w:val="0"/>
              <w:spacing w:before="29" w:line="288" w:lineRule="auto"/>
              <w:ind w:left="17"/>
              <w:jc w:val="right"/>
              <w:rPr>
                <w:color w:val="000000"/>
                <w:sz w:val="24"/>
                <w:szCs w:val="24"/>
              </w:rPr>
            </w:pPr>
            <w:r w:rsidRPr="00414345">
              <w:rPr>
                <w:color w:val="000000"/>
                <w:sz w:val="24"/>
                <w:szCs w:val="24"/>
              </w:rPr>
              <w:t>0.</w:t>
            </w:r>
            <w:r w:rsidR="00075511" w:rsidRPr="00414345">
              <w:rPr>
                <w:color w:val="000000"/>
                <w:sz w:val="24"/>
                <w:szCs w:val="24"/>
              </w:rPr>
              <w:t>178</w:t>
            </w:r>
            <w:r w:rsidR="00075511">
              <w:rPr>
                <w:color w:val="000000"/>
                <w:sz w:val="24"/>
                <w:szCs w:val="24"/>
              </w:rPr>
              <w:t>2</w:t>
            </w:r>
          </w:p>
        </w:tc>
      </w:tr>
      <w:tr w:rsidR="008D5B6E" w:rsidRPr="00414345" w:rsidTr="008D5B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238,786,210.75</w:t>
            </w:r>
          </w:p>
        </w:tc>
      </w:tr>
      <w:tr w:rsidR="008D5B6E" w:rsidRPr="00414345" w:rsidTr="008D5B6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2.752</w:t>
            </w:r>
          </w:p>
        </w:tc>
      </w:tr>
    </w:tbl>
    <w:p w:rsidR="0031134E" w:rsidRDefault="008D5B6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1134E">
        <w:trPr>
          <w:jc w:val="center"/>
        </w:trPr>
        <w:tc>
          <w:tcPr>
            <w:tcW w:w="1701" w:type="dxa"/>
            <w:vAlign w:val="center"/>
          </w:tcPr>
          <w:p w:rsidR="0031134E" w:rsidRDefault="008D5B6E">
            <w:pPr>
              <w:jc w:val="left"/>
            </w:pPr>
            <w:r>
              <w:rPr>
                <w:color w:val="000000"/>
                <w:sz w:val="24"/>
                <w:szCs w:val="24"/>
              </w:rPr>
              <w:t>过去三个月</w:t>
            </w:r>
          </w:p>
        </w:tc>
        <w:tc>
          <w:tcPr>
            <w:tcW w:w="1045" w:type="dxa"/>
            <w:vAlign w:val="center"/>
          </w:tcPr>
          <w:p w:rsidR="0031134E" w:rsidRDefault="008D5B6E">
            <w:pPr>
              <w:jc w:val="center"/>
            </w:pPr>
            <w:r>
              <w:rPr>
                <w:color w:val="000000"/>
                <w:sz w:val="24"/>
                <w:szCs w:val="24"/>
              </w:rPr>
              <w:t>8.26%</w:t>
            </w:r>
          </w:p>
        </w:tc>
        <w:tc>
          <w:tcPr>
            <w:tcW w:w="1344" w:type="dxa"/>
            <w:vAlign w:val="center"/>
          </w:tcPr>
          <w:p w:rsidR="0031134E" w:rsidRDefault="008D5B6E">
            <w:pPr>
              <w:jc w:val="center"/>
            </w:pPr>
            <w:r>
              <w:rPr>
                <w:color w:val="000000"/>
                <w:sz w:val="24"/>
                <w:szCs w:val="24"/>
              </w:rPr>
              <w:t>1.05%</w:t>
            </w:r>
          </w:p>
        </w:tc>
        <w:tc>
          <w:tcPr>
            <w:tcW w:w="1194" w:type="dxa"/>
            <w:vAlign w:val="center"/>
          </w:tcPr>
          <w:p w:rsidR="0031134E" w:rsidRDefault="008D5B6E">
            <w:pPr>
              <w:jc w:val="center"/>
            </w:pPr>
            <w:r>
              <w:rPr>
                <w:color w:val="000000"/>
                <w:sz w:val="24"/>
                <w:szCs w:val="24"/>
              </w:rPr>
              <w:t>0.29%</w:t>
            </w:r>
          </w:p>
        </w:tc>
        <w:tc>
          <w:tcPr>
            <w:tcW w:w="1492" w:type="dxa"/>
            <w:vAlign w:val="center"/>
          </w:tcPr>
          <w:p w:rsidR="0031134E" w:rsidRDefault="008D5B6E">
            <w:pPr>
              <w:jc w:val="center"/>
            </w:pPr>
            <w:r>
              <w:rPr>
                <w:color w:val="000000"/>
                <w:sz w:val="24"/>
                <w:szCs w:val="24"/>
              </w:rPr>
              <w:t>0.31%</w:t>
            </w:r>
          </w:p>
        </w:tc>
        <w:tc>
          <w:tcPr>
            <w:tcW w:w="1194" w:type="dxa"/>
            <w:vAlign w:val="center"/>
          </w:tcPr>
          <w:p w:rsidR="0031134E" w:rsidRDefault="008D5B6E">
            <w:pPr>
              <w:jc w:val="center"/>
            </w:pPr>
            <w:r>
              <w:rPr>
                <w:color w:val="000000"/>
                <w:sz w:val="24"/>
                <w:szCs w:val="24"/>
              </w:rPr>
              <w:t>7.97%</w:t>
            </w:r>
          </w:p>
        </w:tc>
        <w:tc>
          <w:tcPr>
            <w:tcW w:w="898" w:type="dxa"/>
            <w:vAlign w:val="center"/>
          </w:tcPr>
          <w:p w:rsidR="0031134E" w:rsidRDefault="008D5B6E">
            <w:pPr>
              <w:jc w:val="center"/>
            </w:pPr>
            <w:r>
              <w:rPr>
                <w:color w:val="000000"/>
                <w:sz w:val="24"/>
                <w:szCs w:val="24"/>
              </w:rPr>
              <w:t>0.74%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1134E">
        <w:trPr>
          <w:jc w:val="center"/>
        </w:trPr>
        <w:tc>
          <w:tcPr>
            <w:tcW w:w="846" w:type="dxa"/>
            <w:vAlign w:val="center"/>
          </w:tcPr>
          <w:p w:rsidR="0031134E" w:rsidRDefault="008D5B6E">
            <w:pPr>
              <w:jc w:val="center"/>
            </w:pPr>
            <w:r>
              <w:rPr>
                <w:color w:val="000000"/>
                <w:sz w:val="24"/>
                <w:szCs w:val="24"/>
              </w:rPr>
              <w:t>杨浩</w:t>
            </w:r>
          </w:p>
        </w:tc>
        <w:tc>
          <w:tcPr>
            <w:tcW w:w="845" w:type="dxa"/>
            <w:vAlign w:val="center"/>
          </w:tcPr>
          <w:p w:rsidR="0031134E" w:rsidRDefault="008D5B6E">
            <w:pPr>
              <w:jc w:val="center"/>
            </w:pPr>
            <w:r>
              <w:rPr>
                <w:color w:val="000000"/>
                <w:sz w:val="24"/>
                <w:szCs w:val="24"/>
              </w:rPr>
              <w:t>交银定期支付双息平衡混合、交银新生活力灵活配置混合的基金经理</w:t>
            </w:r>
          </w:p>
        </w:tc>
        <w:tc>
          <w:tcPr>
            <w:tcW w:w="1549" w:type="dxa"/>
            <w:vAlign w:val="center"/>
          </w:tcPr>
          <w:p w:rsidR="0031134E" w:rsidRDefault="008D5B6E">
            <w:pPr>
              <w:jc w:val="center"/>
            </w:pPr>
            <w:r>
              <w:rPr>
                <w:color w:val="000000"/>
                <w:sz w:val="24"/>
                <w:szCs w:val="24"/>
              </w:rPr>
              <w:t>2015-08-15</w:t>
            </w:r>
          </w:p>
        </w:tc>
        <w:tc>
          <w:tcPr>
            <w:tcW w:w="1548" w:type="dxa"/>
            <w:vAlign w:val="center"/>
          </w:tcPr>
          <w:p w:rsidR="0031134E" w:rsidRDefault="008D5B6E">
            <w:pPr>
              <w:jc w:val="center"/>
            </w:pPr>
            <w:r>
              <w:rPr>
                <w:color w:val="000000"/>
                <w:sz w:val="24"/>
                <w:szCs w:val="24"/>
              </w:rPr>
              <w:t>-</w:t>
            </w:r>
          </w:p>
        </w:tc>
        <w:tc>
          <w:tcPr>
            <w:tcW w:w="1407" w:type="dxa"/>
            <w:vAlign w:val="center"/>
          </w:tcPr>
          <w:p w:rsidR="0031134E" w:rsidRDefault="008D5B6E">
            <w:pPr>
              <w:jc w:val="center"/>
            </w:pPr>
            <w:r>
              <w:rPr>
                <w:color w:val="000000"/>
                <w:sz w:val="24"/>
                <w:szCs w:val="24"/>
              </w:rPr>
              <w:t>7</w:t>
            </w:r>
            <w:r>
              <w:rPr>
                <w:color w:val="000000"/>
                <w:sz w:val="24"/>
                <w:szCs w:val="24"/>
              </w:rPr>
              <w:t>年</w:t>
            </w:r>
          </w:p>
        </w:tc>
        <w:tc>
          <w:tcPr>
            <w:tcW w:w="2673" w:type="dxa"/>
            <w:vAlign w:val="center"/>
          </w:tcPr>
          <w:p w:rsidR="0031134E" w:rsidRDefault="008D5B6E">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w:t>
      </w:r>
      <w:r w:rsidRPr="00414345">
        <w:rPr>
          <w:color w:val="000000"/>
          <w:sz w:val="24"/>
          <w:szCs w:val="24"/>
        </w:rPr>
        <w:lastRenderedPageBreak/>
        <w:t>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1134E" w:rsidRDefault="008D5B6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1134E" w:rsidRDefault="008D5B6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1134E" w:rsidRDefault="008D5B6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1134E" w:rsidRDefault="008D5B6E">
      <w:pPr>
        <w:spacing w:before="29" w:line="288" w:lineRule="auto"/>
        <w:ind w:firstLineChars="200" w:firstLine="480"/>
        <w:rPr>
          <w:color w:val="000000"/>
          <w:sz w:val="24"/>
          <w:szCs w:val="24"/>
        </w:rPr>
      </w:pPr>
      <w:r>
        <w:rPr>
          <w:color w:val="000000"/>
          <w:sz w:val="24"/>
          <w:szCs w:val="24"/>
        </w:rPr>
        <w:t>2017</w:t>
      </w:r>
      <w:r>
        <w:rPr>
          <w:color w:val="000000"/>
          <w:sz w:val="24"/>
          <w:szCs w:val="24"/>
        </w:rPr>
        <w:t>年第四季度，在资金收紧、监管增强背景下，</w:t>
      </w:r>
      <w:r>
        <w:rPr>
          <w:color w:val="000000"/>
          <w:sz w:val="24"/>
          <w:szCs w:val="24"/>
        </w:rPr>
        <w:t>A</w:t>
      </w:r>
      <w:r>
        <w:rPr>
          <w:color w:val="000000"/>
          <w:sz w:val="24"/>
          <w:szCs w:val="24"/>
        </w:rPr>
        <w:t>股市场出现年内较大波动，但就整体而言，市场仍然延续着对行业龙头的偏好，行业结构与公司质地是非常重要的选股指标。</w:t>
      </w:r>
    </w:p>
    <w:p w:rsidR="0031134E" w:rsidRDefault="008D5B6E">
      <w:pPr>
        <w:spacing w:before="29" w:line="288" w:lineRule="auto"/>
        <w:ind w:firstLineChars="200" w:firstLine="480"/>
        <w:rPr>
          <w:color w:val="000000"/>
          <w:sz w:val="24"/>
          <w:szCs w:val="24"/>
        </w:rPr>
      </w:pPr>
      <w:r>
        <w:rPr>
          <w:color w:val="000000"/>
          <w:sz w:val="24"/>
          <w:szCs w:val="24"/>
        </w:rPr>
        <w:t>本基金在第四季度超越业绩比较基准表现，主要是本基金</w:t>
      </w:r>
      <w:r>
        <w:rPr>
          <w:color w:val="000000"/>
          <w:sz w:val="24"/>
          <w:szCs w:val="24"/>
        </w:rPr>
        <w:t>2017</w:t>
      </w:r>
      <w:r>
        <w:rPr>
          <w:color w:val="000000"/>
          <w:sz w:val="24"/>
          <w:szCs w:val="24"/>
        </w:rPr>
        <w:t>年贯穿始终的精选成长股布局在本季度继续表现较好，一方面是以新能源汽车、新型通信网络、高端制造</w:t>
      </w:r>
      <w:r>
        <w:rPr>
          <w:color w:val="000000"/>
          <w:sz w:val="24"/>
          <w:szCs w:val="24"/>
        </w:rPr>
        <w:lastRenderedPageBreak/>
        <w:t>设备、泛半导体、新药研发等为代表的科技创新领域，另一方面是以图书阅读、便利超市、家装、旅行等为代表的消费升级领域。</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在人口红利、房地产红利、互联网用户红利逐步消逝的未来，我们愈发地感受到创新和改革的必要性和迫切性，</w:t>
      </w:r>
      <w:r w:rsidRPr="00414345">
        <w:rPr>
          <w:color w:val="000000"/>
          <w:sz w:val="24"/>
          <w:szCs w:val="24"/>
        </w:rPr>
        <w:t>“</w:t>
      </w:r>
      <w:r w:rsidRPr="00414345">
        <w:rPr>
          <w:color w:val="000000"/>
          <w:sz w:val="24"/>
          <w:szCs w:val="24"/>
        </w:rPr>
        <w:t>补短板</w:t>
      </w:r>
      <w:r w:rsidRPr="00414345">
        <w:rPr>
          <w:color w:val="000000"/>
          <w:sz w:val="24"/>
          <w:szCs w:val="24"/>
        </w:rPr>
        <w:t>”</w:t>
      </w:r>
      <w:r w:rsidRPr="00414345">
        <w:rPr>
          <w:color w:val="000000"/>
          <w:sz w:val="24"/>
          <w:szCs w:val="24"/>
        </w:rPr>
        <w:t>成为供给侧改革中更为重要的部分。而可喜的是，我们观测到经济中这一份创新的力量在越来越坚实和厚重，产业互联网、付费互联网、制造业系统升级都将会迎来突破，我们对成长股的未来保持乐观，始终努力挖掘创新成长领域为持有人精选标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2.752</w:t>
      </w:r>
      <w:r w:rsidRPr="00414345">
        <w:rPr>
          <w:color w:val="000000"/>
          <w:sz w:val="24"/>
          <w:szCs w:val="24"/>
        </w:rPr>
        <w:t>元，本报告期份额净值增长率为</w:t>
      </w:r>
      <w:r w:rsidRPr="00414345">
        <w:rPr>
          <w:color w:val="000000"/>
          <w:sz w:val="24"/>
          <w:szCs w:val="24"/>
        </w:rPr>
        <w:t>8.26%</w:t>
      </w:r>
      <w:r w:rsidRPr="00414345">
        <w:rPr>
          <w:color w:val="000000"/>
          <w:sz w:val="24"/>
          <w:szCs w:val="24"/>
        </w:rPr>
        <w:t>，同期业绩比较基准增长率为</w:t>
      </w:r>
      <w:r w:rsidRPr="00414345">
        <w:rPr>
          <w:color w:val="000000"/>
          <w:sz w:val="24"/>
          <w:szCs w:val="24"/>
        </w:rPr>
        <w:t>0.29%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163,856,409.39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67.85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163,856,409.39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67.85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9,999,000.00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9,999,000.00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66,625,558.76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27.59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1,001,652.44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241,482,620.59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lastRenderedPageBreak/>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66,837,827.65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14,093,634.00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17,847,315.00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20,632,147.34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3,057,090.00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4,251,702.00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9,761,248.00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32,323.20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27,343,122.20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163,856,409.39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3118A1">
        <w:trPr>
          <w:jc w:val="center"/>
        </w:trPr>
        <w:tc>
          <w:tcPr>
            <w:tcW w:w="869" w:type="dxa"/>
            <w:tcBorders>
              <w:bottom w:val="single" w:sz="4" w:space="0" w:color="auto"/>
            </w:tcBorders>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tcBorders>
              <w:bottom w:val="single" w:sz="4" w:space="0" w:color="auto"/>
            </w:tcBorders>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tcBorders>
              <w:bottom w:val="single" w:sz="4" w:space="0" w:color="auto"/>
            </w:tcBorders>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tcBorders>
              <w:bottom w:val="single" w:sz="4" w:space="0" w:color="auto"/>
            </w:tcBorders>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tcBorders>
              <w:bottom w:val="single" w:sz="4" w:space="0" w:color="auto"/>
            </w:tcBorders>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tcBorders>
              <w:bottom w:val="single" w:sz="4" w:space="0" w:color="auto"/>
            </w:tcBorders>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1134E" w:rsidTr="003118A1">
        <w:trPr>
          <w:jc w:val="center"/>
        </w:trPr>
        <w:tc>
          <w:tcPr>
            <w:tcW w:w="855" w:type="dxa"/>
            <w:tcBorders>
              <w:top w:val="single" w:sz="4" w:space="0" w:color="auto"/>
            </w:tcBorders>
            <w:vAlign w:val="center"/>
          </w:tcPr>
          <w:p w:rsidR="0031134E" w:rsidRDefault="008D5B6E">
            <w:pPr>
              <w:jc w:val="center"/>
            </w:pPr>
            <w:r>
              <w:rPr>
                <w:color w:val="000000"/>
                <w:sz w:val="24"/>
                <w:szCs w:val="24"/>
              </w:rPr>
              <w:lastRenderedPageBreak/>
              <w:t>1</w:t>
            </w:r>
          </w:p>
        </w:tc>
        <w:tc>
          <w:tcPr>
            <w:tcW w:w="1334" w:type="dxa"/>
            <w:tcBorders>
              <w:top w:val="single" w:sz="4" w:space="0" w:color="auto"/>
            </w:tcBorders>
            <w:vAlign w:val="center"/>
          </w:tcPr>
          <w:p w:rsidR="0031134E" w:rsidRDefault="008D5B6E">
            <w:pPr>
              <w:jc w:val="center"/>
            </w:pPr>
            <w:r>
              <w:rPr>
                <w:color w:val="000000"/>
                <w:sz w:val="24"/>
                <w:szCs w:val="24"/>
              </w:rPr>
              <w:t>300413</w:t>
            </w:r>
          </w:p>
        </w:tc>
        <w:tc>
          <w:tcPr>
            <w:tcW w:w="1777" w:type="dxa"/>
            <w:tcBorders>
              <w:top w:val="single" w:sz="4" w:space="0" w:color="auto"/>
            </w:tcBorders>
            <w:vAlign w:val="center"/>
          </w:tcPr>
          <w:p w:rsidR="0031134E" w:rsidRDefault="008D5B6E">
            <w:pPr>
              <w:jc w:val="center"/>
            </w:pPr>
            <w:r>
              <w:rPr>
                <w:color w:val="000000"/>
                <w:sz w:val="24"/>
                <w:szCs w:val="24"/>
              </w:rPr>
              <w:t>快乐购</w:t>
            </w:r>
          </w:p>
        </w:tc>
        <w:tc>
          <w:tcPr>
            <w:tcW w:w="1334" w:type="dxa"/>
            <w:tcBorders>
              <w:top w:val="single" w:sz="4" w:space="0" w:color="auto"/>
            </w:tcBorders>
            <w:vAlign w:val="center"/>
          </w:tcPr>
          <w:p w:rsidR="0031134E" w:rsidRDefault="008D5B6E">
            <w:pPr>
              <w:jc w:val="right"/>
            </w:pPr>
            <w:r>
              <w:rPr>
                <w:color w:val="000000"/>
                <w:sz w:val="24"/>
                <w:szCs w:val="24"/>
              </w:rPr>
              <w:t>597,900</w:t>
            </w:r>
          </w:p>
        </w:tc>
        <w:tc>
          <w:tcPr>
            <w:tcW w:w="1924" w:type="dxa"/>
            <w:tcBorders>
              <w:top w:val="single" w:sz="4" w:space="0" w:color="auto"/>
            </w:tcBorders>
            <w:vAlign w:val="center"/>
          </w:tcPr>
          <w:p w:rsidR="0031134E" w:rsidRDefault="008D5B6E">
            <w:pPr>
              <w:jc w:val="right"/>
            </w:pPr>
            <w:r>
              <w:rPr>
                <w:color w:val="000000"/>
                <w:sz w:val="24"/>
                <w:szCs w:val="24"/>
              </w:rPr>
              <w:t>17,847,315.00</w:t>
            </w:r>
          </w:p>
        </w:tc>
        <w:tc>
          <w:tcPr>
            <w:tcW w:w="1644" w:type="dxa"/>
            <w:tcBorders>
              <w:top w:val="single" w:sz="4" w:space="0" w:color="auto"/>
            </w:tcBorders>
            <w:vAlign w:val="center"/>
          </w:tcPr>
          <w:p w:rsidR="0031134E" w:rsidRDefault="008D5B6E">
            <w:pPr>
              <w:jc w:val="right"/>
            </w:pPr>
            <w:r>
              <w:rPr>
                <w:color w:val="000000"/>
                <w:sz w:val="24"/>
                <w:szCs w:val="24"/>
              </w:rPr>
              <w:t>7.47</w:t>
            </w:r>
          </w:p>
        </w:tc>
      </w:tr>
      <w:tr w:rsidR="0031134E">
        <w:trPr>
          <w:jc w:val="center"/>
        </w:trPr>
        <w:tc>
          <w:tcPr>
            <w:tcW w:w="855" w:type="dxa"/>
            <w:vAlign w:val="center"/>
          </w:tcPr>
          <w:p w:rsidR="0031134E" w:rsidRDefault="008D5B6E">
            <w:pPr>
              <w:jc w:val="center"/>
            </w:pPr>
            <w:r>
              <w:rPr>
                <w:color w:val="000000"/>
                <w:sz w:val="24"/>
                <w:szCs w:val="24"/>
              </w:rPr>
              <w:t>2</w:t>
            </w:r>
          </w:p>
        </w:tc>
        <w:tc>
          <w:tcPr>
            <w:tcW w:w="1334" w:type="dxa"/>
            <w:vAlign w:val="center"/>
          </w:tcPr>
          <w:p w:rsidR="0031134E" w:rsidRDefault="008D5B6E">
            <w:pPr>
              <w:jc w:val="center"/>
            </w:pPr>
            <w:r>
              <w:rPr>
                <w:color w:val="000000"/>
                <w:sz w:val="24"/>
                <w:szCs w:val="24"/>
              </w:rPr>
              <w:t>002081</w:t>
            </w:r>
          </w:p>
        </w:tc>
        <w:tc>
          <w:tcPr>
            <w:tcW w:w="1777" w:type="dxa"/>
            <w:vAlign w:val="center"/>
          </w:tcPr>
          <w:p w:rsidR="0031134E" w:rsidRDefault="008D5B6E">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31134E" w:rsidRDefault="008D5B6E">
            <w:pPr>
              <w:jc w:val="right"/>
            </w:pPr>
            <w:r>
              <w:rPr>
                <w:color w:val="000000"/>
                <w:sz w:val="24"/>
                <w:szCs w:val="24"/>
              </w:rPr>
              <w:t>919,950</w:t>
            </w:r>
          </w:p>
        </w:tc>
        <w:tc>
          <w:tcPr>
            <w:tcW w:w="1924" w:type="dxa"/>
            <w:vAlign w:val="center"/>
          </w:tcPr>
          <w:p w:rsidR="0031134E" w:rsidRDefault="008D5B6E">
            <w:pPr>
              <w:jc w:val="right"/>
            </w:pPr>
            <w:r>
              <w:rPr>
                <w:color w:val="000000"/>
                <w:sz w:val="24"/>
                <w:szCs w:val="24"/>
              </w:rPr>
              <w:t>14,093,634.00</w:t>
            </w:r>
          </w:p>
        </w:tc>
        <w:tc>
          <w:tcPr>
            <w:tcW w:w="1644" w:type="dxa"/>
            <w:vAlign w:val="center"/>
          </w:tcPr>
          <w:p w:rsidR="0031134E" w:rsidRDefault="008D5B6E">
            <w:pPr>
              <w:jc w:val="right"/>
            </w:pPr>
            <w:r>
              <w:rPr>
                <w:color w:val="000000"/>
                <w:sz w:val="24"/>
                <w:szCs w:val="24"/>
              </w:rPr>
              <w:t>5.90</w:t>
            </w:r>
          </w:p>
        </w:tc>
      </w:tr>
      <w:tr w:rsidR="0031134E">
        <w:trPr>
          <w:jc w:val="center"/>
        </w:trPr>
        <w:tc>
          <w:tcPr>
            <w:tcW w:w="855" w:type="dxa"/>
            <w:vAlign w:val="center"/>
          </w:tcPr>
          <w:p w:rsidR="0031134E" w:rsidRDefault="008D5B6E">
            <w:pPr>
              <w:jc w:val="center"/>
            </w:pPr>
            <w:r>
              <w:rPr>
                <w:color w:val="000000"/>
                <w:sz w:val="24"/>
                <w:szCs w:val="24"/>
              </w:rPr>
              <w:t>3</w:t>
            </w:r>
          </w:p>
        </w:tc>
        <w:tc>
          <w:tcPr>
            <w:tcW w:w="1334" w:type="dxa"/>
            <w:vAlign w:val="center"/>
          </w:tcPr>
          <w:p w:rsidR="0031134E" w:rsidRDefault="008D5B6E">
            <w:pPr>
              <w:jc w:val="center"/>
            </w:pPr>
            <w:r>
              <w:rPr>
                <w:color w:val="000000"/>
                <w:sz w:val="24"/>
                <w:szCs w:val="24"/>
              </w:rPr>
              <w:t>603096</w:t>
            </w:r>
          </w:p>
        </w:tc>
        <w:tc>
          <w:tcPr>
            <w:tcW w:w="1777" w:type="dxa"/>
            <w:vAlign w:val="center"/>
          </w:tcPr>
          <w:p w:rsidR="0031134E" w:rsidRDefault="008D5B6E">
            <w:pPr>
              <w:jc w:val="center"/>
            </w:pPr>
            <w:r>
              <w:rPr>
                <w:color w:val="000000"/>
                <w:sz w:val="24"/>
                <w:szCs w:val="24"/>
              </w:rPr>
              <w:t>新经典</w:t>
            </w:r>
          </w:p>
        </w:tc>
        <w:tc>
          <w:tcPr>
            <w:tcW w:w="1334" w:type="dxa"/>
            <w:vAlign w:val="center"/>
          </w:tcPr>
          <w:p w:rsidR="0031134E" w:rsidRDefault="008D5B6E">
            <w:pPr>
              <w:jc w:val="right"/>
            </w:pPr>
            <w:r>
              <w:rPr>
                <w:color w:val="000000"/>
                <w:sz w:val="24"/>
                <w:szCs w:val="24"/>
              </w:rPr>
              <w:t>205,000</w:t>
            </w:r>
          </w:p>
        </w:tc>
        <w:tc>
          <w:tcPr>
            <w:tcW w:w="1924" w:type="dxa"/>
            <w:vAlign w:val="center"/>
          </w:tcPr>
          <w:p w:rsidR="0031134E" w:rsidRDefault="008D5B6E">
            <w:pPr>
              <w:jc w:val="right"/>
            </w:pPr>
            <w:r>
              <w:rPr>
                <w:color w:val="000000"/>
                <w:sz w:val="24"/>
                <w:szCs w:val="24"/>
              </w:rPr>
              <w:t>13,790,350.00</w:t>
            </w:r>
          </w:p>
        </w:tc>
        <w:tc>
          <w:tcPr>
            <w:tcW w:w="1644" w:type="dxa"/>
            <w:vAlign w:val="center"/>
          </w:tcPr>
          <w:p w:rsidR="0031134E" w:rsidRDefault="008D5B6E">
            <w:pPr>
              <w:jc w:val="right"/>
            </w:pPr>
            <w:r>
              <w:rPr>
                <w:color w:val="000000"/>
                <w:sz w:val="24"/>
                <w:szCs w:val="24"/>
              </w:rPr>
              <w:t>5.78</w:t>
            </w:r>
          </w:p>
        </w:tc>
      </w:tr>
      <w:tr w:rsidR="0031134E">
        <w:trPr>
          <w:jc w:val="center"/>
        </w:trPr>
        <w:tc>
          <w:tcPr>
            <w:tcW w:w="855" w:type="dxa"/>
            <w:vAlign w:val="center"/>
          </w:tcPr>
          <w:p w:rsidR="0031134E" w:rsidRDefault="008D5B6E">
            <w:pPr>
              <w:jc w:val="center"/>
            </w:pPr>
            <w:r>
              <w:rPr>
                <w:color w:val="000000"/>
                <w:sz w:val="24"/>
                <w:szCs w:val="24"/>
              </w:rPr>
              <w:t>4</w:t>
            </w:r>
          </w:p>
        </w:tc>
        <w:tc>
          <w:tcPr>
            <w:tcW w:w="1334" w:type="dxa"/>
            <w:vAlign w:val="center"/>
          </w:tcPr>
          <w:p w:rsidR="0031134E" w:rsidRDefault="008D5B6E">
            <w:pPr>
              <w:jc w:val="center"/>
            </w:pPr>
            <w:r>
              <w:rPr>
                <w:color w:val="000000"/>
                <w:sz w:val="24"/>
                <w:szCs w:val="24"/>
              </w:rPr>
              <w:t>300251</w:t>
            </w:r>
          </w:p>
        </w:tc>
        <w:tc>
          <w:tcPr>
            <w:tcW w:w="1777" w:type="dxa"/>
            <w:vAlign w:val="center"/>
          </w:tcPr>
          <w:p w:rsidR="0031134E" w:rsidRDefault="008D5B6E">
            <w:pPr>
              <w:jc w:val="center"/>
            </w:pPr>
            <w:r>
              <w:rPr>
                <w:color w:val="000000"/>
                <w:sz w:val="24"/>
                <w:szCs w:val="24"/>
              </w:rPr>
              <w:t>光线传媒</w:t>
            </w:r>
          </w:p>
        </w:tc>
        <w:tc>
          <w:tcPr>
            <w:tcW w:w="1334" w:type="dxa"/>
            <w:vAlign w:val="center"/>
          </w:tcPr>
          <w:p w:rsidR="0031134E" w:rsidRDefault="008D5B6E">
            <w:pPr>
              <w:jc w:val="right"/>
            </w:pPr>
            <w:r>
              <w:rPr>
                <w:color w:val="000000"/>
                <w:sz w:val="24"/>
                <w:szCs w:val="24"/>
              </w:rPr>
              <w:t>1,296,916</w:t>
            </w:r>
          </w:p>
        </w:tc>
        <w:tc>
          <w:tcPr>
            <w:tcW w:w="1924" w:type="dxa"/>
            <w:vAlign w:val="center"/>
          </w:tcPr>
          <w:p w:rsidR="0031134E" w:rsidRDefault="008D5B6E">
            <w:pPr>
              <w:jc w:val="right"/>
            </w:pPr>
            <w:r>
              <w:rPr>
                <w:color w:val="000000"/>
                <w:sz w:val="24"/>
                <w:szCs w:val="24"/>
              </w:rPr>
              <w:t>13,552,772.20</w:t>
            </w:r>
          </w:p>
        </w:tc>
        <w:tc>
          <w:tcPr>
            <w:tcW w:w="1644" w:type="dxa"/>
            <w:vAlign w:val="center"/>
          </w:tcPr>
          <w:p w:rsidR="0031134E" w:rsidRDefault="008D5B6E">
            <w:pPr>
              <w:jc w:val="right"/>
            </w:pPr>
            <w:r>
              <w:rPr>
                <w:color w:val="000000"/>
                <w:sz w:val="24"/>
                <w:szCs w:val="24"/>
              </w:rPr>
              <w:t>5.68</w:t>
            </w:r>
          </w:p>
        </w:tc>
      </w:tr>
      <w:tr w:rsidR="0031134E">
        <w:trPr>
          <w:jc w:val="center"/>
        </w:trPr>
        <w:tc>
          <w:tcPr>
            <w:tcW w:w="855" w:type="dxa"/>
            <w:vAlign w:val="center"/>
          </w:tcPr>
          <w:p w:rsidR="0031134E" w:rsidRDefault="008D5B6E">
            <w:pPr>
              <w:jc w:val="center"/>
            </w:pPr>
            <w:r>
              <w:rPr>
                <w:color w:val="000000"/>
                <w:sz w:val="24"/>
                <w:szCs w:val="24"/>
              </w:rPr>
              <w:t>5</w:t>
            </w:r>
          </w:p>
        </w:tc>
        <w:tc>
          <w:tcPr>
            <w:tcW w:w="1334" w:type="dxa"/>
            <w:vAlign w:val="center"/>
          </w:tcPr>
          <w:p w:rsidR="0031134E" w:rsidRDefault="008D5B6E">
            <w:pPr>
              <w:jc w:val="center"/>
            </w:pPr>
            <w:r>
              <w:rPr>
                <w:color w:val="000000"/>
                <w:sz w:val="24"/>
                <w:szCs w:val="24"/>
              </w:rPr>
              <w:t>300308</w:t>
            </w:r>
          </w:p>
        </w:tc>
        <w:tc>
          <w:tcPr>
            <w:tcW w:w="1777" w:type="dxa"/>
            <w:vAlign w:val="center"/>
          </w:tcPr>
          <w:p w:rsidR="0031134E" w:rsidRDefault="008D5B6E">
            <w:pPr>
              <w:jc w:val="center"/>
            </w:pPr>
            <w:r>
              <w:rPr>
                <w:color w:val="000000"/>
                <w:sz w:val="24"/>
                <w:szCs w:val="24"/>
              </w:rPr>
              <w:t>中际装备</w:t>
            </w:r>
          </w:p>
        </w:tc>
        <w:tc>
          <w:tcPr>
            <w:tcW w:w="1334" w:type="dxa"/>
            <w:vAlign w:val="center"/>
          </w:tcPr>
          <w:p w:rsidR="0031134E" w:rsidRDefault="008D5B6E">
            <w:pPr>
              <w:jc w:val="right"/>
            </w:pPr>
            <w:r>
              <w:rPr>
                <w:color w:val="000000"/>
                <w:sz w:val="24"/>
                <w:szCs w:val="24"/>
              </w:rPr>
              <w:t>212,929</w:t>
            </w:r>
          </w:p>
        </w:tc>
        <w:tc>
          <w:tcPr>
            <w:tcW w:w="1924" w:type="dxa"/>
            <w:vAlign w:val="center"/>
          </w:tcPr>
          <w:p w:rsidR="0031134E" w:rsidRDefault="008D5B6E">
            <w:pPr>
              <w:jc w:val="right"/>
            </w:pPr>
            <w:r>
              <w:rPr>
                <w:color w:val="000000"/>
                <w:sz w:val="24"/>
                <w:szCs w:val="24"/>
              </w:rPr>
              <w:t>12,456,346.50</w:t>
            </w:r>
          </w:p>
        </w:tc>
        <w:tc>
          <w:tcPr>
            <w:tcW w:w="1644" w:type="dxa"/>
            <w:vAlign w:val="center"/>
          </w:tcPr>
          <w:p w:rsidR="0031134E" w:rsidRDefault="008D5B6E">
            <w:pPr>
              <w:jc w:val="right"/>
            </w:pPr>
            <w:r>
              <w:rPr>
                <w:color w:val="000000"/>
                <w:sz w:val="24"/>
                <w:szCs w:val="24"/>
              </w:rPr>
              <w:t>5.22</w:t>
            </w:r>
          </w:p>
        </w:tc>
      </w:tr>
      <w:tr w:rsidR="0031134E">
        <w:trPr>
          <w:jc w:val="center"/>
        </w:trPr>
        <w:tc>
          <w:tcPr>
            <w:tcW w:w="855" w:type="dxa"/>
            <w:vAlign w:val="center"/>
          </w:tcPr>
          <w:p w:rsidR="0031134E" w:rsidRDefault="008D5B6E">
            <w:pPr>
              <w:jc w:val="center"/>
            </w:pPr>
            <w:r>
              <w:rPr>
                <w:color w:val="000000"/>
                <w:sz w:val="24"/>
                <w:szCs w:val="24"/>
              </w:rPr>
              <w:t>6</w:t>
            </w:r>
          </w:p>
        </w:tc>
        <w:tc>
          <w:tcPr>
            <w:tcW w:w="1334" w:type="dxa"/>
            <w:vAlign w:val="center"/>
          </w:tcPr>
          <w:p w:rsidR="0031134E" w:rsidRDefault="008D5B6E">
            <w:pPr>
              <w:jc w:val="center"/>
            </w:pPr>
            <w:r>
              <w:rPr>
                <w:color w:val="000000"/>
                <w:sz w:val="24"/>
                <w:szCs w:val="24"/>
              </w:rPr>
              <w:t>601100</w:t>
            </w:r>
          </w:p>
        </w:tc>
        <w:tc>
          <w:tcPr>
            <w:tcW w:w="1777" w:type="dxa"/>
            <w:vAlign w:val="center"/>
          </w:tcPr>
          <w:p w:rsidR="0031134E" w:rsidRDefault="008D5B6E">
            <w:pPr>
              <w:jc w:val="center"/>
            </w:pPr>
            <w:r>
              <w:rPr>
                <w:color w:val="000000"/>
                <w:sz w:val="24"/>
                <w:szCs w:val="24"/>
              </w:rPr>
              <w:t>恒立液压</w:t>
            </w:r>
          </w:p>
        </w:tc>
        <w:tc>
          <w:tcPr>
            <w:tcW w:w="1334" w:type="dxa"/>
            <w:vAlign w:val="center"/>
          </w:tcPr>
          <w:p w:rsidR="0031134E" w:rsidRDefault="008D5B6E">
            <w:pPr>
              <w:jc w:val="right"/>
            </w:pPr>
            <w:r>
              <w:rPr>
                <w:color w:val="000000"/>
                <w:sz w:val="24"/>
                <w:szCs w:val="24"/>
              </w:rPr>
              <w:t>419,600</w:t>
            </w:r>
          </w:p>
        </w:tc>
        <w:tc>
          <w:tcPr>
            <w:tcW w:w="1924" w:type="dxa"/>
            <w:vAlign w:val="center"/>
          </w:tcPr>
          <w:p w:rsidR="0031134E" w:rsidRDefault="008D5B6E">
            <w:pPr>
              <w:jc w:val="right"/>
            </w:pPr>
            <w:r>
              <w:rPr>
                <w:color w:val="000000"/>
                <w:sz w:val="24"/>
                <w:szCs w:val="24"/>
              </w:rPr>
              <w:t>11,513,824.00</w:t>
            </w:r>
          </w:p>
        </w:tc>
        <w:tc>
          <w:tcPr>
            <w:tcW w:w="1644" w:type="dxa"/>
            <w:vAlign w:val="center"/>
          </w:tcPr>
          <w:p w:rsidR="0031134E" w:rsidRDefault="008D5B6E">
            <w:pPr>
              <w:jc w:val="right"/>
            </w:pPr>
            <w:r>
              <w:rPr>
                <w:color w:val="000000"/>
                <w:sz w:val="24"/>
                <w:szCs w:val="24"/>
              </w:rPr>
              <w:t>4.82</w:t>
            </w:r>
          </w:p>
        </w:tc>
      </w:tr>
      <w:tr w:rsidR="0031134E">
        <w:trPr>
          <w:jc w:val="center"/>
        </w:trPr>
        <w:tc>
          <w:tcPr>
            <w:tcW w:w="855" w:type="dxa"/>
            <w:vAlign w:val="center"/>
          </w:tcPr>
          <w:p w:rsidR="0031134E" w:rsidRDefault="008D5B6E">
            <w:pPr>
              <w:jc w:val="center"/>
            </w:pPr>
            <w:r>
              <w:rPr>
                <w:color w:val="000000"/>
                <w:sz w:val="24"/>
                <w:szCs w:val="24"/>
              </w:rPr>
              <w:t>7</w:t>
            </w:r>
          </w:p>
        </w:tc>
        <w:tc>
          <w:tcPr>
            <w:tcW w:w="1334" w:type="dxa"/>
            <w:vAlign w:val="center"/>
          </w:tcPr>
          <w:p w:rsidR="0031134E" w:rsidRDefault="008D5B6E">
            <w:pPr>
              <w:jc w:val="center"/>
            </w:pPr>
            <w:r>
              <w:rPr>
                <w:color w:val="000000"/>
                <w:sz w:val="24"/>
                <w:szCs w:val="24"/>
              </w:rPr>
              <w:t>603986</w:t>
            </w:r>
          </w:p>
        </w:tc>
        <w:tc>
          <w:tcPr>
            <w:tcW w:w="1777" w:type="dxa"/>
            <w:vAlign w:val="center"/>
          </w:tcPr>
          <w:p w:rsidR="0031134E" w:rsidRDefault="008D5B6E">
            <w:pPr>
              <w:jc w:val="center"/>
            </w:pPr>
            <w:r>
              <w:rPr>
                <w:color w:val="000000"/>
                <w:sz w:val="24"/>
                <w:szCs w:val="24"/>
              </w:rPr>
              <w:t>兆易创新</w:t>
            </w:r>
          </w:p>
        </w:tc>
        <w:tc>
          <w:tcPr>
            <w:tcW w:w="1334" w:type="dxa"/>
            <w:vAlign w:val="center"/>
          </w:tcPr>
          <w:p w:rsidR="0031134E" w:rsidRDefault="008D5B6E">
            <w:pPr>
              <w:jc w:val="right"/>
            </w:pPr>
            <w:r>
              <w:rPr>
                <w:color w:val="000000"/>
                <w:sz w:val="24"/>
                <w:szCs w:val="24"/>
              </w:rPr>
              <w:t>72,100</w:t>
            </w:r>
          </w:p>
        </w:tc>
        <w:tc>
          <w:tcPr>
            <w:tcW w:w="1924" w:type="dxa"/>
            <w:vAlign w:val="center"/>
          </w:tcPr>
          <w:p w:rsidR="0031134E" w:rsidRDefault="008D5B6E">
            <w:pPr>
              <w:jc w:val="right"/>
            </w:pPr>
            <w:r>
              <w:rPr>
                <w:color w:val="000000"/>
                <w:sz w:val="24"/>
                <w:szCs w:val="24"/>
              </w:rPr>
              <w:t>11,083,212.00</w:t>
            </w:r>
          </w:p>
        </w:tc>
        <w:tc>
          <w:tcPr>
            <w:tcW w:w="1644" w:type="dxa"/>
            <w:vAlign w:val="center"/>
          </w:tcPr>
          <w:p w:rsidR="0031134E" w:rsidRDefault="008D5B6E">
            <w:pPr>
              <w:jc w:val="right"/>
            </w:pPr>
            <w:r>
              <w:rPr>
                <w:color w:val="000000"/>
                <w:sz w:val="24"/>
                <w:szCs w:val="24"/>
              </w:rPr>
              <w:t>4.64</w:t>
            </w:r>
          </w:p>
        </w:tc>
      </w:tr>
      <w:tr w:rsidR="0031134E">
        <w:trPr>
          <w:jc w:val="center"/>
        </w:trPr>
        <w:tc>
          <w:tcPr>
            <w:tcW w:w="855" w:type="dxa"/>
            <w:vAlign w:val="center"/>
          </w:tcPr>
          <w:p w:rsidR="0031134E" w:rsidRDefault="008D5B6E">
            <w:pPr>
              <w:jc w:val="center"/>
            </w:pPr>
            <w:r>
              <w:rPr>
                <w:color w:val="000000"/>
                <w:sz w:val="24"/>
                <w:szCs w:val="24"/>
              </w:rPr>
              <w:t>8</w:t>
            </w:r>
          </w:p>
        </w:tc>
        <w:tc>
          <w:tcPr>
            <w:tcW w:w="1334" w:type="dxa"/>
            <w:vAlign w:val="center"/>
          </w:tcPr>
          <w:p w:rsidR="0031134E" w:rsidRDefault="008D5B6E">
            <w:pPr>
              <w:jc w:val="center"/>
            </w:pPr>
            <w:r>
              <w:rPr>
                <w:color w:val="000000"/>
                <w:sz w:val="24"/>
                <w:szCs w:val="24"/>
              </w:rPr>
              <w:t>002027</w:t>
            </w:r>
          </w:p>
        </w:tc>
        <w:tc>
          <w:tcPr>
            <w:tcW w:w="1777" w:type="dxa"/>
            <w:vAlign w:val="center"/>
          </w:tcPr>
          <w:p w:rsidR="0031134E" w:rsidRDefault="008D5B6E">
            <w:pPr>
              <w:jc w:val="center"/>
            </w:pPr>
            <w:r>
              <w:rPr>
                <w:color w:val="000000"/>
                <w:sz w:val="24"/>
                <w:szCs w:val="24"/>
              </w:rPr>
              <w:t>分众传媒</w:t>
            </w:r>
          </w:p>
        </w:tc>
        <w:tc>
          <w:tcPr>
            <w:tcW w:w="1334" w:type="dxa"/>
            <w:vAlign w:val="center"/>
          </w:tcPr>
          <w:p w:rsidR="0031134E" w:rsidRDefault="008D5B6E">
            <w:pPr>
              <w:jc w:val="right"/>
            </w:pPr>
            <w:r>
              <w:rPr>
                <w:color w:val="000000"/>
                <w:sz w:val="24"/>
                <w:szCs w:val="24"/>
              </w:rPr>
              <w:t>708,100</w:t>
            </w:r>
          </w:p>
        </w:tc>
        <w:tc>
          <w:tcPr>
            <w:tcW w:w="1924" w:type="dxa"/>
            <w:vAlign w:val="center"/>
          </w:tcPr>
          <w:p w:rsidR="0031134E" w:rsidRDefault="008D5B6E">
            <w:pPr>
              <w:jc w:val="right"/>
            </w:pPr>
            <w:r>
              <w:rPr>
                <w:color w:val="000000"/>
                <w:sz w:val="24"/>
                <w:szCs w:val="24"/>
              </w:rPr>
              <w:t>9,761,248.00</w:t>
            </w:r>
          </w:p>
        </w:tc>
        <w:tc>
          <w:tcPr>
            <w:tcW w:w="1644" w:type="dxa"/>
            <w:vAlign w:val="center"/>
          </w:tcPr>
          <w:p w:rsidR="0031134E" w:rsidRDefault="008D5B6E">
            <w:pPr>
              <w:jc w:val="right"/>
            </w:pPr>
            <w:r>
              <w:rPr>
                <w:color w:val="000000"/>
                <w:sz w:val="24"/>
                <w:szCs w:val="24"/>
              </w:rPr>
              <w:t>4.09</w:t>
            </w:r>
          </w:p>
        </w:tc>
      </w:tr>
      <w:tr w:rsidR="0031134E">
        <w:trPr>
          <w:jc w:val="center"/>
        </w:trPr>
        <w:tc>
          <w:tcPr>
            <w:tcW w:w="855" w:type="dxa"/>
            <w:vAlign w:val="center"/>
          </w:tcPr>
          <w:p w:rsidR="0031134E" w:rsidRDefault="008D5B6E">
            <w:pPr>
              <w:jc w:val="center"/>
            </w:pPr>
            <w:r>
              <w:rPr>
                <w:color w:val="000000"/>
                <w:sz w:val="24"/>
                <w:szCs w:val="24"/>
              </w:rPr>
              <w:t>9</w:t>
            </w:r>
          </w:p>
        </w:tc>
        <w:tc>
          <w:tcPr>
            <w:tcW w:w="1334" w:type="dxa"/>
            <w:vAlign w:val="center"/>
          </w:tcPr>
          <w:p w:rsidR="0031134E" w:rsidRDefault="008D5B6E">
            <w:pPr>
              <w:jc w:val="center"/>
            </w:pPr>
            <w:r>
              <w:rPr>
                <w:color w:val="000000"/>
                <w:sz w:val="24"/>
                <w:szCs w:val="24"/>
              </w:rPr>
              <w:t>002008</w:t>
            </w:r>
          </w:p>
        </w:tc>
        <w:tc>
          <w:tcPr>
            <w:tcW w:w="1777" w:type="dxa"/>
            <w:vAlign w:val="center"/>
          </w:tcPr>
          <w:p w:rsidR="0031134E" w:rsidRDefault="008D5B6E">
            <w:pPr>
              <w:jc w:val="center"/>
            </w:pPr>
            <w:r>
              <w:rPr>
                <w:color w:val="000000"/>
                <w:sz w:val="24"/>
                <w:szCs w:val="24"/>
              </w:rPr>
              <w:t>大族激光</w:t>
            </w:r>
          </w:p>
        </w:tc>
        <w:tc>
          <w:tcPr>
            <w:tcW w:w="1334" w:type="dxa"/>
            <w:vAlign w:val="center"/>
          </w:tcPr>
          <w:p w:rsidR="0031134E" w:rsidRDefault="008D5B6E">
            <w:pPr>
              <w:jc w:val="right"/>
            </w:pPr>
            <w:r>
              <w:rPr>
                <w:color w:val="000000"/>
                <w:sz w:val="24"/>
                <w:szCs w:val="24"/>
              </w:rPr>
              <w:t>162,647</w:t>
            </w:r>
          </w:p>
        </w:tc>
        <w:tc>
          <w:tcPr>
            <w:tcW w:w="1924" w:type="dxa"/>
            <w:vAlign w:val="center"/>
          </w:tcPr>
          <w:p w:rsidR="0031134E" w:rsidRDefault="008D5B6E">
            <w:pPr>
              <w:jc w:val="right"/>
            </w:pPr>
            <w:r>
              <w:rPr>
                <w:color w:val="000000"/>
                <w:sz w:val="24"/>
                <w:szCs w:val="24"/>
              </w:rPr>
              <w:t>8,034,761.80</w:t>
            </w:r>
          </w:p>
        </w:tc>
        <w:tc>
          <w:tcPr>
            <w:tcW w:w="1644" w:type="dxa"/>
            <w:vAlign w:val="center"/>
          </w:tcPr>
          <w:p w:rsidR="0031134E" w:rsidRDefault="008D5B6E">
            <w:pPr>
              <w:jc w:val="right"/>
            </w:pPr>
            <w:r>
              <w:rPr>
                <w:color w:val="000000"/>
                <w:sz w:val="24"/>
                <w:szCs w:val="24"/>
              </w:rPr>
              <w:t>3.36</w:t>
            </w:r>
          </w:p>
        </w:tc>
      </w:tr>
      <w:tr w:rsidR="0031134E">
        <w:trPr>
          <w:jc w:val="center"/>
        </w:trPr>
        <w:tc>
          <w:tcPr>
            <w:tcW w:w="855" w:type="dxa"/>
            <w:vAlign w:val="center"/>
          </w:tcPr>
          <w:p w:rsidR="0031134E" w:rsidRDefault="008D5B6E">
            <w:pPr>
              <w:jc w:val="center"/>
            </w:pPr>
            <w:r>
              <w:rPr>
                <w:color w:val="000000"/>
                <w:sz w:val="24"/>
                <w:szCs w:val="24"/>
              </w:rPr>
              <w:t>10</w:t>
            </w:r>
          </w:p>
        </w:tc>
        <w:tc>
          <w:tcPr>
            <w:tcW w:w="1334" w:type="dxa"/>
            <w:vAlign w:val="center"/>
          </w:tcPr>
          <w:p w:rsidR="0031134E" w:rsidRDefault="008D5B6E">
            <w:pPr>
              <w:jc w:val="center"/>
            </w:pPr>
            <w:r>
              <w:rPr>
                <w:color w:val="000000"/>
                <w:sz w:val="24"/>
                <w:szCs w:val="24"/>
              </w:rPr>
              <w:t>002430</w:t>
            </w:r>
          </w:p>
        </w:tc>
        <w:tc>
          <w:tcPr>
            <w:tcW w:w="1777" w:type="dxa"/>
            <w:vAlign w:val="center"/>
          </w:tcPr>
          <w:p w:rsidR="0031134E" w:rsidRDefault="008D5B6E">
            <w:pPr>
              <w:jc w:val="center"/>
            </w:pPr>
            <w:r>
              <w:rPr>
                <w:color w:val="000000"/>
                <w:sz w:val="24"/>
                <w:szCs w:val="24"/>
              </w:rPr>
              <w:t>杭氧股份</w:t>
            </w:r>
          </w:p>
        </w:tc>
        <w:tc>
          <w:tcPr>
            <w:tcW w:w="1334" w:type="dxa"/>
            <w:vAlign w:val="center"/>
          </w:tcPr>
          <w:p w:rsidR="0031134E" w:rsidRDefault="008D5B6E">
            <w:pPr>
              <w:jc w:val="right"/>
            </w:pPr>
            <w:r>
              <w:rPr>
                <w:color w:val="000000"/>
                <w:sz w:val="24"/>
                <w:szCs w:val="24"/>
              </w:rPr>
              <w:t>458,682</w:t>
            </w:r>
          </w:p>
        </w:tc>
        <w:tc>
          <w:tcPr>
            <w:tcW w:w="1924" w:type="dxa"/>
            <w:vAlign w:val="center"/>
          </w:tcPr>
          <w:p w:rsidR="0031134E" w:rsidRDefault="008D5B6E">
            <w:pPr>
              <w:jc w:val="right"/>
            </w:pPr>
            <w:r>
              <w:rPr>
                <w:color w:val="000000"/>
                <w:sz w:val="24"/>
                <w:szCs w:val="24"/>
              </w:rPr>
              <w:t>6,407,787.54</w:t>
            </w:r>
          </w:p>
        </w:tc>
        <w:tc>
          <w:tcPr>
            <w:tcW w:w="1644" w:type="dxa"/>
            <w:vAlign w:val="center"/>
          </w:tcPr>
          <w:p w:rsidR="0031134E" w:rsidRDefault="008D5B6E">
            <w:pPr>
              <w:jc w:val="right"/>
            </w:pPr>
            <w:r>
              <w:rPr>
                <w:color w:val="000000"/>
                <w:sz w:val="24"/>
                <w:szCs w:val="24"/>
              </w:rPr>
              <w:t>2.68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1134E">
        <w:trPr>
          <w:jc w:val="center"/>
        </w:trPr>
        <w:tc>
          <w:tcPr>
            <w:tcW w:w="850" w:type="dxa"/>
            <w:vAlign w:val="center"/>
          </w:tcPr>
          <w:p w:rsidR="0031134E" w:rsidRDefault="008D5B6E">
            <w:pPr>
              <w:jc w:val="center"/>
            </w:pPr>
            <w:r>
              <w:rPr>
                <w:color w:val="000000"/>
                <w:sz w:val="24"/>
                <w:szCs w:val="24"/>
              </w:rPr>
              <w:t>1</w:t>
            </w:r>
          </w:p>
        </w:tc>
        <w:tc>
          <w:tcPr>
            <w:tcW w:w="1475" w:type="dxa"/>
            <w:vAlign w:val="center"/>
          </w:tcPr>
          <w:p w:rsidR="0031134E" w:rsidRDefault="008D5B6E">
            <w:pPr>
              <w:jc w:val="center"/>
            </w:pPr>
            <w:r>
              <w:rPr>
                <w:color w:val="000000"/>
                <w:sz w:val="24"/>
                <w:szCs w:val="24"/>
              </w:rPr>
              <w:t>150201</w:t>
            </w:r>
          </w:p>
        </w:tc>
        <w:tc>
          <w:tcPr>
            <w:tcW w:w="1769" w:type="dxa"/>
            <w:vAlign w:val="center"/>
          </w:tcPr>
          <w:p w:rsidR="0031134E" w:rsidRDefault="008D5B6E">
            <w:pPr>
              <w:jc w:val="center"/>
            </w:pPr>
            <w:r>
              <w:rPr>
                <w:color w:val="000000"/>
                <w:sz w:val="24"/>
                <w:szCs w:val="24"/>
              </w:rPr>
              <w:t>15</w:t>
            </w:r>
            <w:r>
              <w:rPr>
                <w:color w:val="000000"/>
                <w:sz w:val="24"/>
                <w:szCs w:val="24"/>
              </w:rPr>
              <w:t>国开</w:t>
            </w:r>
            <w:r>
              <w:rPr>
                <w:color w:val="000000"/>
                <w:sz w:val="24"/>
                <w:szCs w:val="24"/>
              </w:rPr>
              <w:t>01</w:t>
            </w:r>
          </w:p>
        </w:tc>
        <w:tc>
          <w:tcPr>
            <w:tcW w:w="1387" w:type="dxa"/>
            <w:vAlign w:val="center"/>
          </w:tcPr>
          <w:p w:rsidR="0031134E" w:rsidRDefault="008D5B6E">
            <w:pPr>
              <w:jc w:val="right"/>
            </w:pPr>
            <w:r>
              <w:rPr>
                <w:color w:val="000000"/>
                <w:sz w:val="24"/>
                <w:szCs w:val="24"/>
              </w:rPr>
              <w:t>100,000</w:t>
            </w:r>
          </w:p>
        </w:tc>
        <w:tc>
          <w:tcPr>
            <w:tcW w:w="2150" w:type="dxa"/>
            <w:vAlign w:val="center"/>
          </w:tcPr>
          <w:p w:rsidR="0031134E" w:rsidRDefault="008D5B6E">
            <w:pPr>
              <w:jc w:val="right"/>
            </w:pPr>
            <w:r>
              <w:rPr>
                <w:color w:val="000000"/>
                <w:sz w:val="24"/>
                <w:szCs w:val="24"/>
              </w:rPr>
              <w:t>9,999,000.00</w:t>
            </w:r>
          </w:p>
        </w:tc>
        <w:tc>
          <w:tcPr>
            <w:tcW w:w="1237" w:type="dxa"/>
            <w:vAlign w:val="center"/>
          </w:tcPr>
          <w:p w:rsidR="0031134E" w:rsidRDefault="008D5B6E">
            <w:pPr>
              <w:jc w:val="right"/>
            </w:pPr>
            <w:r>
              <w:rPr>
                <w:color w:val="000000"/>
                <w:sz w:val="24"/>
                <w:szCs w:val="24"/>
              </w:rPr>
              <w:t>4.19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w:t>
      </w:r>
      <w:r w:rsidRPr="00414345">
        <w:rPr>
          <w:b/>
          <w:bCs/>
          <w:color w:val="000000"/>
          <w:kern w:val="0"/>
          <w:sz w:val="24"/>
          <w:szCs w:val="24"/>
        </w:rPr>
        <w:lastRenderedPageBreak/>
        <w:t>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114,600.20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392,034.97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495,017.27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1,001,652.44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1134E">
        <w:trPr>
          <w:jc w:val="center"/>
        </w:trPr>
        <w:tc>
          <w:tcPr>
            <w:tcW w:w="1129" w:type="dxa"/>
            <w:vAlign w:val="center"/>
          </w:tcPr>
          <w:p w:rsidR="0031134E" w:rsidRDefault="008D5B6E">
            <w:pPr>
              <w:jc w:val="center"/>
            </w:pPr>
            <w:r>
              <w:rPr>
                <w:color w:val="000000"/>
                <w:sz w:val="24"/>
                <w:szCs w:val="24"/>
              </w:rPr>
              <w:t>1</w:t>
            </w:r>
          </w:p>
        </w:tc>
        <w:tc>
          <w:tcPr>
            <w:tcW w:w="1356" w:type="dxa"/>
            <w:vAlign w:val="center"/>
          </w:tcPr>
          <w:p w:rsidR="0031134E" w:rsidRDefault="008D5B6E">
            <w:pPr>
              <w:jc w:val="center"/>
            </w:pPr>
            <w:r>
              <w:rPr>
                <w:color w:val="000000"/>
                <w:sz w:val="24"/>
                <w:szCs w:val="24"/>
              </w:rPr>
              <w:t>002027</w:t>
            </w:r>
          </w:p>
        </w:tc>
        <w:tc>
          <w:tcPr>
            <w:tcW w:w="1355" w:type="dxa"/>
            <w:vAlign w:val="center"/>
          </w:tcPr>
          <w:p w:rsidR="0031134E" w:rsidRDefault="008D5B6E">
            <w:pPr>
              <w:jc w:val="center"/>
            </w:pPr>
            <w:r>
              <w:rPr>
                <w:color w:val="000000"/>
                <w:sz w:val="24"/>
                <w:szCs w:val="24"/>
              </w:rPr>
              <w:t>分众传媒</w:t>
            </w:r>
          </w:p>
        </w:tc>
        <w:tc>
          <w:tcPr>
            <w:tcW w:w="1880" w:type="dxa"/>
            <w:vAlign w:val="center"/>
          </w:tcPr>
          <w:p w:rsidR="0031134E" w:rsidRDefault="008D5B6E">
            <w:pPr>
              <w:jc w:val="right"/>
            </w:pPr>
            <w:r>
              <w:rPr>
                <w:color w:val="000000"/>
                <w:sz w:val="24"/>
                <w:szCs w:val="24"/>
              </w:rPr>
              <w:t>3,874,400.00</w:t>
            </w:r>
          </w:p>
        </w:tc>
        <w:tc>
          <w:tcPr>
            <w:tcW w:w="1724" w:type="dxa"/>
            <w:vAlign w:val="center"/>
          </w:tcPr>
          <w:p w:rsidR="0031134E" w:rsidRDefault="008D5B6E">
            <w:pPr>
              <w:jc w:val="right"/>
            </w:pPr>
            <w:r>
              <w:rPr>
                <w:color w:val="000000"/>
                <w:sz w:val="24"/>
                <w:szCs w:val="24"/>
              </w:rPr>
              <w:t>1.62</w:t>
            </w:r>
          </w:p>
        </w:tc>
        <w:tc>
          <w:tcPr>
            <w:tcW w:w="1424" w:type="dxa"/>
            <w:vAlign w:val="center"/>
          </w:tcPr>
          <w:p w:rsidR="0031134E" w:rsidRDefault="00EE760F" w:rsidP="00C90E4F">
            <w:pPr>
              <w:ind w:right="120"/>
              <w:jc w:val="center"/>
            </w:pPr>
            <w:r>
              <w:rPr>
                <w:color w:val="000000"/>
                <w:sz w:val="24"/>
                <w:szCs w:val="24"/>
              </w:rPr>
              <w:t xml:space="preserve"> </w:t>
            </w:r>
            <w:r w:rsidR="008D5B6E">
              <w:rPr>
                <w:rFonts w:hint="eastAsia"/>
                <w:color w:val="000000"/>
                <w:sz w:val="24"/>
                <w:szCs w:val="24"/>
              </w:rPr>
              <w:t>限售股</w:t>
            </w:r>
          </w:p>
        </w:tc>
      </w:tr>
      <w:tr w:rsidR="0031134E">
        <w:trPr>
          <w:jc w:val="center"/>
        </w:trPr>
        <w:tc>
          <w:tcPr>
            <w:tcW w:w="1129" w:type="dxa"/>
            <w:vAlign w:val="center"/>
          </w:tcPr>
          <w:p w:rsidR="0031134E" w:rsidRDefault="008D5B6E">
            <w:pPr>
              <w:jc w:val="center"/>
            </w:pPr>
            <w:r>
              <w:rPr>
                <w:color w:val="000000"/>
                <w:sz w:val="24"/>
                <w:szCs w:val="24"/>
              </w:rPr>
              <w:t>2</w:t>
            </w:r>
          </w:p>
        </w:tc>
        <w:tc>
          <w:tcPr>
            <w:tcW w:w="1356" w:type="dxa"/>
            <w:vAlign w:val="center"/>
          </w:tcPr>
          <w:p w:rsidR="0031134E" w:rsidRDefault="008D5B6E">
            <w:pPr>
              <w:jc w:val="center"/>
            </w:pPr>
            <w:r>
              <w:rPr>
                <w:color w:val="000000"/>
                <w:sz w:val="24"/>
                <w:szCs w:val="24"/>
              </w:rPr>
              <w:t>603986</w:t>
            </w:r>
          </w:p>
        </w:tc>
        <w:tc>
          <w:tcPr>
            <w:tcW w:w="1355" w:type="dxa"/>
            <w:vAlign w:val="center"/>
          </w:tcPr>
          <w:p w:rsidR="0031134E" w:rsidRDefault="008D5B6E">
            <w:pPr>
              <w:jc w:val="center"/>
            </w:pPr>
            <w:r>
              <w:rPr>
                <w:color w:val="000000"/>
                <w:sz w:val="24"/>
                <w:szCs w:val="24"/>
              </w:rPr>
              <w:t>兆易创新</w:t>
            </w:r>
          </w:p>
        </w:tc>
        <w:tc>
          <w:tcPr>
            <w:tcW w:w="1880" w:type="dxa"/>
            <w:vAlign w:val="center"/>
          </w:tcPr>
          <w:p w:rsidR="0031134E" w:rsidRDefault="008D5B6E">
            <w:pPr>
              <w:jc w:val="right"/>
            </w:pPr>
            <w:r>
              <w:rPr>
                <w:color w:val="000000"/>
                <w:sz w:val="24"/>
                <w:szCs w:val="24"/>
              </w:rPr>
              <w:t>11,083,212.00</w:t>
            </w:r>
          </w:p>
        </w:tc>
        <w:tc>
          <w:tcPr>
            <w:tcW w:w="1724" w:type="dxa"/>
            <w:vAlign w:val="center"/>
          </w:tcPr>
          <w:p w:rsidR="0031134E" w:rsidRDefault="008D5B6E">
            <w:pPr>
              <w:jc w:val="right"/>
            </w:pPr>
            <w:r>
              <w:rPr>
                <w:color w:val="000000"/>
                <w:sz w:val="24"/>
                <w:szCs w:val="24"/>
              </w:rPr>
              <w:t>4.64</w:t>
            </w:r>
          </w:p>
        </w:tc>
        <w:tc>
          <w:tcPr>
            <w:tcW w:w="1424" w:type="dxa"/>
            <w:vAlign w:val="center"/>
          </w:tcPr>
          <w:p w:rsidR="0031134E" w:rsidRDefault="008D5B6E" w:rsidP="00C90E4F">
            <w:pPr>
              <w:jc w:val="center"/>
            </w:pPr>
            <w:r>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50,700,063.03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55,725,834.61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19,657,441.31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86,768,456.33</w:t>
            </w:r>
          </w:p>
        </w:tc>
      </w:tr>
    </w:tbl>
    <w:p w:rsidR="0031134E" w:rsidRDefault="008D5B6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1134E" w:rsidRDefault="008D5B6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31134E" w:rsidRDefault="008D5B6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31134E" w:rsidRDefault="008D5B6E">
      <w:pPr>
        <w:spacing w:before="29" w:line="288" w:lineRule="auto"/>
        <w:ind w:firstLineChars="200" w:firstLine="480"/>
        <w:rPr>
          <w:color w:val="000000"/>
          <w:sz w:val="24"/>
          <w:szCs w:val="24"/>
        </w:rPr>
      </w:pPr>
      <w:r>
        <w:rPr>
          <w:color w:val="000000"/>
          <w:sz w:val="24"/>
          <w:szCs w:val="24"/>
        </w:rPr>
        <w:lastRenderedPageBreak/>
        <w:t>3</w:t>
      </w:r>
      <w:r>
        <w:rPr>
          <w:color w:val="000000"/>
          <w:sz w:val="24"/>
          <w:szCs w:val="24"/>
        </w:rPr>
        <w:t>、《交银施罗德定期支付双息平衡混合型证券投资基金招募说明书》；</w:t>
      </w:r>
      <w:r>
        <w:rPr>
          <w:color w:val="000000"/>
          <w:sz w:val="24"/>
          <w:szCs w:val="24"/>
        </w:rPr>
        <w:t xml:space="preserve"> </w:t>
      </w:r>
    </w:p>
    <w:p w:rsidR="0031134E" w:rsidRDefault="008D5B6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31134E" w:rsidRDefault="008D5B6E">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31134E" w:rsidRDefault="008D5B6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1134E" w:rsidRDefault="008D5B6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1134E" w:rsidRDefault="008D5B6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026" w:rsidRDefault="001F4026" w:rsidP="00876D65">
      <w:r>
        <w:separator/>
      </w:r>
    </w:p>
  </w:endnote>
  <w:endnote w:type="continuationSeparator" w:id="0">
    <w:p w:rsidR="001F4026" w:rsidRDefault="001F40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3118A1">
      <w:rPr>
        <w:noProof/>
        <w:kern w:val="0"/>
        <w:szCs w:val="21"/>
      </w:rPr>
      <w:t>11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3118A1">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026" w:rsidRDefault="001F4026" w:rsidP="00876D65">
      <w:r>
        <w:separator/>
      </w:r>
    </w:p>
  </w:footnote>
  <w:footnote w:type="continuationSeparator" w:id="0">
    <w:p w:rsidR="001F4026" w:rsidRDefault="001F402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75511"/>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4026"/>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34E"/>
    <w:rsid w:val="00311662"/>
    <w:rsid w:val="003118A1"/>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5B6E"/>
    <w:rsid w:val="008D7CBF"/>
    <w:rsid w:val="008E07EB"/>
    <w:rsid w:val="008E1D74"/>
    <w:rsid w:val="008E2DCB"/>
    <w:rsid w:val="008E326D"/>
    <w:rsid w:val="008E35F0"/>
    <w:rsid w:val="008F3B64"/>
    <w:rsid w:val="008F5F67"/>
    <w:rsid w:val="008F60F2"/>
    <w:rsid w:val="0090217D"/>
    <w:rsid w:val="00905C5E"/>
    <w:rsid w:val="009078DC"/>
    <w:rsid w:val="00912E8B"/>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1F6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0E4F"/>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E760F"/>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16DB5-65EE-4C6B-96C2-62F59208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49B5-9EBD-49E9-B82D-3896A8BA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572</cp:revision>
  <dcterms:created xsi:type="dcterms:W3CDTF">2012-10-16T06:07:00Z</dcterms:created>
  <dcterms:modified xsi:type="dcterms:W3CDTF">2018-01-18T03:28:00Z</dcterms:modified>
</cp:coreProperties>
</file>