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54,169,152.83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E62CBF">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51,422,526.03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2,746,626.80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-1,120,140.33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-62,523.11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-212,156.92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-12,814.51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3D7628">
            <w:pPr>
              <w:adjustRightInd w:val="0"/>
              <w:spacing w:before="29" w:line="288" w:lineRule="auto"/>
              <w:ind w:left="17"/>
              <w:jc w:val="right"/>
              <w:rPr>
                <w:color w:val="000000"/>
                <w:sz w:val="24"/>
              </w:rPr>
            </w:pPr>
            <w:r w:rsidRPr="007F52FA">
              <w:rPr>
                <w:color w:val="000000"/>
                <w:sz w:val="24"/>
              </w:rPr>
              <w:t>-0.</w:t>
            </w:r>
            <w:r w:rsidR="003D7628" w:rsidRPr="007F52FA">
              <w:rPr>
                <w:color w:val="000000"/>
                <w:sz w:val="24"/>
              </w:rPr>
              <w:t>003</w:t>
            </w:r>
            <w:r w:rsidR="003D7628">
              <w:rPr>
                <w:color w:val="000000"/>
                <w:sz w:val="24"/>
              </w:rPr>
              <w:t>8</w:t>
            </w:r>
          </w:p>
        </w:tc>
        <w:tc>
          <w:tcPr>
            <w:tcW w:w="2481" w:type="dxa"/>
            <w:vAlign w:val="center"/>
          </w:tcPr>
          <w:p w:rsidR="005F293E" w:rsidRPr="007F52FA" w:rsidRDefault="00FE7FBD" w:rsidP="003D7628">
            <w:pPr>
              <w:adjustRightInd w:val="0"/>
              <w:spacing w:before="29" w:line="288" w:lineRule="auto"/>
              <w:ind w:left="17"/>
              <w:jc w:val="right"/>
              <w:rPr>
                <w:color w:val="000000"/>
                <w:sz w:val="24"/>
              </w:rPr>
            </w:pPr>
            <w:r w:rsidRPr="007F52FA">
              <w:rPr>
                <w:color w:val="000000"/>
                <w:sz w:val="24"/>
              </w:rPr>
              <w:t>-0.</w:t>
            </w:r>
            <w:r w:rsidR="003D7628" w:rsidRPr="007F52FA">
              <w:rPr>
                <w:color w:val="000000"/>
                <w:sz w:val="24"/>
              </w:rPr>
              <w:t>00</w:t>
            </w:r>
            <w:r w:rsidR="003D7628">
              <w:rPr>
                <w:color w:val="000000"/>
                <w:sz w:val="24"/>
              </w:rPr>
              <w:t>45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71,474,079.90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3,746,354.87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1.364</w:t>
            </w:r>
          </w:p>
        </w:tc>
      </w:tr>
    </w:tbl>
    <w:p w:rsidR="00EF1D23" w:rsidRDefault="00E62CB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F1D23">
        <w:trPr>
          <w:jc w:val="center"/>
        </w:trPr>
        <w:tc>
          <w:tcPr>
            <w:tcW w:w="1266" w:type="dxa"/>
            <w:vAlign w:val="center"/>
          </w:tcPr>
          <w:p w:rsidR="00EF1D23" w:rsidRDefault="00E62CBF">
            <w:pPr>
              <w:jc w:val="left"/>
            </w:pPr>
            <w:r>
              <w:rPr>
                <w:color w:val="000000"/>
                <w:sz w:val="24"/>
              </w:rPr>
              <w:t>过去三个月</w:t>
            </w:r>
          </w:p>
        </w:tc>
        <w:tc>
          <w:tcPr>
            <w:tcW w:w="1267" w:type="dxa"/>
            <w:vAlign w:val="center"/>
          </w:tcPr>
          <w:p w:rsidR="00EF1D23" w:rsidRDefault="00E62CBF">
            <w:pPr>
              <w:jc w:val="center"/>
            </w:pPr>
            <w:r>
              <w:rPr>
                <w:color w:val="000000"/>
                <w:sz w:val="24"/>
              </w:rPr>
              <w:t>-0.22%</w:t>
            </w:r>
          </w:p>
        </w:tc>
        <w:tc>
          <w:tcPr>
            <w:tcW w:w="1267" w:type="dxa"/>
            <w:vAlign w:val="center"/>
          </w:tcPr>
          <w:p w:rsidR="00EF1D23" w:rsidRDefault="00E62CBF">
            <w:pPr>
              <w:jc w:val="center"/>
            </w:pPr>
            <w:r>
              <w:rPr>
                <w:color w:val="000000"/>
                <w:sz w:val="24"/>
              </w:rPr>
              <w:t>0.24%</w:t>
            </w:r>
          </w:p>
        </w:tc>
        <w:tc>
          <w:tcPr>
            <w:tcW w:w="1267" w:type="dxa"/>
            <w:vAlign w:val="center"/>
          </w:tcPr>
          <w:p w:rsidR="00EF1D23" w:rsidRDefault="00E62CBF">
            <w:pPr>
              <w:jc w:val="center"/>
            </w:pPr>
            <w:r>
              <w:rPr>
                <w:color w:val="000000"/>
                <w:sz w:val="24"/>
              </w:rPr>
              <w:t>-0.53%</w:t>
            </w:r>
          </w:p>
        </w:tc>
        <w:tc>
          <w:tcPr>
            <w:tcW w:w="1267" w:type="dxa"/>
            <w:vAlign w:val="center"/>
          </w:tcPr>
          <w:p w:rsidR="00EF1D23" w:rsidRDefault="00E62CBF">
            <w:pPr>
              <w:jc w:val="center"/>
            </w:pPr>
            <w:r>
              <w:rPr>
                <w:color w:val="000000"/>
                <w:sz w:val="24"/>
              </w:rPr>
              <w:t>0.09%</w:t>
            </w:r>
          </w:p>
        </w:tc>
        <w:tc>
          <w:tcPr>
            <w:tcW w:w="1267" w:type="dxa"/>
            <w:vAlign w:val="center"/>
          </w:tcPr>
          <w:p w:rsidR="00EF1D23" w:rsidRDefault="00E62CBF">
            <w:pPr>
              <w:jc w:val="center"/>
            </w:pPr>
            <w:r>
              <w:rPr>
                <w:color w:val="000000"/>
                <w:sz w:val="24"/>
              </w:rPr>
              <w:t>0.31%</w:t>
            </w:r>
          </w:p>
        </w:tc>
        <w:tc>
          <w:tcPr>
            <w:tcW w:w="1267" w:type="dxa"/>
            <w:vAlign w:val="center"/>
          </w:tcPr>
          <w:p w:rsidR="00EF1D23" w:rsidRDefault="00E62CBF">
            <w:pPr>
              <w:jc w:val="center"/>
            </w:pPr>
            <w:r>
              <w:rPr>
                <w:color w:val="000000"/>
                <w:sz w:val="24"/>
              </w:rPr>
              <w:t>0.15%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F1D23">
        <w:trPr>
          <w:jc w:val="center"/>
        </w:trPr>
        <w:tc>
          <w:tcPr>
            <w:tcW w:w="1266" w:type="dxa"/>
            <w:vAlign w:val="center"/>
          </w:tcPr>
          <w:p w:rsidR="00EF1D23" w:rsidRDefault="00E62CBF">
            <w:pPr>
              <w:jc w:val="left"/>
            </w:pPr>
            <w:r>
              <w:rPr>
                <w:color w:val="000000"/>
                <w:sz w:val="24"/>
              </w:rPr>
              <w:t>过去三个月</w:t>
            </w:r>
          </w:p>
        </w:tc>
        <w:tc>
          <w:tcPr>
            <w:tcW w:w="1267" w:type="dxa"/>
            <w:vAlign w:val="center"/>
          </w:tcPr>
          <w:p w:rsidR="00EF1D23" w:rsidRDefault="00E62CBF">
            <w:pPr>
              <w:jc w:val="center"/>
            </w:pPr>
            <w:r>
              <w:rPr>
                <w:color w:val="000000"/>
                <w:sz w:val="24"/>
              </w:rPr>
              <w:t>-0.29%</w:t>
            </w:r>
          </w:p>
        </w:tc>
        <w:tc>
          <w:tcPr>
            <w:tcW w:w="1267" w:type="dxa"/>
            <w:vAlign w:val="center"/>
          </w:tcPr>
          <w:p w:rsidR="00EF1D23" w:rsidRDefault="00E62CBF">
            <w:pPr>
              <w:jc w:val="center"/>
            </w:pPr>
            <w:r>
              <w:rPr>
                <w:color w:val="000000"/>
                <w:sz w:val="24"/>
              </w:rPr>
              <w:t>0.24%</w:t>
            </w:r>
          </w:p>
        </w:tc>
        <w:tc>
          <w:tcPr>
            <w:tcW w:w="1267" w:type="dxa"/>
            <w:vAlign w:val="center"/>
          </w:tcPr>
          <w:p w:rsidR="00EF1D23" w:rsidRDefault="00E62CBF">
            <w:pPr>
              <w:jc w:val="center"/>
            </w:pPr>
            <w:r>
              <w:rPr>
                <w:color w:val="000000"/>
                <w:sz w:val="24"/>
              </w:rPr>
              <w:t>-0.53%</w:t>
            </w:r>
          </w:p>
        </w:tc>
        <w:tc>
          <w:tcPr>
            <w:tcW w:w="1267" w:type="dxa"/>
            <w:vAlign w:val="center"/>
          </w:tcPr>
          <w:p w:rsidR="00EF1D23" w:rsidRDefault="00E62CBF">
            <w:pPr>
              <w:jc w:val="center"/>
            </w:pPr>
            <w:r>
              <w:rPr>
                <w:color w:val="000000"/>
                <w:sz w:val="24"/>
              </w:rPr>
              <w:t>0.09%</w:t>
            </w:r>
          </w:p>
        </w:tc>
        <w:tc>
          <w:tcPr>
            <w:tcW w:w="1267" w:type="dxa"/>
            <w:vAlign w:val="center"/>
          </w:tcPr>
          <w:p w:rsidR="00EF1D23" w:rsidRDefault="00E62CBF">
            <w:pPr>
              <w:jc w:val="center"/>
            </w:pPr>
            <w:r>
              <w:rPr>
                <w:color w:val="000000"/>
                <w:sz w:val="24"/>
              </w:rPr>
              <w:t>0.24%</w:t>
            </w:r>
          </w:p>
        </w:tc>
        <w:tc>
          <w:tcPr>
            <w:tcW w:w="1267" w:type="dxa"/>
            <w:vAlign w:val="center"/>
          </w:tcPr>
          <w:p w:rsidR="00EF1D23" w:rsidRDefault="00E62CBF">
            <w:pPr>
              <w:jc w:val="center"/>
            </w:pPr>
            <w:r>
              <w:rPr>
                <w:color w:val="000000"/>
                <w:sz w:val="24"/>
              </w:rPr>
              <w:t>0.15%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5B46E8"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F1D23">
        <w:trPr>
          <w:jc w:val="center"/>
        </w:trPr>
        <w:tc>
          <w:tcPr>
            <w:tcW w:w="946" w:type="dxa"/>
            <w:vAlign w:val="center"/>
          </w:tcPr>
          <w:p w:rsidR="00EF1D23" w:rsidRDefault="00E62CBF">
            <w:pPr>
              <w:jc w:val="center"/>
            </w:pPr>
            <w:r>
              <w:rPr>
                <w:color w:val="000000"/>
                <w:sz w:val="24"/>
              </w:rPr>
              <w:t>于海颖</w:t>
            </w:r>
          </w:p>
        </w:tc>
        <w:tc>
          <w:tcPr>
            <w:tcW w:w="924" w:type="dxa"/>
            <w:vAlign w:val="center"/>
          </w:tcPr>
          <w:p w:rsidR="00EF1D23" w:rsidRDefault="00E62CBF">
            <w:pPr>
              <w:jc w:val="center"/>
            </w:pPr>
            <w:r>
              <w:rPr>
                <w:color w:val="000000"/>
                <w:sz w:val="24"/>
              </w:rPr>
              <w:t>交银增利债券、交银纯债债券发起、交银荣祥</w:t>
            </w:r>
            <w:r>
              <w:rPr>
                <w:color w:val="000000"/>
                <w:sz w:val="24"/>
              </w:rPr>
              <w:lastRenderedPageBreak/>
              <w:t>保本混合、交银定期支付月月丰债券、交银增强收益债券、交银强化回报债券、交银丰盈收益债券、交银丰硕收益债券、交银荣鑫保本混合、交银增利增强债券的基金经理，公司固定收益（公募）投资总监</w:t>
            </w:r>
          </w:p>
        </w:tc>
        <w:tc>
          <w:tcPr>
            <w:tcW w:w="1202" w:type="dxa"/>
            <w:vAlign w:val="center"/>
          </w:tcPr>
          <w:p w:rsidR="00EF1D23" w:rsidRDefault="00E62CBF">
            <w:pPr>
              <w:jc w:val="center"/>
            </w:pPr>
            <w:r>
              <w:rPr>
                <w:color w:val="000000"/>
                <w:sz w:val="24"/>
              </w:rPr>
              <w:lastRenderedPageBreak/>
              <w:t>2017-06-10</w:t>
            </w:r>
          </w:p>
        </w:tc>
        <w:tc>
          <w:tcPr>
            <w:tcW w:w="1300" w:type="dxa"/>
            <w:vAlign w:val="center"/>
          </w:tcPr>
          <w:p w:rsidR="00EF1D23" w:rsidRDefault="00E62CBF">
            <w:pPr>
              <w:jc w:val="center"/>
            </w:pPr>
            <w:r>
              <w:rPr>
                <w:color w:val="000000"/>
                <w:sz w:val="24"/>
              </w:rPr>
              <w:t>-</w:t>
            </w:r>
          </w:p>
        </w:tc>
        <w:tc>
          <w:tcPr>
            <w:tcW w:w="1245" w:type="dxa"/>
            <w:vAlign w:val="center"/>
          </w:tcPr>
          <w:p w:rsidR="00EF1D23" w:rsidRDefault="00E62CBF">
            <w:pPr>
              <w:jc w:val="center"/>
            </w:pPr>
            <w:r>
              <w:rPr>
                <w:color w:val="000000"/>
                <w:sz w:val="24"/>
              </w:rPr>
              <w:t>11</w:t>
            </w:r>
            <w:r>
              <w:rPr>
                <w:color w:val="000000"/>
                <w:sz w:val="24"/>
              </w:rPr>
              <w:t>年</w:t>
            </w:r>
          </w:p>
        </w:tc>
        <w:tc>
          <w:tcPr>
            <w:tcW w:w="3251" w:type="dxa"/>
            <w:vAlign w:val="center"/>
          </w:tcPr>
          <w:p w:rsidR="00EF1D23" w:rsidRDefault="00E62CBF">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w:t>
            </w:r>
            <w:r>
              <w:rPr>
                <w:color w:val="000000"/>
                <w:sz w:val="24"/>
              </w:rPr>
              <w:lastRenderedPageBreak/>
              <w:t>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EF1D23" w:rsidRDefault="00E62CB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F1D23" w:rsidRDefault="00E62CB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F1D23" w:rsidRDefault="00E62CB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F1D23" w:rsidRDefault="00E62CBF">
      <w:pPr>
        <w:spacing w:before="29" w:line="288" w:lineRule="auto"/>
        <w:ind w:firstLineChars="200" w:firstLine="480"/>
        <w:rPr>
          <w:color w:val="000000"/>
          <w:sz w:val="24"/>
        </w:rPr>
      </w:pPr>
      <w:r>
        <w:rPr>
          <w:color w:val="000000"/>
          <w:sz w:val="24"/>
        </w:rPr>
        <w:t>本报告期内，经济数据表现依然强劲，对二级市场收益率产生压力。此外，央行保持中性货币政策，监管层推进金融监管意图坚决也影响了债市情绪，债市自十一月中旬击破年内高点后，出现了一轮明显下跌，随着央行对资金面相对呵护，叠加国开行等利率债发债主体在高利率环境下对发行计划进行了适度调整，市场情绪有所缓和，年末收益率高位企稳。</w:t>
      </w:r>
    </w:p>
    <w:p w:rsidR="00EF1D23" w:rsidRDefault="00E62CBF">
      <w:pPr>
        <w:spacing w:before="29" w:line="288" w:lineRule="auto"/>
        <w:ind w:firstLineChars="200" w:firstLine="480"/>
        <w:rPr>
          <w:color w:val="000000"/>
          <w:sz w:val="24"/>
        </w:rPr>
      </w:pPr>
      <w:r>
        <w:rPr>
          <w:color w:val="000000"/>
          <w:sz w:val="24"/>
        </w:rPr>
        <w:t>权益市场方面，四季度市场经历十月至十一月中旬的上涨后回落，在前期表现强势</w:t>
      </w:r>
      <w:r>
        <w:rPr>
          <w:color w:val="000000"/>
          <w:sz w:val="24"/>
        </w:rPr>
        <w:lastRenderedPageBreak/>
        <w:t>的板块方面，白酒、家电及保险保持相对强势，消费电子及新能源汽车则经历了阶段性调整。</w:t>
      </w:r>
    </w:p>
    <w:p w:rsidR="00EF1D23" w:rsidRDefault="00E62CBF">
      <w:pPr>
        <w:spacing w:before="29" w:line="288" w:lineRule="auto"/>
        <w:ind w:firstLineChars="200" w:firstLine="480"/>
        <w:rPr>
          <w:color w:val="000000"/>
          <w:sz w:val="24"/>
        </w:rPr>
      </w:pPr>
      <w:r>
        <w:rPr>
          <w:color w:val="000000"/>
          <w:sz w:val="24"/>
        </w:rPr>
        <w:t>报告期内，前期组合大部分债券仓位主要以偏短久期利率债为主，以维持组合的流动性，避免债市调整对组合收益的影响，并于十一月底债市调整到相对低位时适当拉长组合久期，提升组合静态收益。权益方面，我们重点关注代表着未来新兴产业升级与发展方向的成长股，并根据权益市场估值变动情况，动态调整组合仓位。</w:t>
      </w:r>
    </w:p>
    <w:p w:rsidR="00952A72" w:rsidRPr="007F52FA" w:rsidRDefault="00323F25" w:rsidP="007C14DF">
      <w:pPr>
        <w:spacing w:before="29" w:line="288" w:lineRule="auto"/>
        <w:ind w:firstLineChars="200" w:firstLine="480"/>
        <w:rPr>
          <w:color w:val="000000"/>
          <w:sz w:val="24"/>
        </w:rPr>
      </w:pPr>
      <w:r w:rsidRPr="007F52FA">
        <w:rPr>
          <w:color w:val="000000"/>
          <w:sz w:val="24"/>
        </w:rPr>
        <w:t>展望一季度，经济基本面面临一段数据真空期，市场对经济基本面强韧的预期也将维持。尽管通胀预期在一季度缓步上行，但对货币政策的约束尚不存在，短期我们对债市持谨慎态度。一季度过后若</w:t>
      </w:r>
      <w:r w:rsidRPr="007F52FA">
        <w:rPr>
          <w:color w:val="000000"/>
          <w:sz w:val="24"/>
        </w:rPr>
        <w:t>CPI</w:t>
      </w:r>
      <w:r w:rsidRPr="007F52FA">
        <w:rPr>
          <w:color w:val="000000"/>
          <w:sz w:val="24"/>
        </w:rPr>
        <w:t>冲高回落，监管政策落地情绪缓解，债市机会或阶段性出现。权益方面，一季度我们将从细分行业景气度及业绩指标精选个股，择机配置。</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日，交银定期支付月月丰债券</w:t>
      </w:r>
      <w:r w:rsidRPr="007F52FA">
        <w:rPr>
          <w:color w:val="000000"/>
          <w:sz w:val="24"/>
        </w:rPr>
        <w:t>A</w:t>
      </w:r>
      <w:r w:rsidRPr="007F52FA">
        <w:rPr>
          <w:color w:val="000000"/>
          <w:sz w:val="24"/>
        </w:rPr>
        <w:t>类份额净值为</w:t>
      </w:r>
      <w:r w:rsidRPr="007F52FA">
        <w:rPr>
          <w:color w:val="000000"/>
          <w:sz w:val="24"/>
        </w:rPr>
        <w:t>1.390</w:t>
      </w:r>
      <w:r w:rsidRPr="007F52FA">
        <w:rPr>
          <w:color w:val="000000"/>
          <w:sz w:val="24"/>
        </w:rPr>
        <w:t>元，本报告期份额净值增长率为</w:t>
      </w:r>
      <w:r w:rsidRPr="007F52FA">
        <w:rPr>
          <w:color w:val="000000"/>
          <w:sz w:val="24"/>
        </w:rPr>
        <w:t>-0.22%</w:t>
      </w:r>
      <w:r w:rsidRPr="007F52FA">
        <w:rPr>
          <w:color w:val="000000"/>
          <w:sz w:val="24"/>
        </w:rPr>
        <w:t>，同期业绩比较基准增长率为</w:t>
      </w:r>
      <w:r w:rsidRPr="007F52FA">
        <w:rPr>
          <w:color w:val="000000"/>
          <w:sz w:val="24"/>
        </w:rPr>
        <w:t>-0.53%</w:t>
      </w:r>
      <w:r w:rsidRPr="007F52FA">
        <w:rPr>
          <w:color w:val="000000"/>
          <w:sz w:val="24"/>
        </w:rPr>
        <w:t>；交银定期支付月月丰债券</w:t>
      </w:r>
      <w:r w:rsidRPr="007F52FA">
        <w:rPr>
          <w:color w:val="000000"/>
          <w:sz w:val="24"/>
        </w:rPr>
        <w:t>C</w:t>
      </w:r>
      <w:r w:rsidRPr="007F52FA">
        <w:rPr>
          <w:color w:val="000000"/>
          <w:sz w:val="24"/>
        </w:rPr>
        <w:t>类份额净值为</w:t>
      </w:r>
      <w:r w:rsidRPr="007F52FA">
        <w:rPr>
          <w:color w:val="000000"/>
          <w:sz w:val="24"/>
        </w:rPr>
        <w:t>1.364</w:t>
      </w:r>
      <w:r w:rsidRPr="007F52FA">
        <w:rPr>
          <w:color w:val="000000"/>
          <w:sz w:val="24"/>
        </w:rPr>
        <w:t>元，本报告期份额净值增长率为</w:t>
      </w:r>
      <w:r w:rsidRPr="007F52FA">
        <w:rPr>
          <w:color w:val="000000"/>
          <w:sz w:val="24"/>
        </w:rPr>
        <w:t>-0.29%</w:t>
      </w:r>
      <w:r w:rsidRPr="007F52FA">
        <w:rPr>
          <w:color w:val="000000"/>
          <w:sz w:val="24"/>
        </w:rPr>
        <w:t>，同期业绩比较基准增长率为</w:t>
      </w:r>
      <w:r w:rsidRPr="007F52FA">
        <w:rPr>
          <w:color w:val="000000"/>
          <w:sz w:val="24"/>
        </w:rPr>
        <w:t>-0.53%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6,371,053.96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6,371,053.96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61,722,853.40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81.15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61,722,853.40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81.15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2,300,000.00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w:t>
            </w:r>
            <w:r w:rsidRPr="007F52FA">
              <w:rPr>
                <w:color w:val="000000"/>
                <w:sz w:val="24"/>
              </w:rPr>
              <w:lastRenderedPageBreak/>
              <w:t>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lastRenderedPageBreak/>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1,653,465.47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4,010,168.88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5.27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76,057,541.71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751,438.00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1.00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3,008,495.96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1,099,560.00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1,511,560.00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6,371,053.96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8.47</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EF1D23">
        <w:trPr>
          <w:jc w:val="center"/>
        </w:trPr>
        <w:tc>
          <w:tcPr>
            <w:tcW w:w="850" w:type="dxa"/>
            <w:vAlign w:val="center"/>
          </w:tcPr>
          <w:p w:rsidR="00EF1D23" w:rsidRDefault="00E62CBF">
            <w:pPr>
              <w:jc w:val="center"/>
            </w:pPr>
            <w:r>
              <w:rPr>
                <w:color w:val="000000"/>
                <w:sz w:val="24"/>
              </w:rPr>
              <w:t>1</w:t>
            </w:r>
          </w:p>
        </w:tc>
        <w:tc>
          <w:tcPr>
            <w:tcW w:w="1327" w:type="dxa"/>
            <w:vAlign w:val="center"/>
          </w:tcPr>
          <w:p w:rsidR="00EF1D23" w:rsidRDefault="00E62CBF">
            <w:pPr>
              <w:jc w:val="center"/>
            </w:pPr>
            <w:r>
              <w:rPr>
                <w:color w:val="000000"/>
                <w:sz w:val="24"/>
              </w:rPr>
              <w:t>600885</w:t>
            </w:r>
          </w:p>
        </w:tc>
        <w:tc>
          <w:tcPr>
            <w:tcW w:w="1769" w:type="dxa"/>
            <w:vAlign w:val="center"/>
          </w:tcPr>
          <w:p w:rsidR="00EF1D23" w:rsidRDefault="00E62CBF">
            <w:pPr>
              <w:jc w:val="center"/>
            </w:pPr>
            <w:r>
              <w:rPr>
                <w:color w:val="000000"/>
                <w:sz w:val="24"/>
              </w:rPr>
              <w:t>宏发股份</w:t>
            </w:r>
          </w:p>
        </w:tc>
        <w:tc>
          <w:tcPr>
            <w:tcW w:w="1327" w:type="dxa"/>
            <w:vAlign w:val="center"/>
          </w:tcPr>
          <w:p w:rsidR="00EF1D23" w:rsidRDefault="00E62CBF">
            <w:pPr>
              <w:jc w:val="right"/>
            </w:pPr>
            <w:r>
              <w:rPr>
                <w:color w:val="000000"/>
                <w:sz w:val="24"/>
              </w:rPr>
              <w:t>54,508</w:t>
            </w:r>
          </w:p>
        </w:tc>
        <w:tc>
          <w:tcPr>
            <w:tcW w:w="1915" w:type="dxa"/>
            <w:vAlign w:val="center"/>
          </w:tcPr>
          <w:p w:rsidR="00EF1D23" w:rsidRDefault="00E62CBF">
            <w:pPr>
              <w:jc w:val="right"/>
            </w:pPr>
            <w:r>
              <w:rPr>
                <w:color w:val="000000"/>
                <w:sz w:val="24"/>
              </w:rPr>
              <w:t>2,254,995.96</w:t>
            </w:r>
          </w:p>
        </w:tc>
        <w:tc>
          <w:tcPr>
            <w:tcW w:w="1680" w:type="dxa"/>
            <w:vAlign w:val="center"/>
          </w:tcPr>
          <w:p w:rsidR="00EF1D23" w:rsidRDefault="00E62CBF">
            <w:pPr>
              <w:jc w:val="right"/>
            </w:pPr>
            <w:r>
              <w:rPr>
                <w:color w:val="000000"/>
                <w:sz w:val="24"/>
              </w:rPr>
              <w:t>3.00</w:t>
            </w:r>
          </w:p>
        </w:tc>
      </w:tr>
      <w:tr w:rsidR="00EF1D23">
        <w:trPr>
          <w:jc w:val="center"/>
        </w:trPr>
        <w:tc>
          <w:tcPr>
            <w:tcW w:w="850" w:type="dxa"/>
            <w:vAlign w:val="center"/>
          </w:tcPr>
          <w:p w:rsidR="00EF1D23" w:rsidRDefault="00E62CBF">
            <w:pPr>
              <w:jc w:val="center"/>
            </w:pPr>
            <w:r>
              <w:rPr>
                <w:color w:val="000000"/>
                <w:sz w:val="24"/>
              </w:rPr>
              <w:t>2</w:t>
            </w:r>
          </w:p>
        </w:tc>
        <w:tc>
          <w:tcPr>
            <w:tcW w:w="1327" w:type="dxa"/>
            <w:vAlign w:val="center"/>
          </w:tcPr>
          <w:p w:rsidR="00EF1D23" w:rsidRDefault="00E62CBF">
            <w:pPr>
              <w:jc w:val="center"/>
            </w:pPr>
            <w:r>
              <w:rPr>
                <w:color w:val="000000"/>
                <w:sz w:val="24"/>
              </w:rPr>
              <w:t>601398</w:t>
            </w:r>
          </w:p>
        </w:tc>
        <w:tc>
          <w:tcPr>
            <w:tcW w:w="1769" w:type="dxa"/>
            <w:vAlign w:val="center"/>
          </w:tcPr>
          <w:p w:rsidR="00EF1D23" w:rsidRDefault="00E62CBF">
            <w:pPr>
              <w:jc w:val="center"/>
            </w:pPr>
            <w:r>
              <w:rPr>
                <w:color w:val="000000"/>
                <w:sz w:val="24"/>
              </w:rPr>
              <w:t>工商银行</w:t>
            </w:r>
          </w:p>
        </w:tc>
        <w:tc>
          <w:tcPr>
            <w:tcW w:w="1327" w:type="dxa"/>
            <w:vAlign w:val="center"/>
          </w:tcPr>
          <w:p w:rsidR="00EF1D23" w:rsidRDefault="00E62CBF">
            <w:pPr>
              <w:jc w:val="right"/>
            </w:pPr>
            <w:r>
              <w:rPr>
                <w:color w:val="000000"/>
                <w:sz w:val="24"/>
              </w:rPr>
              <w:t>243,800</w:t>
            </w:r>
          </w:p>
        </w:tc>
        <w:tc>
          <w:tcPr>
            <w:tcW w:w="1915" w:type="dxa"/>
            <w:vAlign w:val="center"/>
          </w:tcPr>
          <w:p w:rsidR="00EF1D23" w:rsidRDefault="00E62CBF">
            <w:pPr>
              <w:jc w:val="right"/>
            </w:pPr>
            <w:r>
              <w:rPr>
                <w:color w:val="000000"/>
                <w:sz w:val="24"/>
              </w:rPr>
              <w:t>1,511,560.00</w:t>
            </w:r>
          </w:p>
        </w:tc>
        <w:tc>
          <w:tcPr>
            <w:tcW w:w="1680" w:type="dxa"/>
            <w:vAlign w:val="center"/>
          </w:tcPr>
          <w:p w:rsidR="00EF1D23" w:rsidRDefault="00E62CBF">
            <w:pPr>
              <w:jc w:val="right"/>
            </w:pPr>
            <w:r>
              <w:rPr>
                <w:color w:val="000000"/>
                <w:sz w:val="24"/>
              </w:rPr>
              <w:t>2.01</w:t>
            </w:r>
          </w:p>
        </w:tc>
      </w:tr>
      <w:tr w:rsidR="00EF1D23">
        <w:trPr>
          <w:jc w:val="center"/>
        </w:trPr>
        <w:tc>
          <w:tcPr>
            <w:tcW w:w="850" w:type="dxa"/>
            <w:vAlign w:val="center"/>
          </w:tcPr>
          <w:p w:rsidR="00EF1D23" w:rsidRDefault="00E62CBF">
            <w:pPr>
              <w:jc w:val="center"/>
            </w:pPr>
            <w:r>
              <w:rPr>
                <w:color w:val="000000"/>
                <w:sz w:val="24"/>
              </w:rPr>
              <w:t>3</w:t>
            </w:r>
          </w:p>
        </w:tc>
        <w:tc>
          <w:tcPr>
            <w:tcW w:w="1327" w:type="dxa"/>
            <w:vAlign w:val="center"/>
          </w:tcPr>
          <w:p w:rsidR="00EF1D23" w:rsidRDefault="00E62CBF">
            <w:pPr>
              <w:jc w:val="center"/>
            </w:pPr>
            <w:r>
              <w:rPr>
                <w:color w:val="000000"/>
                <w:sz w:val="24"/>
              </w:rPr>
              <w:t>002410</w:t>
            </w:r>
          </w:p>
        </w:tc>
        <w:tc>
          <w:tcPr>
            <w:tcW w:w="1769" w:type="dxa"/>
            <w:vAlign w:val="center"/>
          </w:tcPr>
          <w:p w:rsidR="00EF1D23" w:rsidRDefault="00E62CBF">
            <w:pPr>
              <w:jc w:val="center"/>
            </w:pPr>
            <w:r>
              <w:rPr>
                <w:color w:val="000000"/>
                <w:sz w:val="24"/>
              </w:rPr>
              <w:t>广联达</w:t>
            </w:r>
          </w:p>
        </w:tc>
        <w:tc>
          <w:tcPr>
            <w:tcW w:w="1327" w:type="dxa"/>
            <w:vAlign w:val="center"/>
          </w:tcPr>
          <w:p w:rsidR="00EF1D23" w:rsidRDefault="00E62CBF">
            <w:pPr>
              <w:jc w:val="right"/>
            </w:pPr>
            <w:r>
              <w:rPr>
                <w:color w:val="000000"/>
                <w:sz w:val="24"/>
              </w:rPr>
              <w:t>56,100</w:t>
            </w:r>
          </w:p>
        </w:tc>
        <w:tc>
          <w:tcPr>
            <w:tcW w:w="1915" w:type="dxa"/>
            <w:vAlign w:val="center"/>
          </w:tcPr>
          <w:p w:rsidR="00EF1D23" w:rsidRDefault="00E62CBF">
            <w:pPr>
              <w:jc w:val="right"/>
            </w:pPr>
            <w:r>
              <w:rPr>
                <w:color w:val="000000"/>
                <w:sz w:val="24"/>
              </w:rPr>
              <w:t>1,099,560.00</w:t>
            </w:r>
          </w:p>
        </w:tc>
        <w:tc>
          <w:tcPr>
            <w:tcW w:w="1680" w:type="dxa"/>
            <w:vAlign w:val="center"/>
          </w:tcPr>
          <w:p w:rsidR="00EF1D23" w:rsidRDefault="00E62CBF">
            <w:pPr>
              <w:jc w:val="right"/>
            </w:pPr>
            <w:r>
              <w:rPr>
                <w:color w:val="000000"/>
                <w:sz w:val="24"/>
              </w:rPr>
              <w:t>1.46</w:t>
            </w:r>
          </w:p>
        </w:tc>
      </w:tr>
      <w:tr w:rsidR="00EF1D23">
        <w:trPr>
          <w:jc w:val="center"/>
        </w:trPr>
        <w:tc>
          <w:tcPr>
            <w:tcW w:w="850" w:type="dxa"/>
            <w:vAlign w:val="center"/>
          </w:tcPr>
          <w:p w:rsidR="00EF1D23" w:rsidRDefault="00E62CBF">
            <w:pPr>
              <w:jc w:val="center"/>
            </w:pPr>
            <w:r>
              <w:rPr>
                <w:color w:val="000000"/>
                <w:sz w:val="24"/>
              </w:rPr>
              <w:t>4</w:t>
            </w:r>
          </w:p>
        </w:tc>
        <w:tc>
          <w:tcPr>
            <w:tcW w:w="1327" w:type="dxa"/>
            <w:vAlign w:val="center"/>
          </w:tcPr>
          <w:p w:rsidR="00EF1D23" w:rsidRDefault="00E62CBF">
            <w:pPr>
              <w:jc w:val="center"/>
            </w:pPr>
            <w:r>
              <w:rPr>
                <w:color w:val="000000"/>
                <w:sz w:val="24"/>
              </w:rPr>
              <w:t>002035</w:t>
            </w:r>
          </w:p>
        </w:tc>
        <w:tc>
          <w:tcPr>
            <w:tcW w:w="1769" w:type="dxa"/>
            <w:vAlign w:val="center"/>
          </w:tcPr>
          <w:p w:rsidR="00EF1D23" w:rsidRDefault="00E62CBF">
            <w:pPr>
              <w:jc w:val="center"/>
            </w:pPr>
            <w:r>
              <w:rPr>
                <w:color w:val="000000"/>
                <w:sz w:val="24"/>
              </w:rPr>
              <w:t>华帝股份</w:t>
            </w:r>
          </w:p>
        </w:tc>
        <w:tc>
          <w:tcPr>
            <w:tcW w:w="1327" w:type="dxa"/>
            <w:vAlign w:val="center"/>
          </w:tcPr>
          <w:p w:rsidR="00EF1D23" w:rsidRDefault="00E62CBF">
            <w:pPr>
              <w:jc w:val="right"/>
            </w:pPr>
            <w:r>
              <w:rPr>
                <w:color w:val="000000"/>
                <w:sz w:val="24"/>
              </w:rPr>
              <w:t>25,000</w:t>
            </w:r>
          </w:p>
        </w:tc>
        <w:tc>
          <w:tcPr>
            <w:tcW w:w="1915" w:type="dxa"/>
            <w:vAlign w:val="center"/>
          </w:tcPr>
          <w:p w:rsidR="00EF1D23" w:rsidRDefault="00E62CBF">
            <w:pPr>
              <w:jc w:val="right"/>
            </w:pPr>
            <w:r>
              <w:rPr>
                <w:color w:val="000000"/>
                <w:sz w:val="24"/>
              </w:rPr>
              <w:t>753,500.00</w:t>
            </w:r>
          </w:p>
        </w:tc>
        <w:tc>
          <w:tcPr>
            <w:tcW w:w="1680" w:type="dxa"/>
            <w:vAlign w:val="center"/>
          </w:tcPr>
          <w:p w:rsidR="00EF1D23" w:rsidRDefault="00E62CBF">
            <w:pPr>
              <w:jc w:val="right"/>
            </w:pPr>
            <w:r>
              <w:rPr>
                <w:color w:val="000000"/>
                <w:sz w:val="24"/>
              </w:rPr>
              <w:t>1.00</w:t>
            </w:r>
          </w:p>
        </w:tc>
      </w:tr>
      <w:tr w:rsidR="00EF1D23">
        <w:trPr>
          <w:jc w:val="center"/>
        </w:trPr>
        <w:tc>
          <w:tcPr>
            <w:tcW w:w="850" w:type="dxa"/>
            <w:vAlign w:val="center"/>
          </w:tcPr>
          <w:p w:rsidR="00EF1D23" w:rsidRDefault="00E62CBF">
            <w:pPr>
              <w:jc w:val="center"/>
            </w:pPr>
            <w:r>
              <w:rPr>
                <w:color w:val="000000"/>
                <w:sz w:val="24"/>
              </w:rPr>
              <w:t>5</w:t>
            </w:r>
          </w:p>
        </w:tc>
        <w:tc>
          <w:tcPr>
            <w:tcW w:w="1327" w:type="dxa"/>
            <w:vAlign w:val="center"/>
          </w:tcPr>
          <w:p w:rsidR="00EF1D23" w:rsidRDefault="00E62CBF">
            <w:pPr>
              <w:jc w:val="center"/>
            </w:pPr>
            <w:r>
              <w:rPr>
                <w:color w:val="000000"/>
                <w:sz w:val="24"/>
              </w:rPr>
              <w:t>600547</w:t>
            </w:r>
          </w:p>
        </w:tc>
        <w:tc>
          <w:tcPr>
            <w:tcW w:w="1769" w:type="dxa"/>
            <w:vAlign w:val="center"/>
          </w:tcPr>
          <w:p w:rsidR="00EF1D23" w:rsidRDefault="00E62CBF">
            <w:pPr>
              <w:jc w:val="center"/>
            </w:pPr>
            <w:r>
              <w:rPr>
                <w:color w:val="000000"/>
                <w:sz w:val="24"/>
              </w:rPr>
              <w:t>山东黄金</w:t>
            </w:r>
          </w:p>
        </w:tc>
        <w:tc>
          <w:tcPr>
            <w:tcW w:w="1327" w:type="dxa"/>
            <w:vAlign w:val="center"/>
          </w:tcPr>
          <w:p w:rsidR="00EF1D23" w:rsidRDefault="00E62CBF">
            <w:pPr>
              <w:jc w:val="right"/>
            </w:pPr>
            <w:r>
              <w:rPr>
                <w:color w:val="000000"/>
                <w:sz w:val="24"/>
              </w:rPr>
              <w:t>24,100</w:t>
            </w:r>
          </w:p>
        </w:tc>
        <w:tc>
          <w:tcPr>
            <w:tcW w:w="1915" w:type="dxa"/>
            <w:vAlign w:val="center"/>
          </w:tcPr>
          <w:p w:rsidR="00EF1D23" w:rsidRDefault="00E62CBF">
            <w:pPr>
              <w:jc w:val="right"/>
            </w:pPr>
            <w:r>
              <w:rPr>
                <w:color w:val="000000"/>
                <w:sz w:val="24"/>
              </w:rPr>
              <w:t>751,438.00</w:t>
            </w:r>
          </w:p>
        </w:tc>
        <w:tc>
          <w:tcPr>
            <w:tcW w:w="1680" w:type="dxa"/>
            <w:vAlign w:val="center"/>
          </w:tcPr>
          <w:p w:rsidR="00EF1D23" w:rsidRDefault="00E62CBF">
            <w:pPr>
              <w:jc w:val="right"/>
            </w:pPr>
            <w:r>
              <w:rPr>
                <w:color w:val="000000"/>
                <w:sz w:val="24"/>
              </w:rPr>
              <w:t>1.00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14,474,543.10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46,242,710.30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46,242,710.30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1,005,600.00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61,722,853.40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F1D23">
        <w:trPr>
          <w:jc w:val="center"/>
        </w:trPr>
        <w:tc>
          <w:tcPr>
            <w:tcW w:w="1075" w:type="dxa"/>
            <w:vAlign w:val="center"/>
          </w:tcPr>
          <w:p w:rsidR="00EF1D23" w:rsidRDefault="00E62CBF">
            <w:pPr>
              <w:jc w:val="center"/>
            </w:pPr>
            <w:r>
              <w:rPr>
                <w:color w:val="000000"/>
                <w:sz w:val="24"/>
              </w:rPr>
              <w:t>1</w:t>
            </w:r>
          </w:p>
        </w:tc>
        <w:tc>
          <w:tcPr>
            <w:tcW w:w="1533" w:type="dxa"/>
            <w:vAlign w:val="center"/>
          </w:tcPr>
          <w:p w:rsidR="00EF1D23" w:rsidRDefault="00E62CBF">
            <w:pPr>
              <w:jc w:val="center"/>
            </w:pPr>
            <w:r>
              <w:rPr>
                <w:color w:val="000000"/>
                <w:sz w:val="24"/>
              </w:rPr>
              <w:t>018005</w:t>
            </w:r>
          </w:p>
        </w:tc>
        <w:tc>
          <w:tcPr>
            <w:tcW w:w="1533" w:type="dxa"/>
            <w:vAlign w:val="center"/>
          </w:tcPr>
          <w:p w:rsidR="00EF1D23" w:rsidRDefault="00E62CBF">
            <w:pPr>
              <w:jc w:val="center"/>
            </w:pPr>
            <w:r>
              <w:rPr>
                <w:color w:val="000000"/>
                <w:sz w:val="24"/>
              </w:rPr>
              <w:t>国开</w:t>
            </w:r>
            <w:r>
              <w:rPr>
                <w:color w:val="000000"/>
                <w:sz w:val="24"/>
              </w:rPr>
              <w:t>1701</w:t>
            </w:r>
          </w:p>
        </w:tc>
        <w:tc>
          <w:tcPr>
            <w:tcW w:w="1394" w:type="dxa"/>
            <w:vAlign w:val="center"/>
          </w:tcPr>
          <w:p w:rsidR="00EF1D23" w:rsidRDefault="00E62CBF">
            <w:pPr>
              <w:jc w:val="right"/>
            </w:pPr>
            <w:r>
              <w:rPr>
                <w:color w:val="000000"/>
                <w:sz w:val="24"/>
              </w:rPr>
              <w:t>221,270</w:t>
            </w:r>
          </w:p>
        </w:tc>
        <w:tc>
          <w:tcPr>
            <w:tcW w:w="1944" w:type="dxa"/>
            <w:vAlign w:val="center"/>
          </w:tcPr>
          <w:p w:rsidR="00EF1D23" w:rsidRDefault="00E62CBF">
            <w:pPr>
              <w:jc w:val="right"/>
            </w:pPr>
            <w:r>
              <w:rPr>
                <w:color w:val="000000"/>
                <w:sz w:val="24"/>
              </w:rPr>
              <w:t>21,881,390.30</w:t>
            </w:r>
          </w:p>
        </w:tc>
        <w:tc>
          <w:tcPr>
            <w:tcW w:w="1389" w:type="dxa"/>
            <w:vAlign w:val="center"/>
          </w:tcPr>
          <w:p w:rsidR="00EF1D23" w:rsidRDefault="00E62CBF">
            <w:pPr>
              <w:jc w:val="right"/>
            </w:pPr>
            <w:r>
              <w:rPr>
                <w:color w:val="000000"/>
                <w:sz w:val="24"/>
              </w:rPr>
              <w:t>29.09</w:t>
            </w:r>
          </w:p>
        </w:tc>
      </w:tr>
      <w:tr w:rsidR="00EF1D23">
        <w:trPr>
          <w:jc w:val="center"/>
        </w:trPr>
        <w:tc>
          <w:tcPr>
            <w:tcW w:w="1075" w:type="dxa"/>
            <w:vAlign w:val="center"/>
          </w:tcPr>
          <w:p w:rsidR="00EF1D23" w:rsidRDefault="00E62CBF">
            <w:pPr>
              <w:jc w:val="center"/>
            </w:pPr>
            <w:r>
              <w:rPr>
                <w:color w:val="000000"/>
                <w:sz w:val="24"/>
              </w:rPr>
              <w:t>2</w:t>
            </w:r>
          </w:p>
        </w:tc>
        <w:tc>
          <w:tcPr>
            <w:tcW w:w="1533" w:type="dxa"/>
            <w:vAlign w:val="center"/>
          </w:tcPr>
          <w:p w:rsidR="00EF1D23" w:rsidRDefault="00E62CBF">
            <w:pPr>
              <w:jc w:val="center"/>
            </w:pPr>
            <w:r>
              <w:rPr>
                <w:color w:val="000000"/>
                <w:sz w:val="24"/>
              </w:rPr>
              <w:t>108601</w:t>
            </w:r>
          </w:p>
        </w:tc>
        <w:tc>
          <w:tcPr>
            <w:tcW w:w="1533" w:type="dxa"/>
            <w:vAlign w:val="center"/>
          </w:tcPr>
          <w:p w:rsidR="00EF1D23" w:rsidRDefault="00E62CBF">
            <w:pPr>
              <w:jc w:val="center"/>
            </w:pPr>
            <w:r>
              <w:rPr>
                <w:color w:val="000000"/>
                <w:sz w:val="24"/>
              </w:rPr>
              <w:t>国开</w:t>
            </w:r>
            <w:r>
              <w:rPr>
                <w:color w:val="000000"/>
                <w:sz w:val="24"/>
              </w:rPr>
              <w:t>1703</w:t>
            </w:r>
          </w:p>
        </w:tc>
        <w:tc>
          <w:tcPr>
            <w:tcW w:w="1394" w:type="dxa"/>
            <w:vAlign w:val="center"/>
          </w:tcPr>
          <w:p w:rsidR="00EF1D23" w:rsidRDefault="00E62CBF">
            <w:pPr>
              <w:jc w:val="right"/>
            </w:pPr>
            <w:r>
              <w:rPr>
                <w:color w:val="000000"/>
                <w:sz w:val="24"/>
              </w:rPr>
              <w:t>144,000</w:t>
            </w:r>
          </w:p>
        </w:tc>
        <w:tc>
          <w:tcPr>
            <w:tcW w:w="1944" w:type="dxa"/>
            <w:vAlign w:val="center"/>
          </w:tcPr>
          <w:p w:rsidR="00EF1D23" w:rsidRDefault="00E62CBF">
            <w:pPr>
              <w:jc w:val="right"/>
            </w:pPr>
            <w:r>
              <w:rPr>
                <w:color w:val="000000"/>
                <w:sz w:val="24"/>
              </w:rPr>
              <w:t>14,368,320.00</w:t>
            </w:r>
          </w:p>
        </w:tc>
        <w:tc>
          <w:tcPr>
            <w:tcW w:w="1389" w:type="dxa"/>
            <w:vAlign w:val="center"/>
          </w:tcPr>
          <w:p w:rsidR="00EF1D23" w:rsidRDefault="00E62CBF">
            <w:pPr>
              <w:jc w:val="right"/>
            </w:pPr>
            <w:r>
              <w:rPr>
                <w:color w:val="000000"/>
                <w:sz w:val="24"/>
              </w:rPr>
              <w:t>19.10</w:t>
            </w:r>
          </w:p>
        </w:tc>
      </w:tr>
      <w:tr w:rsidR="00EF1D23">
        <w:trPr>
          <w:jc w:val="center"/>
        </w:trPr>
        <w:tc>
          <w:tcPr>
            <w:tcW w:w="1075" w:type="dxa"/>
            <w:vAlign w:val="center"/>
          </w:tcPr>
          <w:p w:rsidR="00EF1D23" w:rsidRDefault="00E62CBF">
            <w:pPr>
              <w:jc w:val="center"/>
            </w:pPr>
            <w:r>
              <w:rPr>
                <w:color w:val="000000"/>
                <w:sz w:val="24"/>
              </w:rPr>
              <w:t>3</w:t>
            </w:r>
          </w:p>
        </w:tc>
        <w:tc>
          <w:tcPr>
            <w:tcW w:w="1533" w:type="dxa"/>
            <w:vAlign w:val="center"/>
          </w:tcPr>
          <w:p w:rsidR="00EF1D23" w:rsidRDefault="00E62CBF">
            <w:pPr>
              <w:jc w:val="center"/>
            </w:pPr>
            <w:r>
              <w:rPr>
                <w:color w:val="000000"/>
                <w:sz w:val="24"/>
              </w:rPr>
              <w:t>170203</w:t>
            </w:r>
          </w:p>
        </w:tc>
        <w:tc>
          <w:tcPr>
            <w:tcW w:w="1533" w:type="dxa"/>
            <w:vAlign w:val="center"/>
          </w:tcPr>
          <w:p w:rsidR="00EF1D23" w:rsidRDefault="00E62CBF">
            <w:pPr>
              <w:jc w:val="center"/>
            </w:pPr>
            <w:r>
              <w:rPr>
                <w:color w:val="000000"/>
                <w:sz w:val="24"/>
              </w:rPr>
              <w:t>17</w:t>
            </w:r>
            <w:r>
              <w:rPr>
                <w:color w:val="000000"/>
                <w:sz w:val="24"/>
              </w:rPr>
              <w:t>国开</w:t>
            </w:r>
            <w:r>
              <w:rPr>
                <w:color w:val="000000"/>
                <w:sz w:val="24"/>
              </w:rPr>
              <w:t>03</w:t>
            </w:r>
          </w:p>
        </w:tc>
        <w:tc>
          <w:tcPr>
            <w:tcW w:w="1394" w:type="dxa"/>
            <w:vAlign w:val="center"/>
          </w:tcPr>
          <w:p w:rsidR="00EF1D23" w:rsidRDefault="00E62CBF">
            <w:pPr>
              <w:jc w:val="right"/>
            </w:pPr>
            <w:r>
              <w:rPr>
                <w:color w:val="000000"/>
                <w:sz w:val="24"/>
              </w:rPr>
              <w:t>100,000</w:t>
            </w:r>
          </w:p>
        </w:tc>
        <w:tc>
          <w:tcPr>
            <w:tcW w:w="1944" w:type="dxa"/>
            <w:vAlign w:val="center"/>
          </w:tcPr>
          <w:p w:rsidR="00EF1D23" w:rsidRDefault="00E62CBF">
            <w:pPr>
              <w:jc w:val="right"/>
            </w:pPr>
            <w:r>
              <w:rPr>
                <w:color w:val="000000"/>
                <w:sz w:val="24"/>
              </w:rPr>
              <w:t>9,993,000.00</w:t>
            </w:r>
          </w:p>
        </w:tc>
        <w:tc>
          <w:tcPr>
            <w:tcW w:w="1389" w:type="dxa"/>
            <w:vAlign w:val="center"/>
          </w:tcPr>
          <w:p w:rsidR="00EF1D23" w:rsidRDefault="00E62CBF">
            <w:pPr>
              <w:jc w:val="right"/>
            </w:pPr>
            <w:r>
              <w:rPr>
                <w:color w:val="000000"/>
                <w:sz w:val="24"/>
              </w:rPr>
              <w:t>13.28</w:t>
            </w:r>
          </w:p>
        </w:tc>
      </w:tr>
      <w:tr w:rsidR="00EF1D23">
        <w:trPr>
          <w:jc w:val="center"/>
        </w:trPr>
        <w:tc>
          <w:tcPr>
            <w:tcW w:w="1075" w:type="dxa"/>
            <w:vAlign w:val="center"/>
          </w:tcPr>
          <w:p w:rsidR="00EF1D23" w:rsidRDefault="00E62CBF">
            <w:pPr>
              <w:jc w:val="center"/>
            </w:pPr>
            <w:r>
              <w:rPr>
                <w:color w:val="000000"/>
                <w:sz w:val="24"/>
              </w:rPr>
              <w:t>4</w:t>
            </w:r>
          </w:p>
        </w:tc>
        <w:tc>
          <w:tcPr>
            <w:tcW w:w="1533" w:type="dxa"/>
            <w:vAlign w:val="center"/>
          </w:tcPr>
          <w:p w:rsidR="00EF1D23" w:rsidRDefault="00E62CBF">
            <w:pPr>
              <w:jc w:val="center"/>
            </w:pPr>
            <w:r>
              <w:rPr>
                <w:color w:val="000000"/>
                <w:sz w:val="24"/>
              </w:rPr>
              <w:t>010303</w:t>
            </w:r>
          </w:p>
        </w:tc>
        <w:tc>
          <w:tcPr>
            <w:tcW w:w="1533" w:type="dxa"/>
            <w:vAlign w:val="center"/>
          </w:tcPr>
          <w:p w:rsidR="00EF1D23" w:rsidRDefault="00E62CBF">
            <w:pPr>
              <w:jc w:val="center"/>
            </w:pPr>
            <w:r>
              <w:rPr>
                <w:color w:val="000000"/>
                <w:sz w:val="24"/>
              </w:rPr>
              <w:t>03</w:t>
            </w:r>
            <w:r>
              <w:rPr>
                <w:color w:val="000000"/>
                <w:sz w:val="24"/>
              </w:rPr>
              <w:t>国债</w:t>
            </w:r>
            <w:r>
              <w:rPr>
                <w:color w:val="000000"/>
                <w:sz w:val="24"/>
              </w:rPr>
              <w:t>⑶</w:t>
            </w:r>
          </w:p>
        </w:tc>
        <w:tc>
          <w:tcPr>
            <w:tcW w:w="1394" w:type="dxa"/>
            <w:vAlign w:val="center"/>
          </w:tcPr>
          <w:p w:rsidR="00EF1D23" w:rsidRDefault="00E62CBF">
            <w:pPr>
              <w:jc w:val="right"/>
            </w:pPr>
            <w:r>
              <w:rPr>
                <w:color w:val="000000"/>
                <w:sz w:val="24"/>
              </w:rPr>
              <w:t>88,470</w:t>
            </w:r>
          </w:p>
        </w:tc>
        <w:tc>
          <w:tcPr>
            <w:tcW w:w="1944" w:type="dxa"/>
            <w:vAlign w:val="center"/>
          </w:tcPr>
          <w:p w:rsidR="00EF1D23" w:rsidRDefault="00E62CBF">
            <w:pPr>
              <w:jc w:val="right"/>
            </w:pPr>
            <w:r>
              <w:rPr>
                <w:color w:val="000000"/>
                <w:sz w:val="24"/>
              </w:rPr>
              <w:t>8,479,849.50</w:t>
            </w:r>
          </w:p>
        </w:tc>
        <w:tc>
          <w:tcPr>
            <w:tcW w:w="1389" w:type="dxa"/>
            <w:vAlign w:val="center"/>
          </w:tcPr>
          <w:p w:rsidR="00EF1D23" w:rsidRDefault="00E62CBF">
            <w:pPr>
              <w:jc w:val="right"/>
            </w:pPr>
            <w:r>
              <w:rPr>
                <w:color w:val="000000"/>
                <w:sz w:val="24"/>
              </w:rPr>
              <w:t>11.27</w:t>
            </w:r>
          </w:p>
        </w:tc>
      </w:tr>
      <w:tr w:rsidR="00EF1D23">
        <w:trPr>
          <w:jc w:val="center"/>
        </w:trPr>
        <w:tc>
          <w:tcPr>
            <w:tcW w:w="1075" w:type="dxa"/>
            <w:vAlign w:val="center"/>
          </w:tcPr>
          <w:p w:rsidR="00EF1D23" w:rsidRDefault="00E62CBF">
            <w:pPr>
              <w:jc w:val="center"/>
            </w:pPr>
            <w:r>
              <w:rPr>
                <w:color w:val="000000"/>
                <w:sz w:val="24"/>
              </w:rPr>
              <w:lastRenderedPageBreak/>
              <w:t>5</w:t>
            </w:r>
          </w:p>
        </w:tc>
        <w:tc>
          <w:tcPr>
            <w:tcW w:w="1533" w:type="dxa"/>
            <w:vAlign w:val="center"/>
          </w:tcPr>
          <w:p w:rsidR="00EF1D23" w:rsidRDefault="00E62CBF">
            <w:pPr>
              <w:jc w:val="center"/>
            </w:pPr>
            <w:r>
              <w:rPr>
                <w:color w:val="000000"/>
                <w:sz w:val="24"/>
              </w:rPr>
              <w:t>010107</w:t>
            </w:r>
          </w:p>
        </w:tc>
        <w:tc>
          <w:tcPr>
            <w:tcW w:w="1533" w:type="dxa"/>
            <w:vAlign w:val="center"/>
          </w:tcPr>
          <w:p w:rsidR="00EF1D23" w:rsidRDefault="00E62CBF">
            <w:pPr>
              <w:jc w:val="center"/>
            </w:pPr>
            <w:r>
              <w:rPr>
                <w:color w:val="000000"/>
                <w:sz w:val="24"/>
              </w:rPr>
              <w:t>21</w:t>
            </w:r>
            <w:r>
              <w:rPr>
                <w:color w:val="000000"/>
                <w:sz w:val="24"/>
              </w:rPr>
              <w:t>国债</w:t>
            </w:r>
            <w:r>
              <w:rPr>
                <w:color w:val="000000"/>
                <w:sz w:val="24"/>
              </w:rPr>
              <w:t>⑺</w:t>
            </w:r>
          </w:p>
        </w:tc>
        <w:tc>
          <w:tcPr>
            <w:tcW w:w="1394" w:type="dxa"/>
            <w:vAlign w:val="center"/>
          </w:tcPr>
          <w:p w:rsidR="00EF1D23" w:rsidRDefault="00E62CBF">
            <w:pPr>
              <w:jc w:val="right"/>
            </w:pPr>
            <w:r>
              <w:rPr>
                <w:color w:val="000000"/>
                <w:sz w:val="24"/>
              </w:rPr>
              <w:t>59,720</w:t>
            </w:r>
          </w:p>
        </w:tc>
        <w:tc>
          <w:tcPr>
            <w:tcW w:w="1944" w:type="dxa"/>
            <w:vAlign w:val="center"/>
          </w:tcPr>
          <w:p w:rsidR="00EF1D23" w:rsidRDefault="00E62CBF">
            <w:pPr>
              <w:jc w:val="right"/>
            </w:pPr>
            <w:r>
              <w:rPr>
                <w:color w:val="000000"/>
                <w:sz w:val="24"/>
              </w:rPr>
              <w:t>5,994,693.60</w:t>
            </w:r>
          </w:p>
        </w:tc>
        <w:tc>
          <w:tcPr>
            <w:tcW w:w="1389" w:type="dxa"/>
            <w:vAlign w:val="center"/>
          </w:tcPr>
          <w:p w:rsidR="00EF1D23" w:rsidRDefault="00E62CBF">
            <w:pPr>
              <w:jc w:val="right"/>
            </w:pPr>
            <w:r>
              <w:rPr>
                <w:color w:val="000000"/>
                <w:sz w:val="24"/>
              </w:rPr>
              <w:t>7.97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62,424.66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2,483,619.80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1,462,432.44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1,691.98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4,010,168.88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59,252,565.88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3,332,162.04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7,334,155.39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195,433.14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15,164,195.24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780,968.38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51,422,526.03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2,746,626.80</w:t>
            </w:r>
          </w:p>
        </w:tc>
      </w:tr>
    </w:tbl>
    <w:p w:rsidR="00EF1D23" w:rsidRDefault="00E62CB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lastRenderedPageBreak/>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18,137,831.60</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180,293.00</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17,957,538.60</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35.27</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EF1D23">
        <w:trPr>
          <w:jc w:val="center"/>
        </w:trPr>
        <w:tc>
          <w:tcPr>
            <w:tcW w:w="1032" w:type="dxa"/>
            <w:vAlign w:val="center"/>
          </w:tcPr>
          <w:p w:rsidR="00EF1D23" w:rsidRDefault="00E62CBF">
            <w:pPr>
              <w:jc w:val="center"/>
            </w:pPr>
            <w:r>
              <w:rPr>
                <w:rFonts w:eastAsiaTheme="minorEastAsia"/>
                <w:color w:val="000000"/>
                <w:sz w:val="24"/>
              </w:rPr>
              <w:t>1</w:t>
            </w:r>
          </w:p>
        </w:tc>
        <w:tc>
          <w:tcPr>
            <w:tcW w:w="1776" w:type="dxa"/>
            <w:vAlign w:val="center"/>
          </w:tcPr>
          <w:p w:rsidR="00EF1D23" w:rsidRDefault="00E62CBF">
            <w:pPr>
              <w:jc w:val="center"/>
            </w:pPr>
            <w:r>
              <w:rPr>
                <w:rFonts w:eastAsiaTheme="minorEastAsia"/>
                <w:color w:val="000000"/>
                <w:sz w:val="24"/>
              </w:rPr>
              <w:t>自动赎回</w:t>
            </w:r>
          </w:p>
        </w:tc>
        <w:tc>
          <w:tcPr>
            <w:tcW w:w="1317" w:type="dxa"/>
            <w:vAlign w:val="center"/>
          </w:tcPr>
          <w:p w:rsidR="00EF1D23" w:rsidRDefault="00E62CBF">
            <w:pPr>
              <w:jc w:val="center"/>
            </w:pPr>
            <w:r>
              <w:rPr>
                <w:rFonts w:eastAsiaTheme="minorEastAsia"/>
                <w:color w:val="000000"/>
                <w:sz w:val="24"/>
              </w:rPr>
              <w:t>2017-10-10</w:t>
            </w:r>
          </w:p>
        </w:tc>
        <w:tc>
          <w:tcPr>
            <w:tcW w:w="1633" w:type="dxa"/>
            <w:vAlign w:val="center"/>
          </w:tcPr>
          <w:p w:rsidR="00EF1D23" w:rsidRDefault="00E62CBF">
            <w:pPr>
              <w:jc w:val="right"/>
            </w:pPr>
            <w:r>
              <w:rPr>
                <w:rFonts w:eastAsiaTheme="minorEastAsia"/>
                <w:color w:val="000000"/>
                <w:sz w:val="24"/>
              </w:rPr>
              <w:t>-75,532.89</w:t>
            </w:r>
          </w:p>
        </w:tc>
        <w:tc>
          <w:tcPr>
            <w:tcW w:w="1767" w:type="dxa"/>
            <w:vAlign w:val="center"/>
          </w:tcPr>
          <w:p w:rsidR="00EF1D23" w:rsidRDefault="00E62CBF">
            <w:pPr>
              <w:jc w:val="right"/>
            </w:pPr>
            <w:r>
              <w:rPr>
                <w:rFonts w:eastAsiaTheme="minorEastAsia"/>
                <w:color w:val="000000"/>
                <w:sz w:val="24"/>
              </w:rPr>
              <w:t>-105,594.98</w:t>
            </w:r>
          </w:p>
        </w:tc>
        <w:tc>
          <w:tcPr>
            <w:tcW w:w="1343" w:type="dxa"/>
            <w:vAlign w:val="center"/>
          </w:tcPr>
          <w:p w:rsidR="00EF1D23" w:rsidRDefault="00E62CBF">
            <w:pPr>
              <w:jc w:val="center"/>
            </w:pPr>
            <w:r>
              <w:rPr>
                <w:rFonts w:eastAsiaTheme="minorEastAsia"/>
                <w:color w:val="000000"/>
                <w:sz w:val="24"/>
              </w:rPr>
              <w:t>0.000%</w:t>
            </w:r>
          </w:p>
        </w:tc>
      </w:tr>
      <w:tr w:rsidR="00EF1D23">
        <w:trPr>
          <w:jc w:val="center"/>
        </w:trPr>
        <w:tc>
          <w:tcPr>
            <w:tcW w:w="1032" w:type="dxa"/>
            <w:vAlign w:val="center"/>
          </w:tcPr>
          <w:p w:rsidR="00EF1D23" w:rsidRDefault="00E62CBF">
            <w:pPr>
              <w:jc w:val="center"/>
            </w:pPr>
            <w:r>
              <w:rPr>
                <w:rFonts w:eastAsiaTheme="minorEastAsia"/>
                <w:color w:val="000000"/>
                <w:sz w:val="24"/>
              </w:rPr>
              <w:t>2</w:t>
            </w:r>
          </w:p>
        </w:tc>
        <w:tc>
          <w:tcPr>
            <w:tcW w:w="1776" w:type="dxa"/>
            <w:vAlign w:val="center"/>
          </w:tcPr>
          <w:p w:rsidR="00EF1D23" w:rsidRDefault="00E62CBF">
            <w:pPr>
              <w:jc w:val="center"/>
            </w:pPr>
            <w:r>
              <w:rPr>
                <w:rFonts w:eastAsiaTheme="minorEastAsia"/>
                <w:color w:val="000000"/>
                <w:sz w:val="24"/>
              </w:rPr>
              <w:t>自动赎回</w:t>
            </w:r>
          </w:p>
        </w:tc>
        <w:tc>
          <w:tcPr>
            <w:tcW w:w="1317" w:type="dxa"/>
            <w:vAlign w:val="center"/>
          </w:tcPr>
          <w:p w:rsidR="00EF1D23" w:rsidRDefault="00E62CBF">
            <w:pPr>
              <w:jc w:val="center"/>
            </w:pPr>
            <w:r>
              <w:rPr>
                <w:rFonts w:eastAsiaTheme="minorEastAsia"/>
                <w:color w:val="000000"/>
                <w:sz w:val="24"/>
              </w:rPr>
              <w:t>2017-11-02</w:t>
            </w:r>
          </w:p>
        </w:tc>
        <w:tc>
          <w:tcPr>
            <w:tcW w:w="1633" w:type="dxa"/>
            <w:vAlign w:val="center"/>
          </w:tcPr>
          <w:p w:rsidR="00EF1D23" w:rsidRDefault="00E62CBF">
            <w:pPr>
              <w:jc w:val="right"/>
            </w:pPr>
            <w:r>
              <w:rPr>
                <w:rFonts w:eastAsiaTheme="minorEastAsia"/>
                <w:color w:val="000000"/>
                <w:sz w:val="24"/>
              </w:rPr>
              <w:t>-45,526.89</w:t>
            </w:r>
          </w:p>
        </w:tc>
        <w:tc>
          <w:tcPr>
            <w:tcW w:w="1767" w:type="dxa"/>
            <w:vAlign w:val="center"/>
          </w:tcPr>
          <w:p w:rsidR="00EF1D23" w:rsidRDefault="00E62CBF">
            <w:pPr>
              <w:jc w:val="right"/>
            </w:pPr>
            <w:r>
              <w:rPr>
                <w:rFonts w:eastAsiaTheme="minorEastAsia"/>
                <w:color w:val="000000"/>
                <w:sz w:val="24"/>
              </w:rPr>
              <w:t>-62,963.69</w:t>
            </w:r>
          </w:p>
        </w:tc>
        <w:tc>
          <w:tcPr>
            <w:tcW w:w="1343" w:type="dxa"/>
            <w:vAlign w:val="center"/>
          </w:tcPr>
          <w:p w:rsidR="00EF1D23" w:rsidRDefault="00E62CBF">
            <w:pPr>
              <w:jc w:val="center"/>
            </w:pPr>
            <w:r>
              <w:rPr>
                <w:rFonts w:eastAsiaTheme="minorEastAsia"/>
                <w:color w:val="000000"/>
                <w:sz w:val="24"/>
              </w:rPr>
              <w:t>0.000%</w:t>
            </w:r>
          </w:p>
        </w:tc>
      </w:tr>
      <w:tr w:rsidR="00EF1D23">
        <w:trPr>
          <w:jc w:val="center"/>
        </w:trPr>
        <w:tc>
          <w:tcPr>
            <w:tcW w:w="1032" w:type="dxa"/>
            <w:vAlign w:val="center"/>
          </w:tcPr>
          <w:p w:rsidR="00EF1D23" w:rsidRDefault="00E62CBF">
            <w:pPr>
              <w:jc w:val="center"/>
            </w:pPr>
            <w:r>
              <w:rPr>
                <w:rFonts w:eastAsiaTheme="minorEastAsia"/>
                <w:color w:val="000000"/>
                <w:sz w:val="24"/>
              </w:rPr>
              <w:t>3</w:t>
            </w:r>
          </w:p>
        </w:tc>
        <w:tc>
          <w:tcPr>
            <w:tcW w:w="1776" w:type="dxa"/>
            <w:vAlign w:val="center"/>
          </w:tcPr>
          <w:p w:rsidR="00EF1D23" w:rsidRDefault="00E62CBF">
            <w:pPr>
              <w:jc w:val="center"/>
            </w:pPr>
            <w:r>
              <w:rPr>
                <w:rFonts w:eastAsiaTheme="minorEastAsia"/>
                <w:color w:val="000000"/>
                <w:sz w:val="24"/>
              </w:rPr>
              <w:t>自动赎回</w:t>
            </w:r>
          </w:p>
        </w:tc>
        <w:tc>
          <w:tcPr>
            <w:tcW w:w="1317" w:type="dxa"/>
            <w:vAlign w:val="center"/>
          </w:tcPr>
          <w:p w:rsidR="00EF1D23" w:rsidRDefault="00E62CBF">
            <w:pPr>
              <w:jc w:val="center"/>
            </w:pPr>
            <w:r>
              <w:rPr>
                <w:rFonts w:eastAsiaTheme="minorEastAsia"/>
                <w:color w:val="000000"/>
                <w:sz w:val="24"/>
              </w:rPr>
              <w:t>2017-12-04</w:t>
            </w:r>
          </w:p>
        </w:tc>
        <w:tc>
          <w:tcPr>
            <w:tcW w:w="1633" w:type="dxa"/>
            <w:vAlign w:val="center"/>
          </w:tcPr>
          <w:p w:rsidR="00EF1D23" w:rsidRDefault="00E62CBF">
            <w:pPr>
              <w:jc w:val="right"/>
            </w:pPr>
            <w:r>
              <w:rPr>
                <w:rFonts w:eastAsiaTheme="minorEastAsia"/>
                <w:color w:val="000000"/>
                <w:sz w:val="24"/>
              </w:rPr>
              <w:t>-59,233.22</w:t>
            </w:r>
          </w:p>
        </w:tc>
        <w:tc>
          <w:tcPr>
            <w:tcW w:w="1767" w:type="dxa"/>
            <w:vAlign w:val="center"/>
          </w:tcPr>
          <w:p w:rsidR="00EF1D23" w:rsidRDefault="00E62CBF">
            <w:pPr>
              <w:jc w:val="right"/>
            </w:pPr>
            <w:r>
              <w:rPr>
                <w:rFonts w:eastAsiaTheme="minorEastAsia"/>
                <w:color w:val="000000"/>
                <w:sz w:val="24"/>
              </w:rPr>
              <w:t>-83,044.97</w:t>
            </w:r>
          </w:p>
        </w:tc>
        <w:tc>
          <w:tcPr>
            <w:tcW w:w="1343" w:type="dxa"/>
            <w:vAlign w:val="center"/>
          </w:tcPr>
          <w:p w:rsidR="00EF1D23" w:rsidRDefault="00E62CBF">
            <w:pPr>
              <w:jc w:val="center"/>
            </w:pPr>
            <w:r>
              <w:rPr>
                <w:rFonts w:eastAsiaTheme="minorEastAsia"/>
                <w:color w:val="000000"/>
                <w:sz w:val="24"/>
              </w:rPr>
              <w:t>0.000%</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-180,293.00</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-251,603.64</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F1D23">
        <w:tc>
          <w:tcPr>
            <w:tcW w:w="992" w:type="dxa"/>
          </w:tcPr>
          <w:p w:rsidR="00EF1D23" w:rsidRDefault="00EF1D23"/>
          <w:p w:rsidR="00EF1D23" w:rsidRDefault="00E62CBF">
            <w:r>
              <w:rPr>
                <w:rFonts w:ascii="宋体" w:hAnsi="宋体" w:hint="eastAsia"/>
                <w:bCs/>
                <w:color w:val="000000"/>
                <w:kern w:val="0"/>
                <w:szCs w:val="21"/>
              </w:rPr>
              <w:t>机构</w:t>
            </w:r>
          </w:p>
        </w:tc>
        <w:tc>
          <w:tcPr>
            <w:tcW w:w="991" w:type="dxa"/>
            <w:vAlign w:val="center"/>
          </w:tcPr>
          <w:p w:rsidR="00EF1D23" w:rsidRDefault="00E62CBF">
            <w:pPr>
              <w:jc w:val="center"/>
            </w:pPr>
            <w:r>
              <w:rPr>
                <w:rFonts w:ascii="宋体" w:hAnsi="宋体" w:hint="eastAsia"/>
                <w:color w:val="000000"/>
                <w:kern w:val="0"/>
                <w:szCs w:val="21"/>
              </w:rPr>
              <w:t>1</w:t>
            </w:r>
          </w:p>
        </w:tc>
        <w:tc>
          <w:tcPr>
            <w:tcW w:w="1843" w:type="dxa"/>
            <w:vAlign w:val="center"/>
          </w:tcPr>
          <w:p w:rsidR="00EF1D23" w:rsidRDefault="00E62CBF">
            <w:pPr>
              <w:jc w:val="center"/>
            </w:pPr>
            <w:r>
              <w:rPr>
                <w:rFonts w:ascii="宋体" w:hAnsi="宋体" w:hint="eastAsia"/>
                <w:color w:val="000000"/>
                <w:kern w:val="0"/>
                <w:szCs w:val="21"/>
              </w:rPr>
              <w:t>2017/10/1-2017/12/31</w:t>
            </w:r>
          </w:p>
        </w:tc>
        <w:tc>
          <w:tcPr>
            <w:tcW w:w="851" w:type="dxa"/>
            <w:vAlign w:val="center"/>
          </w:tcPr>
          <w:p w:rsidR="00EF1D23" w:rsidRDefault="00E62CBF">
            <w:pPr>
              <w:jc w:val="center"/>
            </w:pPr>
            <w:r>
              <w:rPr>
                <w:rFonts w:ascii="宋体" w:hAnsi="宋体" w:hint="eastAsia"/>
                <w:color w:val="000000"/>
                <w:kern w:val="0"/>
                <w:szCs w:val="21"/>
              </w:rPr>
              <w:t>18,137,831.60</w:t>
            </w:r>
          </w:p>
        </w:tc>
        <w:tc>
          <w:tcPr>
            <w:tcW w:w="850" w:type="dxa"/>
            <w:vAlign w:val="center"/>
          </w:tcPr>
          <w:p w:rsidR="00EF1D23" w:rsidRDefault="00E62CBF">
            <w:pPr>
              <w:jc w:val="center"/>
            </w:pPr>
            <w:r>
              <w:rPr>
                <w:rFonts w:ascii="宋体" w:hAnsi="宋体" w:hint="eastAsia"/>
                <w:color w:val="000000"/>
                <w:kern w:val="0"/>
                <w:szCs w:val="21"/>
              </w:rPr>
              <w:t>-</w:t>
            </w:r>
          </w:p>
        </w:tc>
        <w:tc>
          <w:tcPr>
            <w:tcW w:w="1134" w:type="dxa"/>
            <w:vAlign w:val="center"/>
          </w:tcPr>
          <w:p w:rsidR="00EF1D23" w:rsidRDefault="00E62CBF">
            <w:pPr>
              <w:jc w:val="center"/>
            </w:pPr>
            <w:r>
              <w:rPr>
                <w:rFonts w:ascii="宋体" w:hAnsi="宋体" w:hint="eastAsia"/>
                <w:color w:val="000000"/>
                <w:kern w:val="0"/>
                <w:szCs w:val="21"/>
              </w:rPr>
              <w:t>180,293.00</w:t>
            </w:r>
          </w:p>
        </w:tc>
        <w:tc>
          <w:tcPr>
            <w:tcW w:w="1419" w:type="dxa"/>
            <w:vAlign w:val="center"/>
          </w:tcPr>
          <w:p w:rsidR="00EF1D23" w:rsidRDefault="00E62CBF">
            <w:pPr>
              <w:jc w:val="center"/>
            </w:pPr>
            <w:r>
              <w:rPr>
                <w:rFonts w:ascii="宋体" w:hAnsi="宋体" w:hint="eastAsia"/>
                <w:color w:val="000000"/>
                <w:kern w:val="0"/>
                <w:szCs w:val="21"/>
              </w:rPr>
              <w:t>17,957,538.60</w:t>
            </w:r>
          </w:p>
        </w:tc>
        <w:tc>
          <w:tcPr>
            <w:tcW w:w="1130" w:type="dxa"/>
            <w:vAlign w:val="center"/>
          </w:tcPr>
          <w:p w:rsidR="00EF1D23" w:rsidRDefault="00E62CBF">
            <w:pPr>
              <w:jc w:val="center"/>
            </w:pPr>
            <w:r>
              <w:rPr>
                <w:rFonts w:ascii="宋体" w:hAnsi="宋体" w:hint="eastAsia"/>
                <w:color w:val="000000"/>
                <w:kern w:val="0"/>
                <w:szCs w:val="21"/>
              </w:rPr>
              <w:t>33.15%</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B46E8" w:rsidRDefault="005B46E8" w:rsidP="00776AA1"/>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EF1D23" w:rsidRDefault="00E62CB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6B3" w:rsidRDefault="008676B3">
      <w:r>
        <w:separator/>
      </w:r>
    </w:p>
  </w:endnote>
  <w:endnote w:type="continuationSeparator" w:id="0">
    <w:p w:rsidR="008676B3" w:rsidRDefault="0086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776AA1">
      <w:rPr>
        <w:noProof/>
        <w:kern w:val="0"/>
        <w:szCs w:val="21"/>
      </w:rPr>
      <w:t>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776AA1">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6B3" w:rsidRDefault="008676B3">
      <w:r>
        <w:separator/>
      </w:r>
    </w:p>
  </w:footnote>
  <w:footnote w:type="continuationSeparator" w:id="0">
    <w:p w:rsidR="008676B3" w:rsidRDefault="00867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8676B3"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628"/>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46E8"/>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76AA1"/>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6B3"/>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2CBF"/>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1D23"/>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048B"/>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62AD0316-3F42-48EE-9D37-C15DFB99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Revision"/>
    <w:hidden/>
    <w:uiPriority w:val="99"/>
    <w:semiHidden/>
    <w:rsid w:val="00776A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68874-07BF-4D20-9586-7B147B97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198</TotalTime>
  <Pages>14</Pages>
  <Words>1291</Words>
  <Characters>7362</Characters>
  <Application>Microsoft Office Word</Application>
  <DocSecurity>0</DocSecurity>
  <Lines>61</Lines>
  <Paragraphs>17</Paragraphs>
  <ScaleCrop>false</ScaleCrop>
  <Company>TRT. Ltd. Co.</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373</cp:revision>
  <cp:lastPrinted>2007-07-19T00:46:00Z</cp:lastPrinted>
  <dcterms:created xsi:type="dcterms:W3CDTF">2014-01-17T06:19:00Z</dcterms:created>
  <dcterms:modified xsi:type="dcterms:W3CDTF">2018-01-18T06:44:00Z</dcterms:modified>
</cp:coreProperties>
</file>