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交银施罗德成长</w:t>
      </w:r>
      <w:r w:rsidRPr="0081286B">
        <w:rPr>
          <w:b/>
          <w:sz w:val="36"/>
          <w:szCs w:val="36"/>
        </w:rPr>
        <w:t>30</w:t>
      </w:r>
      <w:r w:rsidRPr="0081286B">
        <w:rPr>
          <w:b/>
          <w:sz w:val="36"/>
          <w:szCs w:val="36"/>
        </w:rPr>
        <w:t>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二〇一八年一月二十二日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B2901" w:rsidRDefault="00C271AA">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B2901" w:rsidRDefault="00C271AA">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2018</w:t>
      </w:r>
      <w:r>
        <w:rPr>
          <w:color w:val="000000"/>
          <w:sz w:val="24"/>
          <w:szCs w:val="24"/>
        </w:rPr>
        <w:t>年</w:t>
      </w:r>
      <w:r>
        <w:rPr>
          <w:color w:val="000000"/>
          <w:sz w:val="24"/>
          <w:szCs w:val="24"/>
        </w:rPr>
        <w:t>1</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B2901" w:rsidRDefault="00C271AA">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B2901" w:rsidRDefault="00C271AA">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B2901" w:rsidRDefault="00C271AA">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交银成长</w:t>
            </w:r>
            <w:r w:rsidRPr="00414345">
              <w:rPr>
                <w:color w:val="000000"/>
                <w:kern w:val="0"/>
                <w:sz w:val="24"/>
                <w:szCs w:val="24"/>
              </w:rPr>
              <w:t>30</w:t>
            </w:r>
            <w:r w:rsidRPr="00414345">
              <w:rPr>
                <w:color w:val="000000"/>
                <w:kern w:val="0"/>
                <w:sz w:val="24"/>
                <w:szCs w:val="24"/>
              </w:rPr>
              <w:t>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519727</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519728</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76,295,355.07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本基金属于成长型混合型基金，主要通过投资于不超过</w:t>
            </w:r>
            <w:r w:rsidRPr="00414345">
              <w:rPr>
                <w:color w:val="000000"/>
                <w:kern w:val="0"/>
                <w:sz w:val="24"/>
                <w:szCs w:val="24"/>
              </w:rPr>
              <w:t>30</w:t>
            </w:r>
            <w:r w:rsidRPr="00414345">
              <w:rPr>
                <w:color w:val="000000"/>
                <w:kern w:val="0"/>
                <w:sz w:val="24"/>
                <w:szCs w:val="24"/>
              </w:rPr>
              <w:t>只精选的成长型上市公司股票，在适度控制风险并保持基金资产良好流动性的前提下，为基金份额持有人谋求长期、稳定的资本增值。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w:t>
            </w:r>
            <w:r w:rsidRPr="00414345">
              <w:rPr>
                <w:color w:val="000000"/>
                <w:kern w:val="0"/>
                <w:sz w:val="24"/>
                <w:szCs w:val="24"/>
              </w:rPr>
              <w:t>30</w:t>
            </w:r>
            <w:r w:rsidRPr="00414345">
              <w:rPr>
                <w:color w:val="000000"/>
                <w:kern w:val="0"/>
                <w:sz w:val="24"/>
                <w:szCs w:val="24"/>
              </w:rPr>
              <w:t>只股票的集中持股策略，为基金资产谋求长期稳健增值。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成长指数收益率</w:t>
            </w:r>
            <w:r w:rsidRPr="00414345">
              <w:rPr>
                <w:color w:val="000000"/>
                <w:kern w:val="0"/>
                <w:sz w:val="24"/>
                <w:szCs w:val="24"/>
              </w:rPr>
              <w:t>+25%×</w:t>
            </w:r>
            <w:r w:rsidRPr="00414345">
              <w:rPr>
                <w:color w:val="000000"/>
                <w:kern w:val="0"/>
                <w:sz w:val="24"/>
                <w:szCs w:val="24"/>
              </w:rPr>
              <w:t>中证综合</w:t>
            </w:r>
            <w:r w:rsidRPr="00414345">
              <w:rPr>
                <w:color w:val="000000"/>
                <w:kern w:val="0"/>
                <w:sz w:val="24"/>
                <w:szCs w:val="24"/>
              </w:rPr>
              <w:lastRenderedPageBreak/>
              <w:t>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本基金是一只混合型基金，以成长型股票为主要投资对象，其风险和预期收益高于债券型基金和货币市场基金，低于股票型基金。属于承担较高风险、预期收益较高的证券投资基金品种。</w:t>
            </w:r>
            <w:r w:rsidRPr="00414345">
              <w:rPr>
                <w:color w:val="000000"/>
                <w:kern w:val="0"/>
                <w:sz w:val="24"/>
                <w:szCs w:val="24"/>
              </w:rPr>
              <w:t xml:space="preserve"> </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A96DDC" w:rsidRPr="00414345" w:rsidTr="00A96DDC">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A96DDC" w:rsidRPr="00414345" w:rsidTr="00A96DD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249,058.23</w:t>
            </w:r>
          </w:p>
        </w:tc>
      </w:tr>
      <w:tr w:rsidR="00A96DDC" w:rsidRPr="00414345" w:rsidTr="00A96DD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3,330,916.39</w:t>
            </w:r>
          </w:p>
        </w:tc>
      </w:tr>
      <w:tr w:rsidR="00A96DDC" w:rsidRPr="00414345" w:rsidTr="00A96DD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3A3943">
            <w:pPr>
              <w:adjustRightInd w:val="0"/>
              <w:spacing w:before="29" w:line="288" w:lineRule="auto"/>
              <w:ind w:left="17"/>
              <w:jc w:val="right"/>
              <w:rPr>
                <w:color w:val="000000"/>
                <w:sz w:val="24"/>
                <w:szCs w:val="24"/>
              </w:rPr>
            </w:pPr>
            <w:r w:rsidRPr="00414345">
              <w:rPr>
                <w:color w:val="000000"/>
                <w:sz w:val="24"/>
                <w:szCs w:val="24"/>
              </w:rPr>
              <w:t>0.</w:t>
            </w:r>
            <w:r w:rsidR="003A3943" w:rsidRPr="00414345">
              <w:rPr>
                <w:color w:val="000000"/>
                <w:sz w:val="24"/>
                <w:szCs w:val="24"/>
              </w:rPr>
              <w:t>028</w:t>
            </w:r>
            <w:r w:rsidR="003A3943">
              <w:rPr>
                <w:color w:val="000000"/>
                <w:sz w:val="24"/>
                <w:szCs w:val="24"/>
              </w:rPr>
              <w:t>2</w:t>
            </w:r>
            <w:bookmarkStart w:id="0" w:name="_GoBack"/>
            <w:bookmarkEnd w:id="0"/>
          </w:p>
        </w:tc>
      </w:tr>
      <w:tr w:rsidR="00A96DDC" w:rsidRPr="00414345" w:rsidTr="00A96DD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81,192,042.65</w:t>
            </w:r>
          </w:p>
        </w:tc>
      </w:tr>
      <w:tr w:rsidR="00A96DDC" w:rsidRPr="00414345" w:rsidTr="00A96DDC">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1.064</w:t>
            </w:r>
          </w:p>
        </w:tc>
      </w:tr>
    </w:tbl>
    <w:p w:rsidR="005B2901" w:rsidRDefault="00C271A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B2901">
        <w:trPr>
          <w:jc w:val="center"/>
        </w:trPr>
        <w:tc>
          <w:tcPr>
            <w:tcW w:w="1701" w:type="dxa"/>
            <w:vAlign w:val="center"/>
          </w:tcPr>
          <w:p w:rsidR="005B2901" w:rsidRDefault="00C271AA">
            <w:pPr>
              <w:jc w:val="left"/>
            </w:pPr>
            <w:r>
              <w:rPr>
                <w:color w:val="000000"/>
                <w:sz w:val="24"/>
                <w:szCs w:val="24"/>
              </w:rPr>
              <w:t>过去三个月</w:t>
            </w:r>
          </w:p>
        </w:tc>
        <w:tc>
          <w:tcPr>
            <w:tcW w:w="1045" w:type="dxa"/>
            <w:vAlign w:val="center"/>
          </w:tcPr>
          <w:p w:rsidR="005B2901" w:rsidRDefault="00C271AA">
            <w:pPr>
              <w:jc w:val="center"/>
            </w:pPr>
            <w:r>
              <w:rPr>
                <w:color w:val="000000"/>
                <w:sz w:val="24"/>
                <w:szCs w:val="24"/>
              </w:rPr>
              <w:t>2.90%</w:t>
            </w:r>
          </w:p>
        </w:tc>
        <w:tc>
          <w:tcPr>
            <w:tcW w:w="1344" w:type="dxa"/>
            <w:vAlign w:val="center"/>
          </w:tcPr>
          <w:p w:rsidR="005B2901" w:rsidRDefault="00C271AA">
            <w:pPr>
              <w:jc w:val="center"/>
            </w:pPr>
            <w:r>
              <w:rPr>
                <w:color w:val="000000"/>
                <w:sz w:val="24"/>
                <w:szCs w:val="24"/>
              </w:rPr>
              <w:t>1.22%</w:t>
            </w:r>
          </w:p>
        </w:tc>
        <w:tc>
          <w:tcPr>
            <w:tcW w:w="1194" w:type="dxa"/>
            <w:vAlign w:val="center"/>
          </w:tcPr>
          <w:p w:rsidR="005B2901" w:rsidRDefault="00C271AA">
            <w:pPr>
              <w:jc w:val="center"/>
            </w:pPr>
            <w:r>
              <w:rPr>
                <w:color w:val="000000"/>
                <w:sz w:val="24"/>
                <w:szCs w:val="24"/>
              </w:rPr>
              <w:t>2.29%</w:t>
            </w:r>
          </w:p>
        </w:tc>
        <w:tc>
          <w:tcPr>
            <w:tcW w:w="1492" w:type="dxa"/>
            <w:vAlign w:val="center"/>
          </w:tcPr>
          <w:p w:rsidR="005B2901" w:rsidRDefault="00C271AA">
            <w:pPr>
              <w:jc w:val="center"/>
            </w:pPr>
            <w:r>
              <w:rPr>
                <w:color w:val="000000"/>
                <w:sz w:val="24"/>
                <w:szCs w:val="24"/>
              </w:rPr>
              <w:t>0.70%</w:t>
            </w:r>
          </w:p>
        </w:tc>
        <w:tc>
          <w:tcPr>
            <w:tcW w:w="1194" w:type="dxa"/>
            <w:vAlign w:val="center"/>
          </w:tcPr>
          <w:p w:rsidR="005B2901" w:rsidRDefault="00C271AA">
            <w:pPr>
              <w:jc w:val="center"/>
            </w:pPr>
            <w:r>
              <w:rPr>
                <w:color w:val="000000"/>
                <w:sz w:val="24"/>
                <w:szCs w:val="24"/>
              </w:rPr>
              <w:t>0.61%</w:t>
            </w:r>
          </w:p>
        </w:tc>
        <w:tc>
          <w:tcPr>
            <w:tcW w:w="898" w:type="dxa"/>
            <w:vAlign w:val="center"/>
          </w:tcPr>
          <w:p w:rsidR="005B2901" w:rsidRDefault="00C271AA">
            <w:pPr>
              <w:jc w:val="center"/>
            </w:pPr>
            <w:r>
              <w:rPr>
                <w:color w:val="000000"/>
                <w:sz w:val="24"/>
                <w:szCs w:val="24"/>
              </w:rPr>
              <w:t>0.52%</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w:t>
      </w:r>
      <w:r w:rsidRPr="00414345">
        <w:rPr>
          <w:color w:val="000000"/>
          <w:sz w:val="24"/>
          <w:szCs w:val="24"/>
        </w:rPr>
        <w:lastRenderedPageBreak/>
        <w:t>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交银施罗德成长</w:t>
      </w:r>
      <w:r w:rsidRPr="00414345">
        <w:rPr>
          <w:color w:val="000000"/>
          <w:sz w:val="24"/>
          <w:szCs w:val="24"/>
        </w:rPr>
        <w:t>30</w:t>
      </w:r>
      <w:r w:rsidRPr="00414345">
        <w:rPr>
          <w:color w:val="000000"/>
          <w:sz w:val="24"/>
          <w:szCs w:val="24"/>
        </w:rPr>
        <w:t>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B2901">
        <w:trPr>
          <w:jc w:val="center"/>
        </w:trPr>
        <w:tc>
          <w:tcPr>
            <w:tcW w:w="846" w:type="dxa"/>
            <w:vAlign w:val="center"/>
          </w:tcPr>
          <w:p w:rsidR="005B2901" w:rsidRDefault="00C271AA">
            <w:pPr>
              <w:jc w:val="center"/>
            </w:pPr>
            <w:r>
              <w:rPr>
                <w:color w:val="000000"/>
                <w:sz w:val="24"/>
                <w:szCs w:val="24"/>
              </w:rPr>
              <w:t>王少成</w:t>
            </w:r>
          </w:p>
        </w:tc>
        <w:tc>
          <w:tcPr>
            <w:tcW w:w="845" w:type="dxa"/>
            <w:vAlign w:val="center"/>
          </w:tcPr>
          <w:p w:rsidR="005B2901" w:rsidRDefault="00C271AA">
            <w:pPr>
              <w:jc w:val="center"/>
            </w:pPr>
            <w:r>
              <w:rPr>
                <w:color w:val="000000"/>
                <w:sz w:val="24"/>
                <w:szCs w:val="24"/>
              </w:rPr>
              <w:t>交银成长混合、交银策略回报</w:t>
            </w:r>
            <w:r>
              <w:rPr>
                <w:color w:val="000000"/>
                <w:sz w:val="24"/>
                <w:szCs w:val="24"/>
              </w:rPr>
              <w:lastRenderedPageBreak/>
              <w:t>灵活配置混合、交银成长</w:t>
            </w:r>
            <w:r>
              <w:rPr>
                <w:color w:val="000000"/>
                <w:sz w:val="24"/>
                <w:szCs w:val="24"/>
              </w:rPr>
              <w:t>30</w:t>
            </w:r>
            <w:r>
              <w:rPr>
                <w:color w:val="000000"/>
                <w:sz w:val="24"/>
                <w:szCs w:val="24"/>
              </w:rPr>
              <w:t>混合、交银荣和保本混合的基金经理，公司权益投资总监</w:t>
            </w:r>
          </w:p>
        </w:tc>
        <w:tc>
          <w:tcPr>
            <w:tcW w:w="1549" w:type="dxa"/>
            <w:vAlign w:val="center"/>
          </w:tcPr>
          <w:p w:rsidR="005B2901" w:rsidRDefault="00C271AA">
            <w:pPr>
              <w:jc w:val="center"/>
            </w:pPr>
            <w:r>
              <w:rPr>
                <w:color w:val="000000"/>
                <w:sz w:val="24"/>
                <w:szCs w:val="24"/>
              </w:rPr>
              <w:lastRenderedPageBreak/>
              <w:t>2013-07-02</w:t>
            </w:r>
          </w:p>
        </w:tc>
        <w:tc>
          <w:tcPr>
            <w:tcW w:w="1548" w:type="dxa"/>
            <w:vAlign w:val="center"/>
          </w:tcPr>
          <w:p w:rsidR="005B2901" w:rsidRDefault="00C271AA">
            <w:pPr>
              <w:jc w:val="center"/>
            </w:pPr>
            <w:r>
              <w:rPr>
                <w:color w:val="000000"/>
                <w:sz w:val="24"/>
                <w:szCs w:val="24"/>
              </w:rPr>
              <w:t>-</w:t>
            </w:r>
          </w:p>
        </w:tc>
        <w:tc>
          <w:tcPr>
            <w:tcW w:w="1407" w:type="dxa"/>
            <w:vAlign w:val="center"/>
          </w:tcPr>
          <w:p w:rsidR="005B2901" w:rsidRDefault="00C271AA">
            <w:pPr>
              <w:jc w:val="center"/>
            </w:pPr>
            <w:r>
              <w:rPr>
                <w:color w:val="000000"/>
                <w:sz w:val="24"/>
                <w:szCs w:val="24"/>
              </w:rPr>
              <w:t>13</w:t>
            </w:r>
            <w:r>
              <w:rPr>
                <w:color w:val="000000"/>
                <w:sz w:val="24"/>
                <w:szCs w:val="24"/>
              </w:rPr>
              <w:t>年</w:t>
            </w:r>
          </w:p>
        </w:tc>
        <w:tc>
          <w:tcPr>
            <w:tcW w:w="2673" w:type="dxa"/>
            <w:vAlign w:val="center"/>
          </w:tcPr>
          <w:p w:rsidR="005B2901" w:rsidRDefault="00C271AA">
            <w:r>
              <w:rPr>
                <w:color w:val="000000"/>
                <w:sz w:val="24"/>
                <w:szCs w:val="24"/>
              </w:rPr>
              <w:t>王少成先生，复旦大学硕士学历。历任上海融昌资产管理公司研究员，中原证券投资经理，信诚基金管理有限公司研究总监助理，东吴基</w:t>
            </w:r>
            <w:r>
              <w:rPr>
                <w:color w:val="000000"/>
                <w:sz w:val="24"/>
                <w:szCs w:val="24"/>
              </w:rPr>
              <w:lastRenderedPageBreak/>
              <w:t>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年加入交银施罗德基金管理有限公司，历任公司权益部副总经理。</w:t>
            </w:r>
            <w:r>
              <w:rPr>
                <w:color w:val="000000"/>
                <w:sz w:val="24"/>
                <w:szCs w:val="24"/>
              </w:rPr>
              <w:t>2013</w:t>
            </w:r>
            <w:r>
              <w:rPr>
                <w:color w:val="000000"/>
                <w:sz w:val="24"/>
                <w:szCs w:val="24"/>
              </w:rPr>
              <w:t>年</w:t>
            </w:r>
            <w:r>
              <w:rPr>
                <w:color w:val="000000"/>
                <w:sz w:val="24"/>
                <w:szCs w:val="24"/>
              </w:rPr>
              <w:t>3</w:t>
            </w:r>
            <w:r>
              <w:rPr>
                <w:color w:val="000000"/>
                <w:sz w:val="24"/>
                <w:szCs w:val="24"/>
              </w:rPr>
              <w:t>月</w:t>
            </w:r>
            <w:r>
              <w:rPr>
                <w:color w:val="000000"/>
                <w:sz w:val="24"/>
                <w:szCs w:val="24"/>
              </w:rPr>
              <w:t>21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日担任交银施罗德先进制造混合型证券投资基金（原交银施罗德先进制造股票证券投资基金）基金经理，</w:t>
            </w:r>
            <w:r>
              <w:rPr>
                <w:color w:val="000000"/>
                <w:sz w:val="24"/>
                <w:szCs w:val="24"/>
              </w:rPr>
              <w:t>2013</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日担任交银施罗德先锋混合型证券投资基金（原交银施罗德先锋股票证券投资基金）基金经理。</w:t>
            </w:r>
          </w:p>
        </w:tc>
      </w:tr>
      <w:tr w:rsidR="005B2901">
        <w:trPr>
          <w:jc w:val="center"/>
        </w:trPr>
        <w:tc>
          <w:tcPr>
            <w:tcW w:w="846" w:type="dxa"/>
            <w:vAlign w:val="center"/>
          </w:tcPr>
          <w:p w:rsidR="005B2901" w:rsidRDefault="00C271AA">
            <w:pPr>
              <w:jc w:val="center"/>
            </w:pPr>
            <w:r>
              <w:rPr>
                <w:color w:val="000000"/>
                <w:sz w:val="24"/>
                <w:szCs w:val="24"/>
              </w:rPr>
              <w:lastRenderedPageBreak/>
              <w:t>郭斐</w:t>
            </w:r>
          </w:p>
        </w:tc>
        <w:tc>
          <w:tcPr>
            <w:tcW w:w="845" w:type="dxa"/>
            <w:vAlign w:val="center"/>
          </w:tcPr>
          <w:p w:rsidR="005B2901" w:rsidRDefault="00C271AA">
            <w:pPr>
              <w:jc w:val="center"/>
            </w:pPr>
            <w:r>
              <w:rPr>
                <w:color w:val="000000"/>
                <w:sz w:val="24"/>
                <w:szCs w:val="24"/>
              </w:rPr>
              <w:t>交银成长</w:t>
            </w:r>
            <w:r>
              <w:rPr>
                <w:color w:val="000000"/>
                <w:sz w:val="24"/>
                <w:szCs w:val="24"/>
              </w:rPr>
              <w:t>30</w:t>
            </w:r>
            <w:r>
              <w:rPr>
                <w:color w:val="000000"/>
                <w:sz w:val="24"/>
                <w:szCs w:val="24"/>
              </w:rPr>
              <w:t>混合的基金经理</w:t>
            </w:r>
          </w:p>
        </w:tc>
        <w:tc>
          <w:tcPr>
            <w:tcW w:w="1549" w:type="dxa"/>
            <w:vAlign w:val="center"/>
          </w:tcPr>
          <w:p w:rsidR="005B2901" w:rsidRDefault="00C271AA">
            <w:pPr>
              <w:jc w:val="center"/>
            </w:pPr>
            <w:r>
              <w:rPr>
                <w:color w:val="000000"/>
                <w:sz w:val="24"/>
                <w:szCs w:val="24"/>
              </w:rPr>
              <w:t>2017-09-26</w:t>
            </w:r>
          </w:p>
        </w:tc>
        <w:tc>
          <w:tcPr>
            <w:tcW w:w="1548" w:type="dxa"/>
            <w:vAlign w:val="center"/>
          </w:tcPr>
          <w:p w:rsidR="005B2901" w:rsidRDefault="00C271AA">
            <w:pPr>
              <w:jc w:val="center"/>
            </w:pPr>
            <w:r>
              <w:rPr>
                <w:color w:val="000000"/>
                <w:sz w:val="24"/>
                <w:szCs w:val="24"/>
              </w:rPr>
              <w:t>-</w:t>
            </w:r>
          </w:p>
        </w:tc>
        <w:tc>
          <w:tcPr>
            <w:tcW w:w="1407" w:type="dxa"/>
            <w:vAlign w:val="center"/>
          </w:tcPr>
          <w:p w:rsidR="005B2901" w:rsidRDefault="00C271AA">
            <w:pPr>
              <w:jc w:val="center"/>
            </w:pPr>
            <w:r>
              <w:rPr>
                <w:color w:val="000000"/>
                <w:sz w:val="24"/>
                <w:szCs w:val="24"/>
              </w:rPr>
              <w:t>8</w:t>
            </w:r>
            <w:r>
              <w:rPr>
                <w:color w:val="000000"/>
                <w:sz w:val="24"/>
                <w:szCs w:val="24"/>
              </w:rPr>
              <w:t>年</w:t>
            </w:r>
          </w:p>
        </w:tc>
        <w:tc>
          <w:tcPr>
            <w:tcW w:w="2673" w:type="dxa"/>
            <w:vAlign w:val="center"/>
          </w:tcPr>
          <w:p w:rsidR="005B2901" w:rsidRDefault="00C271AA" w:rsidP="00D21C76">
            <w:r>
              <w:rPr>
                <w:color w:val="000000"/>
                <w:sz w:val="24"/>
                <w:szCs w:val="24"/>
              </w:rPr>
              <w:t>郭斐先生，复旦大学经济学本科。</w:t>
            </w:r>
            <w:r>
              <w:rPr>
                <w:color w:val="000000"/>
                <w:sz w:val="24"/>
                <w:szCs w:val="24"/>
              </w:rPr>
              <w:t>2009</w:t>
            </w:r>
            <w:r>
              <w:rPr>
                <w:color w:val="000000"/>
                <w:sz w:val="24"/>
                <w:szCs w:val="24"/>
              </w:rPr>
              <w:t>年</w:t>
            </w:r>
            <w:r>
              <w:rPr>
                <w:color w:val="000000"/>
                <w:sz w:val="24"/>
                <w:szCs w:val="24"/>
              </w:rPr>
              <w:t>8</w:t>
            </w:r>
            <w:r>
              <w:rPr>
                <w:color w:val="000000"/>
                <w:sz w:val="24"/>
                <w:szCs w:val="24"/>
              </w:rPr>
              <w:t>月至</w:t>
            </w:r>
            <w:r>
              <w:rPr>
                <w:color w:val="000000"/>
                <w:sz w:val="24"/>
                <w:szCs w:val="24"/>
              </w:rPr>
              <w:t>2014</w:t>
            </w:r>
            <w:r>
              <w:rPr>
                <w:color w:val="000000"/>
                <w:sz w:val="24"/>
                <w:szCs w:val="24"/>
              </w:rPr>
              <w:t>年</w:t>
            </w:r>
            <w:r>
              <w:rPr>
                <w:color w:val="000000"/>
                <w:sz w:val="24"/>
                <w:szCs w:val="24"/>
              </w:rPr>
              <w:t>3</w:t>
            </w:r>
            <w:r>
              <w:rPr>
                <w:color w:val="000000"/>
                <w:sz w:val="24"/>
                <w:szCs w:val="24"/>
              </w:rPr>
              <w:t>月于高盛（亚洲）有限责任公司</w:t>
            </w:r>
            <w:r>
              <w:rPr>
                <w:color w:val="000000"/>
                <w:sz w:val="24"/>
                <w:szCs w:val="24"/>
              </w:rPr>
              <w:t>/</w:t>
            </w:r>
            <w:r>
              <w:rPr>
                <w:color w:val="000000"/>
                <w:sz w:val="24"/>
                <w:szCs w:val="24"/>
              </w:rPr>
              <w:t>高华证券公司任职。</w:t>
            </w:r>
            <w:r>
              <w:rPr>
                <w:color w:val="000000"/>
                <w:sz w:val="24"/>
                <w:szCs w:val="24"/>
              </w:rPr>
              <w:t>2014</w:t>
            </w:r>
            <w:r>
              <w:rPr>
                <w:color w:val="000000"/>
                <w:sz w:val="24"/>
                <w:szCs w:val="24"/>
              </w:rPr>
              <w:t>年加入交银施罗德基金管理有限公司，担任行业分析师、基金经理助理。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w:t>
      </w:r>
      <w:r w:rsidRPr="00414345">
        <w:rPr>
          <w:color w:val="000000"/>
          <w:sz w:val="24"/>
          <w:szCs w:val="24"/>
        </w:rPr>
        <w:lastRenderedPageBreak/>
        <w:t>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B2901" w:rsidRDefault="00C271AA">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5B2901" w:rsidRDefault="00C271AA">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5B2901" w:rsidRDefault="00C271AA">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B2901" w:rsidRDefault="00C271AA">
      <w:pPr>
        <w:spacing w:before="29" w:line="288" w:lineRule="auto"/>
        <w:ind w:firstLineChars="200" w:firstLine="480"/>
        <w:rPr>
          <w:color w:val="000000"/>
          <w:sz w:val="24"/>
          <w:szCs w:val="24"/>
        </w:rPr>
      </w:pPr>
      <w:r>
        <w:rPr>
          <w:color w:val="000000"/>
          <w:sz w:val="24"/>
          <w:szCs w:val="24"/>
        </w:rPr>
        <w:t>2017</w:t>
      </w:r>
      <w:r>
        <w:rPr>
          <w:color w:val="000000"/>
          <w:sz w:val="24"/>
          <w:szCs w:val="24"/>
        </w:rPr>
        <w:t>年四季度，市场在资金面因素主导下出现小幅回调，以上证</w:t>
      </w:r>
      <w:r>
        <w:rPr>
          <w:color w:val="000000"/>
          <w:sz w:val="24"/>
          <w:szCs w:val="24"/>
        </w:rPr>
        <w:t>50</w:t>
      </w:r>
      <w:r>
        <w:rPr>
          <w:color w:val="000000"/>
          <w:sz w:val="24"/>
          <w:szCs w:val="24"/>
        </w:rPr>
        <w:t>为首的主板仍然大幅跑赢中小板、创业板，龙头公司依然受到市场青睐。</w:t>
      </w:r>
    </w:p>
    <w:p w:rsidR="005B2901" w:rsidRDefault="00C271AA">
      <w:pPr>
        <w:spacing w:before="29" w:line="288" w:lineRule="auto"/>
        <w:ind w:firstLineChars="200" w:firstLine="480"/>
        <w:rPr>
          <w:color w:val="000000"/>
          <w:sz w:val="24"/>
          <w:szCs w:val="24"/>
        </w:rPr>
      </w:pPr>
      <w:r>
        <w:rPr>
          <w:color w:val="000000"/>
          <w:sz w:val="24"/>
          <w:szCs w:val="24"/>
        </w:rPr>
        <w:t>报告期内，本基金重点配置了先进制造、消费升级、景气科技等领域的品种。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2018</w:t>
      </w:r>
      <w:r w:rsidRPr="00414345">
        <w:rPr>
          <w:color w:val="000000"/>
          <w:sz w:val="24"/>
          <w:szCs w:val="24"/>
        </w:rPr>
        <w:t>年一季度，我们认为</w:t>
      </w:r>
      <w:r w:rsidRPr="00414345">
        <w:rPr>
          <w:color w:val="000000"/>
          <w:sz w:val="24"/>
          <w:szCs w:val="24"/>
        </w:rPr>
        <w:t>2017</w:t>
      </w:r>
      <w:r w:rsidRPr="00414345">
        <w:rPr>
          <w:color w:val="000000"/>
          <w:sz w:val="24"/>
          <w:szCs w:val="24"/>
        </w:rPr>
        <w:t>年超预期复苏的国内经济增长将在</w:t>
      </w:r>
      <w:r w:rsidRPr="00414345">
        <w:rPr>
          <w:color w:val="000000"/>
          <w:sz w:val="24"/>
          <w:szCs w:val="24"/>
        </w:rPr>
        <w:t>2018</w:t>
      </w:r>
      <w:r w:rsidRPr="00414345">
        <w:rPr>
          <w:color w:val="000000"/>
          <w:sz w:val="24"/>
          <w:szCs w:val="24"/>
        </w:rPr>
        <w:t>年延续好转态势，周期股和价值股板块仍有机会，但经历了充分调整、预期较低的成长股的性价比更为突出。我们将持续挖掘行业成长空间广阔、具备核心竞争力的公司，力求把握合适的配置窗口，力争为投资人获得持续稳定的超额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lastRenderedPageBreak/>
        <w:t>截至</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1.064</w:t>
      </w:r>
      <w:r w:rsidRPr="00414345">
        <w:rPr>
          <w:color w:val="000000"/>
          <w:sz w:val="24"/>
          <w:szCs w:val="24"/>
        </w:rPr>
        <w:t>元，本报告期份额净值增长率为</w:t>
      </w:r>
      <w:r w:rsidRPr="00414345">
        <w:rPr>
          <w:color w:val="000000"/>
          <w:sz w:val="24"/>
          <w:szCs w:val="24"/>
        </w:rPr>
        <w:t>2.90%</w:t>
      </w:r>
      <w:r w:rsidRPr="00414345">
        <w:rPr>
          <w:color w:val="000000"/>
          <w:sz w:val="24"/>
          <w:szCs w:val="24"/>
        </w:rPr>
        <w:t>，同期业绩比较基准增长率为</w:t>
      </w:r>
      <w:r w:rsidRPr="00414345">
        <w:rPr>
          <w:color w:val="000000"/>
          <w:sz w:val="24"/>
          <w:szCs w:val="24"/>
        </w:rPr>
        <w:t>2.29%</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69,005,918.89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76.21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69,005,918.89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76.21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304,266.80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0.34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304,266.80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0.34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8,500,000.00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9.39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12,401,302.79</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13.70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330,365.10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0.36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90,541,853.58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52,987,724.61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65.26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7,605,993.28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5,854,333.80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2,557,867.20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69,005,918.89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84.99</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5B2901">
        <w:trPr>
          <w:jc w:val="center"/>
        </w:trPr>
        <w:tc>
          <w:tcPr>
            <w:tcW w:w="855" w:type="dxa"/>
            <w:vAlign w:val="center"/>
          </w:tcPr>
          <w:p w:rsidR="005B2901" w:rsidRDefault="00C271AA">
            <w:pPr>
              <w:jc w:val="center"/>
            </w:pPr>
            <w:r>
              <w:rPr>
                <w:color w:val="000000"/>
                <w:sz w:val="24"/>
                <w:szCs w:val="24"/>
              </w:rPr>
              <w:t>1</w:t>
            </w:r>
          </w:p>
        </w:tc>
        <w:tc>
          <w:tcPr>
            <w:tcW w:w="1334" w:type="dxa"/>
            <w:vAlign w:val="center"/>
          </w:tcPr>
          <w:p w:rsidR="005B2901" w:rsidRDefault="00C271AA">
            <w:pPr>
              <w:jc w:val="center"/>
            </w:pPr>
            <w:r>
              <w:rPr>
                <w:color w:val="000000"/>
                <w:sz w:val="24"/>
                <w:szCs w:val="24"/>
              </w:rPr>
              <w:t>603986</w:t>
            </w:r>
          </w:p>
        </w:tc>
        <w:tc>
          <w:tcPr>
            <w:tcW w:w="1777" w:type="dxa"/>
            <w:vAlign w:val="center"/>
          </w:tcPr>
          <w:p w:rsidR="005B2901" w:rsidRDefault="00C271AA">
            <w:pPr>
              <w:jc w:val="center"/>
            </w:pPr>
            <w:r>
              <w:rPr>
                <w:color w:val="000000"/>
                <w:sz w:val="24"/>
                <w:szCs w:val="24"/>
              </w:rPr>
              <w:t>兆易创新</w:t>
            </w:r>
          </w:p>
        </w:tc>
        <w:tc>
          <w:tcPr>
            <w:tcW w:w="1334" w:type="dxa"/>
            <w:vAlign w:val="center"/>
          </w:tcPr>
          <w:p w:rsidR="005B2901" w:rsidRDefault="00C271AA">
            <w:pPr>
              <w:jc w:val="right"/>
            </w:pPr>
            <w:r>
              <w:rPr>
                <w:color w:val="000000"/>
                <w:sz w:val="24"/>
                <w:szCs w:val="24"/>
              </w:rPr>
              <w:t>59,100</w:t>
            </w:r>
          </w:p>
        </w:tc>
        <w:tc>
          <w:tcPr>
            <w:tcW w:w="1924" w:type="dxa"/>
            <w:vAlign w:val="center"/>
          </w:tcPr>
          <w:p w:rsidR="005B2901" w:rsidRDefault="00C271AA">
            <w:pPr>
              <w:jc w:val="right"/>
            </w:pPr>
            <w:r>
              <w:rPr>
                <w:color w:val="000000"/>
                <w:sz w:val="24"/>
                <w:szCs w:val="24"/>
              </w:rPr>
              <w:t>9,084,852.00</w:t>
            </w:r>
          </w:p>
        </w:tc>
        <w:tc>
          <w:tcPr>
            <w:tcW w:w="1644" w:type="dxa"/>
            <w:vAlign w:val="center"/>
          </w:tcPr>
          <w:p w:rsidR="005B2901" w:rsidRDefault="00C271AA">
            <w:pPr>
              <w:jc w:val="right"/>
            </w:pPr>
            <w:r>
              <w:rPr>
                <w:color w:val="000000"/>
                <w:sz w:val="24"/>
                <w:szCs w:val="24"/>
              </w:rPr>
              <w:t>11.19</w:t>
            </w:r>
          </w:p>
        </w:tc>
      </w:tr>
      <w:tr w:rsidR="005B2901">
        <w:trPr>
          <w:jc w:val="center"/>
        </w:trPr>
        <w:tc>
          <w:tcPr>
            <w:tcW w:w="855" w:type="dxa"/>
            <w:vAlign w:val="center"/>
          </w:tcPr>
          <w:p w:rsidR="005B2901" w:rsidRDefault="00C271AA">
            <w:pPr>
              <w:jc w:val="center"/>
            </w:pPr>
            <w:r>
              <w:rPr>
                <w:color w:val="000000"/>
                <w:sz w:val="24"/>
                <w:szCs w:val="24"/>
              </w:rPr>
              <w:t>2</w:t>
            </w:r>
          </w:p>
        </w:tc>
        <w:tc>
          <w:tcPr>
            <w:tcW w:w="1334" w:type="dxa"/>
            <w:vAlign w:val="center"/>
          </w:tcPr>
          <w:p w:rsidR="005B2901" w:rsidRDefault="00C271AA">
            <w:pPr>
              <w:jc w:val="center"/>
            </w:pPr>
            <w:r>
              <w:rPr>
                <w:color w:val="000000"/>
                <w:sz w:val="24"/>
                <w:szCs w:val="24"/>
              </w:rPr>
              <w:t>601100</w:t>
            </w:r>
          </w:p>
        </w:tc>
        <w:tc>
          <w:tcPr>
            <w:tcW w:w="1777" w:type="dxa"/>
            <w:vAlign w:val="center"/>
          </w:tcPr>
          <w:p w:rsidR="005B2901" w:rsidRDefault="00C271AA">
            <w:pPr>
              <w:jc w:val="center"/>
            </w:pPr>
            <w:r>
              <w:rPr>
                <w:color w:val="000000"/>
                <w:sz w:val="24"/>
                <w:szCs w:val="24"/>
              </w:rPr>
              <w:t>恒立液压</w:t>
            </w:r>
          </w:p>
        </w:tc>
        <w:tc>
          <w:tcPr>
            <w:tcW w:w="1334" w:type="dxa"/>
            <w:vAlign w:val="center"/>
          </w:tcPr>
          <w:p w:rsidR="005B2901" w:rsidRDefault="00C271AA">
            <w:pPr>
              <w:jc w:val="right"/>
            </w:pPr>
            <w:r>
              <w:rPr>
                <w:color w:val="000000"/>
                <w:sz w:val="24"/>
                <w:szCs w:val="24"/>
              </w:rPr>
              <w:t>216,100</w:t>
            </w:r>
          </w:p>
        </w:tc>
        <w:tc>
          <w:tcPr>
            <w:tcW w:w="1924" w:type="dxa"/>
            <w:vAlign w:val="center"/>
          </w:tcPr>
          <w:p w:rsidR="005B2901" w:rsidRDefault="00C271AA">
            <w:pPr>
              <w:jc w:val="right"/>
            </w:pPr>
            <w:r>
              <w:rPr>
                <w:color w:val="000000"/>
                <w:sz w:val="24"/>
                <w:szCs w:val="24"/>
              </w:rPr>
              <w:t>5,929,784.00</w:t>
            </w:r>
          </w:p>
        </w:tc>
        <w:tc>
          <w:tcPr>
            <w:tcW w:w="1644" w:type="dxa"/>
            <w:vAlign w:val="center"/>
          </w:tcPr>
          <w:p w:rsidR="005B2901" w:rsidRDefault="00C271AA">
            <w:pPr>
              <w:jc w:val="right"/>
            </w:pPr>
            <w:r>
              <w:rPr>
                <w:color w:val="000000"/>
                <w:sz w:val="24"/>
                <w:szCs w:val="24"/>
              </w:rPr>
              <w:t>7.30</w:t>
            </w:r>
          </w:p>
        </w:tc>
      </w:tr>
      <w:tr w:rsidR="005B2901">
        <w:trPr>
          <w:jc w:val="center"/>
        </w:trPr>
        <w:tc>
          <w:tcPr>
            <w:tcW w:w="855" w:type="dxa"/>
            <w:vAlign w:val="center"/>
          </w:tcPr>
          <w:p w:rsidR="005B2901" w:rsidRDefault="00C271AA">
            <w:pPr>
              <w:jc w:val="center"/>
            </w:pPr>
            <w:r>
              <w:rPr>
                <w:color w:val="000000"/>
                <w:sz w:val="24"/>
                <w:szCs w:val="24"/>
              </w:rPr>
              <w:t>3</w:t>
            </w:r>
          </w:p>
        </w:tc>
        <w:tc>
          <w:tcPr>
            <w:tcW w:w="1334" w:type="dxa"/>
            <w:vAlign w:val="center"/>
          </w:tcPr>
          <w:p w:rsidR="005B2901" w:rsidRDefault="00C271AA">
            <w:pPr>
              <w:jc w:val="center"/>
            </w:pPr>
            <w:r>
              <w:rPr>
                <w:color w:val="000000"/>
                <w:sz w:val="24"/>
                <w:szCs w:val="24"/>
              </w:rPr>
              <w:t>600029</w:t>
            </w:r>
          </w:p>
        </w:tc>
        <w:tc>
          <w:tcPr>
            <w:tcW w:w="1777" w:type="dxa"/>
            <w:vAlign w:val="center"/>
          </w:tcPr>
          <w:p w:rsidR="005B2901" w:rsidRDefault="00C271AA">
            <w:pPr>
              <w:jc w:val="center"/>
            </w:pPr>
            <w:r>
              <w:rPr>
                <w:color w:val="000000"/>
                <w:sz w:val="24"/>
                <w:szCs w:val="24"/>
              </w:rPr>
              <w:t>南方航空</w:t>
            </w:r>
          </w:p>
        </w:tc>
        <w:tc>
          <w:tcPr>
            <w:tcW w:w="1334" w:type="dxa"/>
            <w:vAlign w:val="center"/>
          </w:tcPr>
          <w:p w:rsidR="005B2901" w:rsidRDefault="00C271AA">
            <w:pPr>
              <w:jc w:val="right"/>
            </w:pPr>
            <w:r>
              <w:rPr>
                <w:color w:val="000000"/>
                <w:sz w:val="24"/>
                <w:szCs w:val="24"/>
              </w:rPr>
              <w:t>404,386</w:t>
            </w:r>
          </w:p>
        </w:tc>
        <w:tc>
          <w:tcPr>
            <w:tcW w:w="1924" w:type="dxa"/>
            <w:vAlign w:val="center"/>
          </w:tcPr>
          <w:p w:rsidR="005B2901" w:rsidRDefault="00C271AA">
            <w:pPr>
              <w:jc w:val="right"/>
            </w:pPr>
            <w:r>
              <w:rPr>
                <w:color w:val="000000"/>
                <w:sz w:val="24"/>
                <w:szCs w:val="24"/>
              </w:rPr>
              <w:t>4,820,281.12</w:t>
            </w:r>
          </w:p>
        </w:tc>
        <w:tc>
          <w:tcPr>
            <w:tcW w:w="1644" w:type="dxa"/>
            <w:vAlign w:val="center"/>
          </w:tcPr>
          <w:p w:rsidR="005B2901" w:rsidRDefault="00C271AA">
            <w:pPr>
              <w:jc w:val="right"/>
            </w:pPr>
            <w:r>
              <w:rPr>
                <w:color w:val="000000"/>
                <w:sz w:val="24"/>
                <w:szCs w:val="24"/>
              </w:rPr>
              <w:t>5.94</w:t>
            </w:r>
          </w:p>
        </w:tc>
      </w:tr>
      <w:tr w:rsidR="005B2901">
        <w:trPr>
          <w:jc w:val="center"/>
        </w:trPr>
        <w:tc>
          <w:tcPr>
            <w:tcW w:w="855" w:type="dxa"/>
            <w:vAlign w:val="center"/>
          </w:tcPr>
          <w:p w:rsidR="005B2901" w:rsidRDefault="00C271AA">
            <w:pPr>
              <w:jc w:val="center"/>
            </w:pPr>
            <w:r>
              <w:rPr>
                <w:color w:val="000000"/>
                <w:sz w:val="24"/>
                <w:szCs w:val="24"/>
              </w:rPr>
              <w:t>4</w:t>
            </w:r>
          </w:p>
        </w:tc>
        <w:tc>
          <w:tcPr>
            <w:tcW w:w="1334" w:type="dxa"/>
            <w:vAlign w:val="center"/>
          </w:tcPr>
          <w:p w:rsidR="005B2901" w:rsidRDefault="00C271AA">
            <w:pPr>
              <w:jc w:val="center"/>
            </w:pPr>
            <w:r>
              <w:rPr>
                <w:color w:val="000000"/>
                <w:sz w:val="24"/>
                <w:szCs w:val="24"/>
              </w:rPr>
              <w:t>300502</w:t>
            </w:r>
          </w:p>
        </w:tc>
        <w:tc>
          <w:tcPr>
            <w:tcW w:w="1777" w:type="dxa"/>
            <w:vAlign w:val="center"/>
          </w:tcPr>
          <w:p w:rsidR="005B2901" w:rsidRDefault="00C271AA">
            <w:pPr>
              <w:jc w:val="center"/>
            </w:pPr>
            <w:r>
              <w:rPr>
                <w:color w:val="000000"/>
                <w:sz w:val="24"/>
                <w:szCs w:val="24"/>
              </w:rPr>
              <w:t>新易盛</w:t>
            </w:r>
          </w:p>
        </w:tc>
        <w:tc>
          <w:tcPr>
            <w:tcW w:w="1334" w:type="dxa"/>
            <w:vAlign w:val="center"/>
          </w:tcPr>
          <w:p w:rsidR="005B2901" w:rsidRDefault="00C271AA">
            <w:pPr>
              <w:jc w:val="right"/>
            </w:pPr>
            <w:r>
              <w:rPr>
                <w:color w:val="000000"/>
                <w:sz w:val="24"/>
                <w:szCs w:val="24"/>
              </w:rPr>
              <w:t>165,678</w:t>
            </w:r>
          </w:p>
        </w:tc>
        <w:tc>
          <w:tcPr>
            <w:tcW w:w="1924" w:type="dxa"/>
            <w:vAlign w:val="center"/>
          </w:tcPr>
          <w:p w:rsidR="005B2901" w:rsidRDefault="00C271AA">
            <w:pPr>
              <w:jc w:val="right"/>
            </w:pPr>
            <w:r>
              <w:rPr>
                <w:color w:val="000000"/>
                <w:sz w:val="24"/>
                <w:szCs w:val="24"/>
              </w:rPr>
              <w:t>4,803,005.22</w:t>
            </w:r>
          </w:p>
        </w:tc>
        <w:tc>
          <w:tcPr>
            <w:tcW w:w="1644" w:type="dxa"/>
            <w:vAlign w:val="center"/>
          </w:tcPr>
          <w:p w:rsidR="005B2901" w:rsidRDefault="00C271AA">
            <w:pPr>
              <w:jc w:val="right"/>
            </w:pPr>
            <w:r>
              <w:rPr>
                <w:color w:val="000000"/>
                <w:sz w:val="24"/>
                <w:szCs w:val="24"/>
              </w:rPr>
              <w:t>5.92</w:t>
            </w:r>
          </w:p>
        </w:tc>
      </w:tr>
      <w:tr w:rsidR="005B2901">
        <w:trPr>
          <w:jc w:val="center"/>
        </w:trPr>
        <w:tc>
          <w:tcPr>
            <w:tcW w:w="855" w:type="dxa"/>
            <w:vAlign w:val="center"/>
          </w:tcPr>
          <w:p w:rsidR="005B2901" w:rsidRDefault="00C271AA">
            <w:pPr>
              <w:jc w:val="center"/>
            </w:pPr>
            <w:r>
              <w:rPr>
                <w:color w:val="000000"/>
                <w:sz w:val="24"/>
                <w:szCs w:val="24"/>
              </w:rPr>
              <w:t>5</w:t>
            </w:r>
          </w:p>
        </w:tc>
        <w:tc>
          <w:tcPr>
            <w:tcW w:w="1334" w:type="dxa"/>
            <w:vAlign w:val="center"/>
          </w:tcPr>
          <w:p w:rsidR="005B2901" w:rsidRDefault="00C271AA">
            <w:pPr>
              <w:jc w:val="center"/>
            </w:pPr>
            <w:r>
              <w:rPr>
                <w:color w:val="000000"/>
                <w:sz w:val="24"/>
                <w:szCs w:val="24"/>
              </w:rPr>
              <w:t>600030</w:t>
            </w:r>
          </w:p>
        </w:tc>
        <w:tc>
          <w:tcPr>
            <w:tcW w:w="1777" w:type="dxa"/>
            <w:vAlign w:val="center"/>
          </w:tcPr>
          <w:p w:rsidR="005B2901" w:rsidRDefault="00C271AA">
            <w:pPr>
              <w:jc w:val="center"/>
            </w:pPr>
            <w:r>
              <w:rPr>
                <w:color w:val="000000"/>
                <w:sz w:val="24"/>
                <w:szCs w:val="24"/>
              </w:rPr>
              <w:t>中信证券</w:t>
            </w:r>
          </w:p>
        </w:tc>
        <w:tc>
          <w:tcPr>
            <w:tcW w:w="1334" w:type="dxa"/>
            <w:vAlign w:val="center"/>
          </w:tcPr>
          <w:p w:rsidR="005B2901" w:rsidRDefault="00C271AA">
            <w:pPr>
              <w:jc w:val="right"/>
            </w:pPr>
            <w:r>
              <w:rPr>
                <w:color w:val="000000"/>
                <w:sz w:val="24"/>
                <w:szCs w:val="24"/>
              </w:rPr>
              <w:t>257,747</w:t>
            </w:r>
          </w:p>
        </w:tc>
        <w:tc>
          <w:tcPr>
            <w:tcW w:w="1924" w:type="dxa"/>
            <w:vAlign w:val="center"/>
          </w:tcPr>
          <w:p w:rsidR="005B2901" w:rsidRDefault="00C271AA">
            <w:pPr>
              <w:jc w:val="right"/>
            </w:pPr>
            <w:r>
              <w:rPr>
                <w:color w:val="000000"/>
                <w:sz w:val="24"/>
                <w:szCs w:val="24"/>
              </w:rPr>
              <w:t>4,665,220.70</w:t>
            </w:r>
          </w:p>
        </w:tc>
        <w:tc>
          <w:tcPr>
            <w:tcW w:w="1644" w:type="dxa"/>
            <w:vAlign w:val="center"/>
          </w:tcPr>
          <w:p w:rsidR="005B2901" w:rsidRDefault="00C271AA">
            <w:pPr>
              <w:jc w:val="right"/>
            </w:pPr>
            <w:r>
              <w:rPr>
                <w:color w:val="000000"/>
                <w:sz w:val="24"/>
                <w:szCs w:val="24"/>
              </w:rPr>
              <w:t>5.75</w:t>
            </w:r>
          </w:p>
        </w:tc>
      </w:tr>
      <w:tr w:rsidR="005B2901">
        <w:trPr>
          <w:jc w:val="center"/>
        </w:trPr>
        <w:tc>
          <w:tcPr>
            <w:tcW w:w="855" w:type="dxa"/>
            <w:vAlign w:val="center"/>
          </w:tcPr>
          <w:p w:rsidR="005B2901" w:rsidRDefault="00C271AA">
            <w:pPr>
              <w:jc w:val="center"/>
            </w:pPr>
            <w:r>
              <w:rPr>
                <w:color w:val="000000"/>
                <w:sz w:val="24"/>
                <w:szCs w:val="24"/>
              </w:rPr>
              <w:t>6</w:t>
            </w:r>
          </w:p>
        </w:tc>
        <w:tc>
          <w:tcPr>
            <w:tcW w:w="1334" w:type="dxa"/>
            <w:vAlign w:val="center"/>
          </w:tcPr>
          <w:p w:rsidR="005B2901" w:rsidRDefault="00C271AA">
            <w:pPr>
              <w:jc w:val="center"/>
            </w:pPr>
            <w:r>
              <w:rPr>
                <w:color w:val="000000"/>
                <w:sz w:val="24"/>
                <w:szCs w:val="24"/>
              </w:rPr>
              <w:t>002430</w:t>
            </w:r>
          </w:p>
        </w:tc>
        <w:tc>
          <w:tcPr>
            <w:tcW w:w="1777" w:type="dxa"/>
            <w:vAlign w:val="center"/>
          </w:tcPr>
          <w:p w:rsidR="005B2901" w:rsidRDefault="00C271AA">
            <w:pPr>
              <w:jc w:val="center"/>
            </w:pPr>
            <w:r>
              <w:rPr>
                <w:color w:val="000000"/>
                <w:sz w:val="24"/>
                <w:szCs w:val="24"/>
              </w:rPr>
              <w:t>杭氧股份</w:t>
            </w:r>
          </w:p>
        </w:tc>
        <w:tc>
          <w:tcPr>
            <w:tcW w:w="1334" w:type="dxa"/>
            <w:vAlign w:val="center"/>
          </w:tcPr>
          <w:p w:rsidR="005B2901" w:rsidRDefault="00C271AA">
            <w:pPr>
              <w:jc w:val="right"/>
            </w:pPr>
            <w:r>
              <w:rPr>
                <w:color w:val="000000"/>
                <w:sz w:val="24"/>
                <w:szCs w:val="24"/>
              </w:rPr>
              <w:t>299,297</w:t>
            </w:r>
          </w:p>
        </w:tc>
        <w:tc>
          <w:tcPr>
            <w:tcW w:w="1924" w:type="dxa"/>
            <w:vAlign w:val="center"/>
          </w:tcPr>
          <w:p w:rsidR="005B2901" w:rsidRDefault="00C271AA">
            <w:pPr>
              <w:jc w:val="right"/>
            </w:pPr>
            <w:r>
              <w:rPr>
                <w:color w:val="000000"/>
                <w:sz w:val="24"/>
                <w:szCs w:val="24"/>
              </w:rPr>
              <w:t>4,181,179.09</w:t>
            </w:r>
          </w:p>
        </w:tc>
        <w:tc>
          <w:tcPr>
            <w:tcW w:w="1644" w:type="dxa"/>
            <w:vAlign w:val="center"/>
          </w:tcPr>
          <w:p w:rsidR="005B2901" w:rsidRDefault="00C271AA">
            <w:pPr>
              <w:jc w:val="right"/>
            </w:pPr>
            <w:r>
              <w:rPr>
                <w:color w:val="000000"/>
                <w:sz w:val="24"/>
                <w:szCs w:val="24"/>
              </w:rPr>
              <w:t>5.15</w:t>
            </w:r>
          </w:p>
        </w:tc>
      </w:tr>
      <w:tr w:rsidR="005B2901">
        <w:trPr>
          <w:jc w:val="center"/>
        </w:trPr>
        <w:tc>
          <w:tcPr>
            <w:tcW w:w="855" w:type="dxa"/>
            <w:vAlign w:val="center"/>
          </w:tcPr>
          <w:p w:rsidR="005B2901" w:rsidRDefault="00C271AA">
            <w:pPr>
              <w:jc w:val="center"/>
            </w:pPr>
            <w:r>
              <w:rPr>
                <w:color w:val="000000"/>
                <w:sz w:val="24"/>
                <w:szCs w:val="24"/>
              </w:rPr>
              <w:t>7</w:t>
            </w:r>
          </w:p>
        </w:tc>
        <w:tc>
          <w:tcPr>
            <w:tcW w:w="1334" w:type="dxa"/>
            <w:vAlign w:val="center"/>
          </w:tcPr>
          <w:p w:rsidR="005B2901" w:rsidRDefault="00C271AA">
            <w:pPr>
              <w:jc w:val="center"/>
            </w:pPr>
            <w:r>
              <w:rPr>
                <w:color w:val="000000"/>
                <w:sz w:val="24"/>
                <w:szCs w:val="24"/>
              </w:rPr>
              <w:t>000858</w:t>
            </w:r>
          </w:p>
        </w:tc>
        <w:tc>
          <w:tcPr>
            <w:tcW w:w="1777" w:type="dxa"/>
            <w:vAlign w:val="center"/>
          </w:tcPr>
          <w:p w:rsidR="005B2901" w:rsidRDefault="00C271AA">
            <w:pPr>
              <w:jc w:val="center"/>
            </w:pPr>
            <w:r>
              <w:rPr>
                <w:color w:val="000000"/>
                <w:sz w:val="24"/>
                <w:szCs w:val="24"/>
              </w:rPr>
              <w:t>五</w:t>
            </w:r>
            <w:r>
              <w:rPr>
                <w:color w:val="000000"/>
                <w:sz w:val="24"/>
                <w:szCs w:val="24"/>
              </w:rPr>
              <w:t xml:space="preserve"> </w:t>
            </w:r>
            <w:r>
              <w:rPr>
                <w:color w:val="000000"/>
                <w:sz w:val="24"/>
                <w:szCs w:val="24"/>
              </w:rPr>
              <w:t>粮</w:t>
            </w:r>
            <w:r>
              <w:rPr>
                <w:color w:val="000000"/>
                <w:sz w:val="24"/>
                <w:szCs w:val="24"/>
              </w:rPr>
              <w:t xml:space="preserve"> </w:t>
            </w:r>
            <w:r>
              <w:rPr>
                <w:color w:val="000000"/>
                <w:sz w:val="24"/>
                <w:szCs w:val="24"/>
              </w:rPr>
              <w:t>液</w:t>
            </w:r>
          </w:p>
        </w:tc>
        <w:tc>
          <w:tcPr>
            <w:tcW w:w="1334" w:type="dxa"/>
            <w:vAlign w:val="center"/>
          </w:tcPr>
          <w:p w:rsidR="005B2901" w:rsidRDefault="00C271AA">
            <w:pPr>
              <w:jc w:val="right"/>
            </w:pPr>
            <w:r>
              <w:rPr>
                <w:color w:val="000000"/>
                <w:sz w:val="24"/>
                <w:szCs w:val="24"/>
              </w:rPr>
              <w:t>47,582</w:t>
            </w:r>
          </w:p>
        </w:tc>
        <w:tc>
          <w:tcPr>
            <w:tcW w:w="1924" w:type="dxa"/>
            <w:vAlign w:val="center"/>
          </w:tcPr>
          <w:p w:rsidR="005B2901" w:rsidRDefault="00C271AA">
            <w:pPr>
              <w:jc w:val="right"/>
            </w:pPr>
            <w:r>
              <w:rPr>
                <w:color w:val="000000"/>
                <w:sz w:val="24"/>
                <w:szCs w:val="24"/>
              </w:rPr>
              <w:t>3,800,850.16</w:t>
            </w:r>
          </w:p>
        </w:tc>
        <w:tc>
          <w:tcPr>
            <w:tcW w:w="1644" w:type="dxa"/>
            <w:vAlign w:val="center"/>
          </w:tcPr>
          <w:p w:rsidR="005B2901" w:rsidRDefault="00C271AA">
            <w:pPr>
              <w:jc w:val="right"/>
            </w:pPr>
            <w:r>
              <w:rPr>
                <w:color w:val="000000"/>
                <w:sz w:val="24"/>
                <w:szCs w:val="24"/>
              </w:rPr>
              <w:t>4.68</w:t>
            </w:r>
          </w:p>
        </w:tc>
      </w:tr>
      <w:tr w:rsidR="005B2901">
        <w:trPr>
          <w:jc w:val="center"/>
        </w:trPr>
        <w:tc>
          <w:tcPr>
            <w:tcW w:w="855" w:type="dxa"/>
            <w:vAlign w:val="center"/>
          </w:tcPr>
          <w:p w:rsidR="005B2901" w:rsidRDefault="00C271AA">
            <w:pPr>
              <w:jc w:val="center"/>
            </w:pPr>
            <w:r>
              <w:rPr>
                <w:color w:val="000000"/>
                <w:sz w:val="24"/>
                <w:szCs w:val="24"/>
              </w:rPr>
              <w:t>8</w:t>
            </w:r>
          </w:p>
        </w:tc>
        <w:tc>
          <w:tcPr>
            <w:tcW w:w="1334" w:type="dxa"/>
            <w:vAlign w:val="center"/>
          </w:tcPr>
          <w:p w:rsidR="005B2901" w:rsidRDefault="00C271AA">
            <w:pPr>
              <w:jc w:val="center"/>
            </w:pPr>
            <w:r>
              <w:rPr>
                <w:color w:val="000000"/>
                <w:sz w:val="24"/>
                <w:szCs w:val="24"/>
              </w:rPr>
              <w:t>300373</w:t>
            </w:r>
          </w:p>
        </w:tc>
        <w:tc>
          <w:tcPr>
            <w:tcW w:w="1777" w:type="dxa"/>
            <w:vAlign w:val="center"/>
          </w:tcPr>
          <w:p w:rsidR="005B2901" w:rsidRDefault="00C271AA">
            <w:pPr>
              <w:jc w:val="center"/>
            </w:pPr>
            <w:r>
              <w:rPr>
                <w:color w:val="000000"/>
                <w:sz w:val="24"/>
                <w:szCs w:val="24"/>
              </w:rPr>
              <w:t>扬杰科技</w:t>
            </w:r>
          </w:p>
        </w:tc>
        <w:tc>
          <w:tcPr>
            <w:tcW w:w="1334" w:type="dxa"/>
            <w:vAlign w:val="center"/>
          </w:tcPr>
          <w:p w:rsidR="005B2901" w:rsidRDefault="00C271AA">
            <w:pPr>
              <w:jc w:val="right"/>
            </w:pPr>
            <w:r>
              <w:rPr>
                <w:color w:val="000000"/>
                <w:sz w:val="24"/>
                <w:szCs w:val="24"/>
              </w:rPr>
              <w:t>116,500</w:t>
            </w:r>
          </w:p>
        </w:tc>
        <w:tc>
          <w:tcPr>
            <w:tcW w:w="1924" w:type="dxa"/>
            <w:vAlign w:val="center"/>
          </w:tcPr>
          <w:p w:rsidR="005B2901" w:rsidRDefault="00C271AA">
            <w:pPr>
              <w:jc w:val="right"/>
            </w:pPr>
            <w:r>
              <w:rPr>
                <w:color w:val="000000"/>
                <w:sz w:val="24"/>
                <w:szCs w:val="24"/>
              </w:rPr>
              <w:t>3,491,505.00</w:t>
            </w:r>
          </w:p>
        </w:tc>
        <w:tc>
          <w:tcPr>
            <w:tcW w:w="1644" w:type="dxa"/>
            <w:vAlign w:val="center"/>
          </w:tcPr>
          <w:p w:rsidR="005B2901" w:rsidRDefault="00C271AA">
            <w:pPr>
              <w:jc w:val="right"/>
            </w:pPr>
            <w:r>
              <w:rPr>
                <w:color w:val="000000"/>
                <w:sz w:val="24"/>
                <w:szCs w:val="24"/>
              </w:rPr>
              <w:t>4.30</w:t>
            </w:r>
          </w:p>
        </w:tc>
      </w:tr>
      <w:tr w:rsidR="005B2901">
        <w:trPr>
          <w:jc w:val="center"/>
        </w:trPr>
        <w:tc>
          <w:tcPr>
            <w:tcW w:w="855" w:type="dxa"/>
            <w:vAlign w:val="center"/>
          </w:tcPr>
          <w:p w:rsidR="005B2901" w:rsidRDefault="00C271AA">
            <w:pPr>
              <w:jc w:val="center"/>
            </w:pPr>
            <w:r>
              <w:rPr>
                <w:color w:val="000000"/>
                <w:sz w:val="24"/>
                <w:szCs w:val="24"/>
              </w:rPr>
              <w:lastRenderedPageBreak/>
              <w:t>9</w:t>
            </w:r>
          </w:p>
        </w:tc>
        <w:tc>
          <w:tcPr>
            <w:tcW w:w="1334" w:type="dxa"/>
            <w:vAlign w:val="center"/>
          </w:tcPr>
          <w:p w:rsidR="005B2901" w:rsidRDefault="00C271AA">
            <w:pPr>
              <w:jc w:val="center"/>
            </w:pPr>
            <w:r>
              <w:rPr>
                <w:color w:val="000000"/>
                <w:sz w:val="24"/>
                <w:szCs w:val="24"/>
              </w:rPr>
              <w:t>300129</w:t>
            </w:r>
          </w:p>
        </w:tc>
        <w:tc>
          <w:tcPr>
            <w:tcW w:w="1777" w:type="dxa"/>
            <w:vAlign w:val="center"/>
          </w:tcPr>
          <w:p w:rsidR="005B2901" w:rsidRDefault="00C271AA">
            <w:pPr>
              <w:jc w:val="center"/>
            </w:pPr>
            <w:r>
              <w:rPr>
                <w:color w:val="000000"/>
                <w:sz w:val="24"/>
                <w:szCs w:val="24"/>
              </w:rPr>
              <w:t>泰胜风能</w:t>
            </w:r>
          </w:p>
        </w:tc>
        <w:tc>
          <w:tcPr>
            <w:tcW w:w="1334" w:type="dxa"/>
            <w:vAlign w:val="center"/>
          </w:tcPr>
          <w:p w:rsidR="005B2901" w:rsidRDefault="00C271AA">
            <w:pPr>
              <w:jc w:val="right"/>
            </w:pPr>
            <w:r>
              <w:rPr>
                <w:color w:val="000000"/>
                <w:sz w:val="24"/>
                <w:szCs w:val="24"/>
              </w:rPr>
              <w:t>425,784</w:t>
            </w:r>
          </w:p>
        </w:tc>
        <w:tc>
          <w:tcPr>
            <w:tcW w:w="1924" w:type="dxa"/>
            <w:vAlign w:val="center"/>
          </w:tcPr>
          <w:p w:rsidR="005B2901" w:rsidRDefault="00C271AA">
            <w:pPr>
              <w:jc w:val="right"/>
            </w:pPr>
            <w:r>
              <w:rPr>
                <w:color w:val="000000"/>
                <w:sz w:val="24"/>
                <w:szCs w:val="24"/>
              </w:rPr>
              <w:t>3,427,561.20</w:t>
            </w:r>
          </w:p>
        </w:tc>
        <w:tc>
          <w:tcPr>
            <w:tcW w:w="1644" w:type="dxa"/>
            <w:vAlign w:val="center"/>
          </w:tcPr>
          <w:p w:rsidR="005B2901" w:rsidRDefault="00C271AA">
            <w:pPr>
              <w:jc w:val="right"/>
            </w:pPr>
            <w:r>
              <w:rPr>
                <w:color w:val="000000"/>
                <w:sz w:val="24"/>
                <w:szCs w:val="24"/>
              </w:rPr>
              <w:t>4.22</w:t>
            </w:r>
          </w:p>
        </w:tc>
      </w:tr>
      <w:tr w:rsidR="005B2901">
        <w:trPr>
          <w:jc w:val="center"/>
        </w:trPr>
        <w:tc>
          <w:tcPr>
            <w:tcW w:w="855" w:type="dxa"/>
            <w:vAlign w:val="center"/>
          </w:tcPr>
          <w:p w:rsidR="005B2901" w:rsidRDefault="00C271AA">
            <w:pPr>
              <w:jc w:val="center"/>
            </w:pPr>
            <w:r>
              <w:rPr>
                <w:color w:val="000000"/>
                <w:sz w:val="24"/>
                <w:szCs w:val="24"/>
              </w:rPr>
              <w:t>10</w:t>
            </w:r>
          </w:p>
        </w:tc>
        <w:tc>
          <w:tcPr>
            <w:tcW w:w="1334" w:type="dxa"/>
            <w:vAlign w:val="center"/>
          </w:tcPr>
          <w:p w:rsidR="005B2901" w:rsidRDefault="00C271AA">
            <w:pPr>
              <w:jc w:val="center"/>
            </w:pPr>
            <w:r>
              <w:rPr>
                <w:color w:val="000000"/>
                <w:sz w:val="24"/>
                <w:szCs w:val="24"/>
              </w:rPr>
              <w:t>002886</w:t>
            </w:r>
          </w:p>
        </w:tc>
        <w:tc>
          <w:tcPr>
            <w:tcW w:w="1777" w:type="dxa"/>
            <w:vAlign w:val="center"/>
          </w:tcPr>
          <w:p w:rsidR="005B2901" w:rsidRDefault="00C271AA">
            <w:pPr>
              <w:jc w:val="center"/>
            </w:pPr>
            <w:r>
              <w:rPr>
                <w:color w:val="000000"/>
                <w:sz w:val="24"/>
                <w:szCs w:val="24"/>
              </w:rPr>
              <w:t>沃特股份</w:t>
            </w:r>
          </w:p>
        </w:tc>
        <w:tc>
          <w:tcPr>
            <w:tcW w:w="1334" w:type="dxa"/>
            <w:vAlign w:val="center"/>
          </w:tcPr>
          <w:p w:rsidR="005B2901" w:rsidRDefault="00C271AA">
            <w:pPr>
              <w:jc w:val="right"/>
            </w:pPr>
            <w:r>
              <w:rPr>
                <w:color w:val="000000"/>
                <w:sz w:val="24"/>
                <w:szCs w:val="24"/>
              </w:rPr>
              <w:t>90,232</w:t>
            </w:r>
          </w:p>
        </w:tc>
        <w:tc>
          <w:tcPr>
            <w:tcW w:w="1924" w:type="dxa"/>
            <w:vAlign w:val="center"/>
          </w:tcPr>
          <w:p w:rsidR="005B2901" w:rsidRDefault="00C271AA">
            <w:pPr>
              <w:jc w:val="right"/>
            </w:pPr>
            <w:r>
              <w:rPr>
                <w:color w:val="000000"/>
                <w:sz w:val="24"/>
                <w:szCs w:val="24"/>
              </w:rPr>
              <w:t>3,288,956.40</w:t>
            </w:r>
          </w:p>
        </w:tc>
        <w:tc>
          <w:tcPr>
            <w:tcW w:w="1644" w:type="dxa"/>
            <w:vAlign w:val="center"/>
          </w:tcPr>
          <w:p w:rsidR="005B2901" w:rsidRDefault="00C271AA">
            <w:pPr>
              <w:jc w:val="right"/>
            </w:pPr>
            <w:r>
              <w:rPr>
                <w:color w:val="000000"/>
                <w:sz w:val="24"/>
                <w:szCs w:val="24"/>
              </w:rPr>
              <w:t>4.05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304,266.80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0.37</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304,266.80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0.37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5B2901">
        <w:trPr>
          <w:jc w:val="center"/>
        </w:trPr>
        <w:tc>
          <w:tcPr>
            <w:tcW w:w="850" w:type="dxa"/>
            <w:vAlign w:val="center"/>
          </w:tcPr>
          <w:p w:rsidR="005B2901" w:rsidRDefault="00C271AA">
            <w:pPr>
              <w:jc w:val="center"/>
            </w:pPr>
            <w:r>
              <w:rPr>
                <w:color w:val="000000"/>
                <w:sz w:val="24"/>
                <w:szCs w:val="24"/>
              </w:rPr>
              <w:t>1</w:t>
            </w:r>
          </w:p>
        </w:tc>
        <w:tc>
          <w:tcPr>
            <w:tcW w:w="1475" w:type="dxa"/>
            <w:vAlign w:val="center"/>
          </w:tcPr>
          <w:p w:rsidR="005B2901" w:rsidRDefault="00C271AA">
            <w:pPr>
              <w:jc w:val="center"/>
            </w:pPr>
            <w:r>
              <w:rPr>
                <w:color w:val="000000"/>
                <w:sz w:val="24"/>
                <w:szCs w:val="24"/>
              </w:rPr>
              <w:t>110040</w:t>
            </w:r>
          </w:p>
        </w:tc>
        <w:tc>
          <w:tcPr>
            <w:tcW w:w="1769" w:type="dxa"/>
            <w:vAlign w:val="center"/>
          </w:tcPr>
          <w:p w:rsidR="005B2901" w:rsidRDefault="00C271AA">
            <w:pPr>
              <w:jc w:val="center"/>
            </w:pPr>
            <w:r>
              <w:rPr>
                <w:color w:val="000000"/>
                <w:sz w:val="24"/>
                <w:szCs w:val="24"/>
              </w:rPr>
              <w:t>生益转债</w:t>
            </w:r>
          </w:p>
        </w:tc>
        <w:tc>
          <w:tcPr>
            <w:tcW w:w="1387" w:type="dxa"/>
            <w:vAlign w:val="center"/>
          </w:tcPr>
          <w:p w:rsidR="005B2901" w:rsidRDefault="00C271AA">
            <w:pPr>
              <w:jc w:val="right"/>
            </w:pPr>
            <w:r>
              <w:rPr>
                <w:color w:val="000000"/>
                <w:sz w:val="24"/>
                <w:szCs w:val="24"/>
              </w:rPr>
              <w:t>2,810</w:t>
            </w:r>
          </w:p>
        </w:tc>
        <w:tc>
          <w:tcPr>
            <w:tcW w:w="2150" w:type="dxa"/>
            <w:vAlign w:val="center"/>
          </w:tcPr>
          <w:p w:rsidR="005B2901" w:rsidRDefault="00C271AA">
            <w:pPr>
              <w:jc w:val="right"/>
            </w:pPr>
            <w:r>
              <w:rPr>
                <w:color w:val="000000"/>
                <w:sz w:val="24"/>
                <w:szCs w:val="24"/>
              </w:rPr>
              <w:t>304,266.80</w:t>
            </w:r>
          </w:p>
        </w:tc>
        <w:tc>
          <w:tcPr>
            <w:tcW w:w="1237" w:type="dxa"/>
            <w:vAlign w:val="center"/>
          </w:tcPr>
          <w:p w:rsidR="005B2901" w:rsidRDefault="00C271AA">
            <w:pPr>
              <w:jc w:val="right"/>
            </w:pPr>
            <w:r>
              <w:rPr>
                <w:color w:val="000000"/>
                <w:sz w:val="24"/>
                <w:szCs w:val="24"/>
              </w:rPr>
              <w:t>0.37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报告期内本基金投资的前十名证券的发行主体除中信证券（证券代码：</w:t>
      </w:r>
      <w:r w:rsidRPr="00BE5388">
        <w:rPr>
          <w:bCs/>
          <w:color w:val="000000"/>
          <w:kern w:val="0"/>
          <w:sz w:val="24"/>
          <w:szCs w:val="24"/>
        </w:rPr>
        <w:t>600030</w:t>
      </w:r>
      <w:r w:rsidRPr="00BE5388">
        <w:rPr>
          <w:bCs/>
          <w:color w:val="000000"/>
          <w:kern w:val="0"/>
          <w:sz w:val="24"/>
          <w:szCs w:val="24"/>
        </w:rPr>
        <w:t>）外，未出现被监管部门立案调查，或在报告编制日前一年内受到公开谴责、处罚的情形。</w:t>
      </w:r>
    </w:p>
    <w:p w:rsidR="005B2901" w:rsidRDefault="00C271AA">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报告期内本基金投资的前十名证券之一中信证券（证券代码：</w:t>
      </w:r>
      <w:r>
        <w:rPr>
          <w:bCs/>
          <w:color w:val="000000"/>
          <w:kern w:val="0"/>
          <w:sz w:val="24"/>
          <w:szCs w:val="24"/>
        </w:rPr>
        <w:t>600030</w:t>
      </w:r>
      <w:r>
        <w:rPr>
          <w:bCs/>
          <w:color w:val="000000"/>
          <w:kern w:val="0"/>
          <w:sz w:val="24"/>
          <w:szCs w:val="24"/>
        </w:rPr>
        <w:t>）于</w:t>
      </w:r>
      <w:r>
        <w:rPr>
          <w:bCs/>
          <w:color w:val="000000"/>
          <w:kern w:val="0"/>
          <w:sz w:val="24"/>
          <w:szCs w:val="24"/>
        </w:rPr>
        <w:t>2017</w:t>
      </w:r>
      <w:r>
        <w:rPr>
          <w:bCs/>
          <w:color w:val="000000"/>
          <w:kern w:val="0"/>
          <w:sz w:val="24"/>
          <w:szCs w:val="24"/>
        </w:rPr>
        <w:t>年</w:t>
      </w:r>
      <w:r>
        <w:rPr>
          <w:bCs/>
          <w:color w:val="000000"/>
          <w:kern w:val="0"/>
          <w:sz w:val="24"/>
          <w:szCs w:val="24"/>
        </w:rPr>
        <w:t>5</w:t>
      </w:r>
      <w:r>
        <w:rPr>
          <w:bCs/>
          <w:color w:val="000000"/>
          <w:kern w:val="0"/>
          <w:sz w:val="24"/>
          <w:szCs w:val="24"/>
        </w:rPr>
        <w:t>月</w:t>
      </w:r>
      <w:r>
        <w:rPr>
          <w:bCs/>
          <w:color w:val="000000"/>
          <w:kern w:val="0"/>
          <w:sz w:val="24"/>
          <w:szCs w:val="24"/>
        </w:rPr>
        <w:t>24</w:t>
      </w:r>
      <w:r>
        <w:rPr>
          <w:bCs/>
          <w:color w:val="000000"/>
          <w:kern w:val="0"/>
          <w:sz w:val="24"/>
          <w:szCs w:val="24"/>
        </w:rPr>
        <w:t>日公告，公司因违反《证券公司监督管理条例》第八十四条相关规定于日前收到中国证监会《行政处罚事先告知书》（处罚字</w:t>
      </w:r>
      <w:r>
        <w:rPr>
          <w:bCs/>
          <w:color w:val="000000"/>
          <w:kern w:val="0"/>
          <w:sz w:val="24"/>
          <w:szCs w:val="24"/>
        </w:rPr>
        <w:t>[2017]57</w:t>
      </w:r>
      <w:r>
        <w:rPr>
          <w:bCs/>
          <w:color w:val="000000"/>
          <w:kern w:val="0"/>
          <w:sz w:val="24"/>
          <w:szCs w:val="24"/>
        </w:rPr>
        <w:t>号）。据此，中国证监会拟决定责令公司改正，给予警告，没收违法所得人民币</w:t>
      </w:r>
      <w:r>
        <w:rPr>
          <w:bCs/>
          <w:color w:val="000000"/>
          <w:kern w:val="0"/>
          <w:sz w:val="24"/>
          <w:szCs w:val="24"/>
        </w:rPr>
        <w:t>61,655,849.78</w:t>
      </w:r>
      <w:r>
        <w:rPr>
          <w:bCs/>
          <w:color w:val="000000"/>
          <w:kern w:val="0"/>
          <w:sz w:val="24"/>
          <w:szCs w:val="24"/>
        </w:rPr>
        <w:t>元，并处人民币</w:t>
      </w:r>
      <w:r>
        <w:rPr>
          <w:bCs/>
          <w:color w:val="000000"/>
          <w:kern w:val="0"/>
          <w:sz w:val="24"/>
          <w:szCs w:val="24"/>
        </w:rPr>
        <w:t>308,279,248.90</w:t>
      </w:r>
      <w:r>
        <w:rPr>
          <w:bCs/>
          <w:color w:val="000000"/>
          <w:kern w:val="0"/>
          <w:sz w:val="24"/>
          <w:szCs w:val="24"/>
        </w:rPr>
        <w:t>元罚款。</w:t>
      </w:r>
    </w:p>
    <w:p w:rsidR="005B2901" w:rsidRDefault="00C271AA">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36,473.25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241,831.70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5,404.20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46,655.95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330,365.10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5B2901">
        <w:trPr>
          <w:jc w:val="center"/>
        </w:trPr>
        <w:tc>
          <w:tcPr>
            <w:tcW w:w="1129" w:type="dxa"/>
            <w:vAlign w:val="center"/>
          </w:tcPr>
          <w:p w:rsidR="005B2901" w:rsidRDefault="00C271AA">
            <w:pPr>
              <w:jc w:val="center"/>
            </w:pPr>
            <w:r>
              <w:rPr>
                <w:color w:val="000000"/>
                <w:sz w:val="24"/>
                <w:szCs w:val="24"/>
              </w:rPr>
              <w:t>1</w:t>
            </w:r>
          </w:p>
        </w:tc>
        <w:tc>
          <w:tcPr>
            <w:tcW w:w="1356" w:type="dxa"/>
            <w:vAlign w:val="center"/>
          </w:tcPr>
          <w:p w:rsidR="005B2901" w:rsidRDefault="00C271AA">
            <w:pPr>
              <w:jc w:val="center"/>
            </w:pPr>
            <w:r>
              <w:rPr>
                <w:color w:val="000000"/>
                <w:sz w:val="24"/>
                <w:szCs w:val="24"/>
              </w:rPr>
              <w:t>603986</w:t>
            </w:r>
          </w:p>
        </w:tc>
        <w:tc>
          <w:tcPr>
            <w:tcW w:w="1355" w:type="dxa"/>
            <w:vAlign w:val="center"/>
          </w:tcPr>
          <w:p w:rsidR="005B2901" w:rsidRDefault="00C271AA">
            <w:pPr>
              <w:jc w:val="center"/>
            </w:pPr>
            <w:r>
              <w:rPr>
                <w:color w:val="000000"/>
                <w:sz w:val="24"/>
                <w:szCs w:val="24"/>
              </w:rPr>
              <w:t>兆易创新</w:t>
            </w:r>
          </w:p>
        </w:tc>
        <w:tc>
          <w:tcPr>
            <w:tcW w:w="1880" w:type="dxa"/>
            <w:vAlign w:val="center"/>
          </w:tcPr>
          <w:p w:rsidR="005B2901" w:rsidRDefault="00C271AA">
            <w:pPr>
              <w:jc w:val="right"/>
            </w:pPr>
            <w:r>
              <w:rPr>
                <w:color w:val="000000"/>
                <w:sz w:val="24"/>
                <w:szCs w:val="24"/>
              </w:rPr>
              <w:t>9,084,852.00</w:t>
            </w:r>
          </w:p>
        </w:tc>
        <w:tc>
          <w:tcPr>
            <w:tcW w:w="1724" w:type="dxa"/>
            <w:vAlign w:val="center"/>
          </w:tcPr>
          <w:p w:rsidR="005B2901" w:rsidRDefault="00C271AA">
            <w:pPr>
              <w:jc w:val="right"/>
            </w:pPr>
            <w:r>
              <w:rPr>
                <w:color w:val="000000"/>
                <w:sz w:val="24"/>
                <w:szCs w:val="24"/>
              </w:rPr>
              <w:t>11.19</w:t>
            </w:r>
          </w:p>
        </w:tc>
        <w:tc>
          <w:tcPr>
            <w:tcW w:w="1424" w:type="dxa"/>
            <w:vAlign w:val="center"/>
          </w:tcPr>
          <w:p w:rsidR="005B2901" w:rsidRDefault="00C271AA">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129,477,037.04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5,175,613.88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58,357,295.85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76,295,355.07</w:t>
            </w:r>
          </w:p>
        </w:tc>
      </w:tr>
    </w:tbl>
    <w:p w:rsidR="005B2901" w:rsidRDefault="00C271A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EE49FE">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w:t>
            </w:r>
            <w:r w:rsidRPr="004F4D27">
              <w:rPr>
                <w:rFonts w:ascii="宋体" w:hAnsi="宋体" w:hint="eastAsia"/>
                <w:color w:val="000000"/>
                <w:kern w:val="0"/>
              </w:rPr>
              <w:lastRenderedPageBreak/>
              <w:t>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5B2901">
        <w:tc>
          <w:tcPr>
            <w:tcW w:w="993" w:type="dxa"/>
          </w:tcPr>
          <w:p w:rsidR="005B2901" w:rsidRDefault="005B2901"/>
          <w:p w:rsidR="005B2901" w:rsidRDefault="00C271AA">
            <w:r>
              <w:rPr>
                <w:rFonts w:ascii="宋体" w:hAnsi="宋体" w:hint="eastAsia"/>
                <w:bCs/>
                <w:color w:val="000000"/>
                <w:kern w:val="0"/>
              </w:rPr>
              <w:t>机构</w:t>
            </w:r>
          </w:p>
        </w:tc>
        <w:tc>
          <w:tcPr>
            <w:tcW w:w="992" w:type="dxa"/>
            <w:vAlign w:val="center"/>
          </w:tcPr>
          <w:p w:rsidR="005B2901" w:rsidRDefault="00C271AA">
            <w:pPr>
              <w:jc w:val="center"/>
            </w:pPr>
            <w:r>
              <w:rPr>
                <w:rFonts w:ascii="宋体" w:hAnsi="宋体"/>
                <w:color w:val="000000"/>
                <w:kern w:val="0"/>
              </w:rPr>
              <w:t>1</w:t>
            </w:r>
          </w:p>
        </w:tc>
        <w:tc>
          <w:tcPr>
            <w:tcW w:w="1843" w:type="dxa"/>
            <w:vAlign w:val="center"/>
          </w:tcPr>
          <w:p w:rsidR="005B2901" w:rsidRDefault="00C271AA">
            <w:pPr>
              <w:jc w:val="center"/>
            </w:pPr>
            <w:r>
              <w:rPr>
                <w:rFonts w:ascii="宋体" w:hAnsi="宋体"/>
                <w:color w:val="000000"/>
                <w:kern w:val="0"/>
              </w:rPr>
              <w:t>2017/10/1-2017/12/31</w:t>
            </w:r>
          </w:p>
        </w:tc>
        <w:tc>
          <w:tcPr>
            <w:tcW w:w="851" w:type="dxa"/>
            <w:vAlign w:val="center"/>
          </w:tcPr>
          <w:p w:rsidR="005B2901" w:rsidRDefault="00C271AA">
            <w:pPr>
              <w:jc w:val="center"/>
            </w:pPr>
            <w:r>
              <w:rPr>
                <w:rFonts w:ascii="宋体" w:hAnsi="宋体"/>
                <w:color w:val="000000"/>
                <w:kern w:val="0"/>
              </w:rPr>
              <w:t>62,538,461.54</w:t>
            </w:r>
          </w:p>
        </w:tc>
        <w:tc>
          <w:tcPr>
            <w:tcW w:w="850" w:type="dxa"/>
            <w:vAlign w:val="center"/>
          </w:tcPr>
          <w:p w:rsidR="005B2901" w:rsidRDefault="00C271AA">
            <w:pPr>
              <w:jc w:val="center"/>
            </w:pPr>
            <w:r>
              <w:rPr>
                <w:rFonts w:ascii="宋体" w:hAnsi="宋体"/>
                <w:color w:val="000000"/>
                <w:kern w:val="0"/>
              </w:rPr>
              <w:t>-</w:t>
            </w:r>
          </w:p>
        </w:tc>
        <w:tc>
          <w:tcPr>
            <w:tcW w:w="1134" w:type="dxa"/>
            <w:vAlign w:val="center"/>
          </w:tcPr>
          <w:p w:rsidR="005B2901" w:rsidRDefault="00C271AA">
            <w:pPr>
              <w:jc w:val="center"/>
            </w:pPr>
            <w:r>
              <w:rPr>
                <w:rFonts w:ascii="宋体" w:hAnsi="宋体"/>
                <w:color w:val="000000"/>
                <w:kern w:val="0"/>
              </w:rPr>
              <w:t>45,000,000.00</w:t>
            </w:r>
          </w:p>
        </w:tc>
        <w:tc>
          <w:tcPr>
            <w:tcW w:w="1419" w:type="dxa"/>
            <w:vAlign w:val="center"/>
          </w:tcPr>
          <w:p w:rsidR="005B2901" w:rsidRDefault="00C271AA">
            <w:pPr>
              <w:jc w:val="center"/>
            </w:pPr>
            <w:r>
              <w:rPr>
                <w:rFonts w:ascii="宋体" w:hAnsi="宋体"/>
                <w:color w:val="000000"/>
                <w:kern w:val="0"/>
              </w:rPr>
              <w:t>17,538,461.54</w:t>
            </w:r>
          </w:p>
        </w:tc>
        <w:tc>
          <w:tcPr>
            <w:tcW w:w="1130" w:type="dxa"/>
            <w:vAlign w:val="center"/>
          </w:tcPr>
          <w:p w:rsidR="005B2901" w:rsidRDefault="00C271AA">
            <w:pPr>
              <w:jc w:val="center"/>
            </w:pPr>
            <w:r>
              <w:rPr>
                <w:rFonts w:ascii="宋体" w:hAnsi="宋体"/>
                <w:color w:val="000000"/>
                <w:kern w:val="0"/>
              </w:rPr>
              <w:t>22.99%</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5B2901" w:rsidRDefault="00C271AA">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、中国证监会批准交银施罗德成长</w:t>
      </w:r>
      <w:r>
        <w:rPr>
          <w:color w:val="000000"/>
          <w:sz w:val="24"/>
          <w:szCs w:val="24"/>
        </w:rPr>
        <w:t>30</w:t>
      </w:r>
      <w:r>
        <w:rPr>
          <w:color w:val="000000"/>
          <w:sz w:val="24"/>
          <w:szCs w:val="24"/>
        </w:rPr>
        <w:t>股票型证券投资基金募集的文件；</w:t>
      </w:r>
      <w:r>
        <w:rPr>
          <w:color w:val="000000"/>
          <w:sz w:val="24"/>
          <w:szCs w:val="24"/>
        </w:rPr>
        <w:t xml:space="preserve"> </w:t>
      </w:r>
    </w:p>
    <w:p w:rsidR="005B2901" w:rsidRDefault="00C271AA">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、《交银施罗德成长</w:t>
      </w:r>
      <w:r>
        <w:rPr>
          <w:color w:val="000000"/>
          <w:sz w:val="24"/>
          <w:szCs w:val="24"/>
        </w:rPr>
        <w:t>30</w:t>
      </w:r>
      <w:r>
        <w:rPr>
          <w:color w:val="000000"/>
          <w:sz w:val="24"/>
          <w:szCs w:val="24"/>
        </w:rPr>
        <w:t>混合型证券投资基金基金合同》；</w:t>
      </w:r>
      <w:r>
        <w:rPr>
          <w:color w:val="000000"/>
          <w:sz w:val="24"/>
          <w:szCs w:val="24"/>
        </w:rPr>
        <w:t xml:space="preserve"> </w:t>
      </w:r>
    </w:p>
    <w:p w:rsidR="005B2901" w:rsidRDefault="00C271AA">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、《交银施罗德成长</w:t>
      </w:r>
      <w:r>
        <w:rPr>
          <w:color w:val="000000"/>
          <w:sz w:val="24"/>
          <w:szCs w:val="24"/>
        </w:rPr>
        <w:t>30</w:t>
      </w:r>
      <w:r>
        <w:rPr>
          <w:color w:val="000000"/>
          <w:sz w:val="24"/>
          <w:szCs w:val="24"/>
        </w:rPr>
        <w:t>混合型证券投资基金招募说明书》；</w:t>
      </w:r>
      <w:r>
        <w:rPr>
          <w:color w:val="000000"/>
          <w:sz w:val="24"/>
          <w:szCs w:val="24"/>
        </w:rPr>
        <w:t xml:space="preserve"> </w:t>
      </w:r>
    </w:p>
    <w:p w:rsidR="005B2901" w:rsidRDefault="00C271AA">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、《交银施罗德成长</w:t>
      </w:r>
      <w:r>
        <w:rPr>
          <w:color w:val="000000"/>
          <w:sz w:val="24"/>
          <w:szCs w:val="24"/>
        </w:rPr>
        <w:t>30</w:t>
      </w:r>
      <w:r>
        <w:rPr>
          <w:color w:val="000000"/>
          <w:sz w:val="24"/>
          <w:szCs w:val="24"/>
        </w:rPr>
        <w:t>混合型证券投资基金托管协议》；</w:t>
      </w:r>
      <w:r>
        <w:rPr>
          <w:color w:val="000000"/>
          <w:sz w:val="24"/>
          <w:szCs w:val="24"/>
        </w:rPr>
        <w:t xml:space="preserve"> </w:t>
      </w:r>
    </w:p>
    <w:p w:rsidR="005B2901" w:rsidRDefault="00C271AA">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、关于募集交银施罗德成长</w:t>
      </w:r>
      <w:r>
        <w:rPr>
          <w:color w:val="000000"/>
          <w:sz w:val="24"/>
          <w:szCs w:val="24"/>
        </w:rPr>
        <w:t>30</w:t>
      </w:r>
      <w:r>
        <w:rPr>
          <w:color w:val="000000"/>
          <w:sz w:val="24"/>
          <w:szCs w:val="24"/>
        </w:rPr>
        <w:t>股票型证券投资基金之法律意见书；</w:t>
      </w:r>
      <w:r>
        <w:rPr>
          <w:color w:val="000000"/>
          <w:sz w:val="24"/>
          <w:szCs w:val="24"/>
        </w:rPr>
        <w:t xml:space="preserve"> </w:t>
      </w:r>
    </w:p>
    <w:p w:rsidR="005B2901" w:rsidRDefault="00C271AA">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5B2901" w:rsidRDefault="00C271AA">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、报告期内交银施罗德成长</w:t>
      </w:r>
      <w:r w:rsidRPr="00414345">
        <w:rPr>
          <w:color w:val="000000"/>
          <w:sz w:val="24"/>
          <w:szCs w:val="24"/>
        </w:rPr>
        <w:t>30</w:t>
      </w:r>
      <w:r w:rsidRPr="00414345">
        <w:rPr>
          <w:color w:val="000000"/>
          <w:sz w:val="24"/>
          <w:szCs w:val="24"/>
        </w:rPr>
        <w:t>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5B2901" w:rsidRDefault="00C271AA">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2C3C7A"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7BC" w:rsidRDefault="00E037BC" w:rsidP="00876D65">
      <w:r>
        <w:separator/>
      </w:r>
    </w:p>
  </w:endnote>
  <w:endnote w:type="continuationSeparator" w:id="0">
    <w:p w:rsidR="00E037BC" w:rsidRDefault="00E037BC"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3A3943">
      <w:rPr>
        <w:noProof/>
        <w:kern w:val="0"/>
        <w:szCs w:val="21"/>
      </w:rPr>
      <w:t>3</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3A3943">
      <w:rPr>
        <w:noProof/>
        <w:kern w:val="0"/>
        <w:szCs w:val="21"/>
      </w:rPr>
      <w:t>12</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7BC" w:rsidRDefault="00E037BC" w:rsidP="00876D65">
      <w:r>
        <w:separator/>
      </w:r>
    </w:p>
  </w:footnote>
  <w:footnote w:type="continuationSeparator" w:id="0">
    <w:p w:rsidR="00E037BC" w:rsidRDefault="00E037BC"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3943"/>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901"/>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96DDC"/>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47E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271AA"/>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C76"/>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37BC"/>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5F78CE-9D84-49E2-8AAD-8F2F3DCC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7D180-0448-4630-AF58-7A023DF5E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12</Pages>
  <Words>1154</Words>
  <Characters>6582</Characters>
  <Application>Microsoft Office Word</Application>
  <DocSecurity>0</DocSecurity>
  <Lines>54</Lines>
  <Paragraphs>15</Paragraphs>
  <ScaleCrop>false</ScaleCrop>
  <Company/>
  <LinksUpToDate>false</LinksUpToDate>
  <CharactersWithSpaces>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568</cp:revision>
  <dcterms:created xsi:type="dcterms:W3CDTF">2012-10-16T06:07:00Z</dcterms:created>
  <dcterms:modified xsi:type="dcterms:W3CDTF">2018-01-18T03:16:00Z</dcterms:modified>
</cp:coreProperties>
</file>