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交银施罗德双轮动债券型证券投资基</w:t>
      </w:r>
      <w:bookmarkStart w:id="0" w:name="_GoBack"/>
      <w:bookmarkEnd w:id="0"/>
      <w:r w:rsidRPr="005858C2">
        <w:rPr>
          <w:rFonts w:eastAsiaTheme="minorEastAsia"/>
          <w:b/>
          <w:sz w:val="36"/>
          <w:szCs w:val="36"/>
        </w:rPr>
        <w:t>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二〇一八年一月二十二日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6E5787" w:rsidRDefault="00831A8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6E5787" w:rsidRDefault="00831A86">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6E5787" w:rsidRDefault="00831A8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6E5787" w:rsidRDefault="00831A8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6E5787" w:rsidRDefault="00831A8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18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1,544,390,304.32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本基金在严格控制投资风险的基础上，通过积极主动的投资管理，把握债券市场轮动带来的机会，力争实现基金资产长期稳健的增值。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519723</w:t>
            </w:r>
            <w:r w:rsidRPr="007F52FA">
              <w:rPr>
                <w:color w:val="000000" w:themeColor="text1"/>
                <w:sz w:val="24"/>
              </w:rPr>
              <w:t>（前端）、</w:t>
            </w:r>
            <w:r w:rsidRPr="007F52FA">
              <w:rPr>
                <w:color w:val="000000" w:themeColor="text1"/>
                <w:sz w:val="24"/>
              </w:rPr>
              <w:t>519724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1,538,187,543.75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6,202,760.57</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交银双轮动债券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交银双轮动债券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12,934,879.16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49,098.39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6,199,838.53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19,399.03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0.0040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0.0029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1,603,698,464.55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6,477,078.48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1.044</w:t>
            </w:r>
          </w:p>
        </w:tc>
      </w:tr>
    </w:tbl>
    <w:p w:rsidR="006E5787" w:rsidRDefault="00831A8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交银双轮动债券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E5787">
        <w:trPr>
          <w:jc w:val="center"/>
        </w:trPr>
        <w:tc>
          <w:tcPr>
            <w:tcW w:w="1266" w:type="dxa"/>
            <w:vAlign w:val="center"/>
          </w:tcPr>
          <w:p w:rsidR="006E5787" w:rsidRDefault="00831A86">
            <w:pPr>
              <w:jc w:val="left"/>
            </w:pPr>
            <w:r>
              <w:rPr>
                <w:color w:val="000000"/>
                <w:sz w:val="24"/>
              </w:rPr>
              <w:t>过去三个月</w:t>
            </w:r>
          </w:p>
        </w:tc>
        <w:tc>
          <w:tcPr>
            <w:tcW w:w="1267" w:type="dxa"/>
            <w:vAlign w:val="center"/>
          </w:tcPr>
          <w:p w:rsidR="006E5787" w:rsidRDefault="00831A86">
            <w:pPr>
              <w:jc w:val="center"/>
            </w:pPr>
            <w:r>
              <w:rPr>
                <w:color w:val="000000"/>
                <w:sz w:val="24"/>
              </w:rPr>
              <w:t>0.38%</w:t>
            </w:r>
          </w:p>
        </w:tc>
        <w:tc>
          <w:tcPr>
            <w:tcW w:w="1267" w:type="dxa"/>
            <w:vAlign w:val="center"/>
          </w:tcPr>
          <w:p w:rsidR="006E5787" w:rsidRDefault="00831A86">
            <w:pPr>
              <w:jc w:val="center"/>
            </w:pPr>
            <w:r>
              <w:rPr>
                <w:color w:val="000000"/>
                <w:sz w:val="24"/>
              </w:rPr>
              <w:t>0.04%</w:t>
            </w:r>
          </w:p>
        </w:tc>
        <w:tc>
          <w:tcPr>
            <w:tcW w:w="1267" w:type="dxa"/>
            <w:vAlign w:val="center"/>
          </w:tcPr>
          <w:p w:rsidR="006E5787" w:rsidRDefault="00831A86">
            <w:pPr>
              <w:jc w:val="center"/>
            </w:pPr>
            <w:r>
              <w:rPr>
                <w:color w:val="000000"/>
                <w:sz w:val="24"/>
              </w:rPr>
              <w:t>-1.15%</w:t>
            </w:r>
          </w:p>
        </w:tc>
        <w:tc>
          <w:tcPr>
            <w:tcW w:w="1267" w:type="dxa"/>
            <w:vAlign w:val="center"/>
          </w:tcPr>
          <w:p w:rsidR="006E5787" w:rsidRDefault="00831A86">
            <w:pPr>
              <w:jc w:val="center"/>
            </w:pPr>
            <w:r>
              <w:rPr>
                <w:color w:val="000000"/>
                <w:sz w:val="24"/>
              </w:rPr>
              <w:t>0.06%</w:t>
            </w:r>
          </w:p>
        </w:tc>
        <w:tc>
          <w:tcPr>
            <w:tcW w:w="1267" w:type="dxa"/>
            <w:vAlign w:val="center"/>
          </w:tcPr>
          <w:p w:rsidR="006E5787" w:rsidRDefault="00831A86">
            <w:pPr>
              <w:jc w:val="center"/>
            </w:pPr>
            <w:r>
              <w:rPr>
                <w:color w:val="000000"/>
                <w:sz w:val="24"/>
              </w:rPr>
              <w:t>1.53%</w:t>
            </w:r>
          </w:p>
        </w:tc>
        <w:tc>
          <w:tcPr>
            <w:tcW w:w="1267" w:type="dxa"/>
            <w:vAlign w:val="center"/>
          </w:tcPr>
          <w:p w:rsidR="006E5787" w:rsidRDefault="00831A86">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交银双轮动债券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E5787">
        <w:trPr>
          <w:jc w:val="center"/>
        </w:trPr>
        <w:tc>
          <w:tcPr>
            <w:tcW w:w="1266" w:type="dxa"/>
            <w:vAlign w:val="center"/>
          </w:tcPr>
          <w:p w:rsidR="006E5787" w:rsidRDefault="00831A86">
            <w:pPr>
              <w:jc w:val="left"/>
            </w:pPr>
            <w:r>
              <w:rPr>
                <w:color w:val="000000"/>
                <w:sz w:val="24"/>
              </w:rPr>
              <w:t>过去三个月</w:t>
            </w:r>
          </w:p>
        </w:tc>
        <w:tc>
          <w:tcPr>
            <w:tcW w:w="1267" w:type="dxa"/>
            <w:vAlign w:val="center"/>
          </w:tcPr>
          <w:p w:rsidR="006E5787" w:rsidRDefault="00831A86">
            <w:pPr>
              <w:jc w:val="center"/>
            </w:pPr>
            <w:r>
              <w:rPr>
                <w:color w:val="000000"/>
                <w:sz w:val="24"/>
              </w:rPr>
              <w:t>0.29%</w:t>
            </w:r>
          </w:p>
        </w:tc>
        <w:tc>
          <w:tcPr>
            <w:tcW w:w="1267" w:type="dxa"/>
            <w:vAlign w:val="center"/>
          </w:tcPr>
          <w:p w:rsidR="006E5787" w:rsidRDefault="00831A86">
            <w:pPr>
              <w:jc w:val="center"/>
            </w:pPr>
            <w:r>
              <w:rPr>
                <w:color w:val="000000"/>
                <w:sz w:val="24"/>
              </w:rPr>
              <w:t>0.04%</w:t>
            </w:r>
          </w:p>
        </w:tc>
        <w:tc>
          <w:tcPr>
            <w:tcW w:w="1267" w:type="dxa"/>
            <w:vAlign w:val="center"/>
          </w:tcPr>
          <w:p w:rsidR="006E5787" w:rsidRDefault="00831A86">
            <w:pPr>
              <w:jc w:val="center"/>
            </w:pPr>
            <w:r>
              <w:rPr>
                <w:color w:val="000000"/>
                <w:sz w:val="24"/>
              </w:rPr>
              <w:t>-1.15%</w:t>
            </w:r>
          </w:p>
        </w:tc>
        <w:tc>
          <w:tcPr>
            <w:tcW w:w="1267" w:type="dxa"/>
            <w:vAlign w:val="center"/>
          </w:tcPr>
          <w:p w:rsidR="006E5787" w:rsidRDefault="00831A86">
            <w:pPr>
              <w:jc w:val="center"/>
            </w:pPr>
            <w:r>
              <w:rPr>
                <w:color w:val="000000"/>
                <w:sz w:val="24"/>
              </w:rPr>
              <w:t>0.06%</w:t>
            </w:r>
          </w:p>
        </w:tc>
        <w:tc>
          <w:tcPr>
            <w:tcW w:w="1267" w:type="dxa"/>
            <w:vAlign w:val="center"/>
          </w:tcPr>
          <w:p w:rsidR="006E5787" w:rsidRDefault="00831A86">
            <w:pPr>
              <w:jc w:val="center"/>
            </w:pPr>
            <w:r>
              <w:rPr>
                <w:color w:val="000000"/>
                <w:sz w:val="24"/>
              </w:rPr>
              <w:t>1.44%</w:t>
            </w:r>
          </w:p>
        </w:tc>
        <w:tc>
          <w:tcPr>
            <w:tcW w:w="1267" w:type="dxa"/>
            <w:vAlign w:val="center"/>
          </w:tcPr>
          <w:p w:rsidR="006E5787" w:rsidRDefault="00831A86">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交银施罗德双轮动债券型证券投资基金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18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交银双轮动债券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6E5787">
        <w:trPr>
          <w:jc w:val="center"/>
        </w:trPr>
        <w:tc>
          <w:tcPr>
            <w:tcW w:w="946" w:type="dxa"/>
            <w:vAlign w:val="center"/>
          </w:tcPr>
          <w:p w:rsidR="006E5787" w:rsidRDefault="00831A86">
            <w:pPr>
              <w:jc w:val="center"/>
            </w:pPr>
            <w:r>
              <w:rPr>
                <w:color w:val="000000"/>
                <w:sz w:val="24"/>
              </w:rPr>
              <w:t>唐赟</w:t>
            </w:r>
          </w:p>
        </w:tc>
        <w:tc>
          <w:tcPr>
            <w:tcW w:w="924" w:type="dxa"/>
            <w:vAlign w:val="center"/>
          </w:tcPr>
          <w:p w:rsidR="006E5787" w:rsidRDefault="00831A86">
            <w:pPr>
              <w:jc w:val="center"/>
            </w:pPr>
            <w:r>
              <w:rPr>
                <w:color w:val="000000"/>
                <w:sz w:val="24"/>
              </w:rPr>
              <w:t>交银信用添利债券</w:t>
            </w:r>
            <w:r>
              <w:rPr>
                <w:color w:val="000000"/>
                <w:sz w:val="24"/>
              </w:rPr>
              <w:t>(LOF)</w:t>
            </w:r>
            <w:r>
              <w:rPr>
                <w:color w:val="000000"/>
                <w:sz w:val="24"/>
              </w:rPr>
              <w:t>、交银双利债券、交银双轮动债券、交银荣和保本混合、交银裕通纯债债券的基金经理</w:t>
            </w:r>
          </w:p>
        </w:tc>
        <w:tc>
          <w:tcPr>
            <w:tcW w:w="1202" w:type="dxa"/>
            <w:vAlign w:val="center"/>
          </w:tcPr>
          <w:p w:rsidR="006E5787" w:rsidRDefault="00831A86">
            <w:pPr>
              <w:jc w:val="center"/>
            </w:pPr>
            <w:r>
              <w:rPr>
                <w:color w:val="000000"/>
                <w:sz w:val="24"/>
              </w:rPr>
              <w:t>2015-08-04</w:t>
            </w:r>
          </w:p>
        </w:tc>
        <w:tc>
          <w:tcPr>
            <w:tcW w:w="1300" w:type="dxa"/>
            <w:vAlign w:val="center"/>
          </w:tcPr>
          <w:p w:rsidR="006E5787" w:rsidRDefault="00831A86">
            <w:pPr>
              <w:jc w:val="center"/>
            </w:pPr>
            <w:r>
              <w:rPr>
                <w:color w:val="000000"/>
                <w:sz w:val="24"/>
              </w:rPr>
              <w:t>-</w:t>
            </w:r>
          </w:p>
        </w:tc>
        <w:tc>
          <w:tcPr>
            <w:tcW w:w="1245" w:type="dxa"/>
            <w:vAlign w:val="center"/>
          </w:tcPr>
          <w:p w:rsidR="006E5787" w:rsidRDefault="00831A86">
            <w:pPr>
              <w:jc w:val="center"/>
            </w:pPr>
            <w:r>
              <w:rPr>
                <w:color w:val="000000"/>
                <w:sz w:val="24"/>
              </w:rPr>
              <w:t>5</w:t>
            </w:r>
            <w:r>
              <w:rPr>
                <w:color w:val="000000"/>
                <w:sz w:val="24"/>
              </w:rPr>
              <w:t>年</w:t>
            </w:r>
          </w:p>
        </w:tc>
        <w:tc>
          <w:tcPr>
            <w:tcW w:w="3251" w:type="dxa"/>
            <w:vAlign w:val="center"/>
          </w:tcPr>
          <w:p w:rsidR="006E5787" w:rsidRDefault="00831A86">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lastRenderedPageBreak/>
          <w:t>4.3.1</w:t>
        </w:r>
      </w:smartTag>
      <w:r w:rsidRPr="007F52FA">
        <w:rPr>
          <w:sz w:val="24"/>
        </w:rPr>
        <w:t>公平交易制度的执行情况</w:t>
      </w:r>
    </w:p>
    <w:p w:rsidR="006E5787" w:rsidRDefault="00831A8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E5787" w:rsidRDefault="00831A8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E5787" w:rsidRDefault="00831A8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6E5787" w:rsidRDefault="00831A86">
      <w:pPr>
        <w:spacing w:before="29" w:line="288" w:lineRule="auto"/>
        <w:ind w:firstLineChars="200" w:firstLine="480"/>
        <w:rPr>
          <w:color w:val="000000"/>
          <w:sz w:val="24"/>
        </w:rPr>
      </w:pPr>
      <w:r>
        <w:rPr>
          <w:color w:val="000000"/>
          <w:sz w:val="24"/>
        </w:rPr>
        <w:t>四季度以来债券市场经历了大幅度的调整，债券收益率大幅上行后维持高位震荡。十一长假过后市场对于节前央行公告的定向降准的</w:t>
      </w:r>
      <w:r>
        <w:rPr>
          <w:color w:val="000000"/>
          <w:sz w:val="24"/>
        </w:rPr>
        <w:t>“</w:t>
      </w:r>
      <w:r>
        <w:rPr>
          <w:color w:val="000000"/>
          <w:sz w:val="24"/>
        </w:rPr>
        <w:t>利好</w:t>
      </w:r>
      <w:r>
        <w:rPr>
          <w:color w:val="000000"/>
          <w:sz w:val="24"/>
        </w:rPr>
        <w:t>”</w:t>
      </w:r>
      <w:r>
        <w:rPr>
          <w:color w:val="000000"/>
          <w:sz w:val="24"/>
        </w:rPr>
        <w:t>并无反应，收益率反而小幅上行，市场对于经济增长韧性形成强烈预期，加之资金面紧张、金融数据超预期，美联储人选不确定导致美债收益率走高，国内债券收益率同时持续走高。十月下旬开始，市场趋向谨慎，资管新规征求意见稿发布后，债券收益率冲高到近三年高点。十一月底以来随着十年期国开债停发和基本面数据走弱，债券收益率维持高位震荡。</w:t>
      </w:r>
    </w:p>
    <w:p w:rsidR="006E5787" w:rsidRDefault="00831A86">
      <w:pPr>
        <w:spacing w:before="29" w:line="288" w:lineRule="auto"/>
        <w:ind w:firstLineChars="200" w:firstLine="480"/>
        <w:rPr>
          <w:color w:val="000000"/>
          <w:sz w:val="24"/>
        </w:rPr>
      </w:pPr>
      <w:r>
        <w:rPr>
          <w:color w:val="000000"/>
          <w:sz w:val="24"/>
        </w:rPr>
        <w:t>报告期内，基于对债券市场偏悲观的判断，本基金始终维持短融、存单为主的短久期债券底仓组合，在市场收益率大幅上行的过程中获取了稳定的票息收入。</w:t>
      </w:r>
    </w:p>
    <w:p w:rsidR="006E5787" w:rsidRDefault="00831A86">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房地产、基建和出口均显出一定的疲态，预计将带动经济增速逐步下行，对债市形成一定支撑，而收益率上行到高位之后具有一定的配置价值。但一季度通胀回升压力加大，监管政策落地的力度和节奏以及金融机构的应对行为不甚明朗，超储率低位及银行流动性监管指标强化将导致资金利率波动加大等负面因素仍然存在，债券收益率或将继续维持高位震荡。</w:t>
      </w:r>
    </w:p>
    <w:p w:rsidR="00952A72" w:rsidRPr="007F52FA" w:rsidRDefault="00323F25" w:rsidP="007C14DF">
      <w:pPr>
        <w:spacing w:before="29" w:line="288" w:lineRule="auto"/>
        <w:ind w:firstLineChars="200" w:firstLine="480"/>
        <w:rPr>
          <w:color w:val="000000"/>
          <w:sz w:val="24"/>
        </w:rPr>
      </w:pPr>
      <w:r w:rsidRPr="007F52FA">
        <w:rPr>
          <w:color w:val="000000"/>
          <w:sz w:val="24"/>
        </w:rPr>
        <w:lastRenderedPageBreak/>
        <w:t>信用债方面，</w:t>
      </w:r>
      <w:r w:rsidRPr="007F52FA">
        <w:rPr>
          <w:color w:val="000000"/>
          <w:sz w:val="24"/>
        </w:rPr>
        <w:t>2017</w:t>
      </w:r>
      <w:r w:rsidRPr="007F52FA">
        <w:rPr>
          <w:color w:val="000000"/>
          <w:sz w:val="24"/>
        </w:rPr>
        <w:t>年以来信用利差有所走阔，信用债投资模式的改变是否会导致信用利差中枢抬高值得关注。此外，低等级信用债利差未能充分反映未来的信用风险，我们将一如既往地规避中低评级信用债，在利率曲线平坦的情况下，或将维持目前的债券偏短的久期配置，并择机谨慎进行利率债的波段操作。</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日，交银双轮动债券</w:t>
      </w:r>
      <w:r w:rsidRPr="007F52FA">
        <w:rPr>
          <w:color w:val="000000"/>
          <w:sz w:val="24"/>
        </w:rPr>
        <w:t>A/B</w:t>
      </w:r>
      <w:r w:rsidRPr="007F52FA">
        <w:rPr>
          <w:color w:val="000000"/>
          <w:sz w:val="24"/>
        </w:rPr>
        <w:t>份额净值为</w:t>
      </w:r>
      <w:r w:rsidRPr="007F52FA">
        <w:rPr>
          <w:color w:val="000000"/>
          <w:sz w:val="24"/>
        </w:rPr>
        <w:t>1.043</w:t>
      </w:r>
      <w:r w:rsidRPr="007F52FA">
        <w:rPr>
          <w:color w:val="000000"/>
          <w:sz w:val="24"/>
        </w:rPr>
        <w:t>元，本报告期份额净值增长率为</w:t>
      </w:r>
      <w:r w:rsidRPr="007F52FA">
        <w:rPr>
          <w:color w:val="000000"/>
          <w:sz w:val="24"/>
        </w:rPr>
        <w:t>0.38%</w:t>
      </w:r>
      <w:r w:rsidRPr="007F52FA">
        <w:rPr>
          <w:color w:val="000000"/>
          <w:sz w:val="24"/>
        </w:rPr>
        <w:t>，同期业绩比较基准增长率为</w:t>
      </w:r>
      <w:r w:rsidRPr="007F52FA">
        <w:rPr>
          <w:color w:val="000000"/>
          <w:sz w:val="24"/>
        </w:rPr>
        <w:t>-1.15%</w:t>
      </w:r>
      <w:r w:rsidRPr="007F52FA">
        <w:rPr>
          <w:color w:val="000000"/>
          <w:sz w:val="24"/>
        </w:rPr>
        <w:t>；交银双轮动债券</w:t>
      </w:r>
      <w:r w:rsidRPr="007F52FA">
        <w:rPr>
          <w:color w:val="000000"/>
          <w:sz w:val="24"/>
        </w:rPr>
        <w:t>C</w:t>
      </w:r>
      <w:r w:rsidRPr="007F52FA">
        <w:rPr>
          <w:color w:val="000000"/>
          <w:sz w:val="24"/>
        </w:rPr>
        <w:t>份额净值为</w:t>
      </w:r>
      <w:r w:rsidRPr="007F52FA">
        <w:rPr>
          <w:color w:val="000000"/>
          <w:sz w:val="24"/>
        </w:rPr>
        <w:t>1.044</w:t>
      </w:r>
      <w:r w:rsidRPr="007F52FA">
        <w:rPr>
          <w:color w:val="000000"/>
          <w:sz w:val="24"/>
        </w:rPr>
        <w:t>元，本报告期份额净值增长率为</w:t>
      </w:r>
      <w:r w:rsidRPr="007F52FA">
        <w:rPr>
          <w:color w:val="000000"/>
          <w:sz w:val="24"/>
        </w:rPr>
        <w:t>0.29%</w:t>
      </w:r>
      <w:r w:rsidRPr="007F52FA">
        <w:rPr>
          <w:color w:val="000000"/>
          <w:sz w:val="24"/>
        </w:rPr>
        <w:t>，同期业绩比较基准增长率为</w:t>
      </w:r>
      <w:r w:rsidRPr="007F52FA">
        <w:rPr>
          <w:color w:val="000000"/>
          <w:sz w:val="24"/>
        </w:rPr>
        <w:t>-1.15%</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1,936,847,015.00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96.76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1,924,147,015.00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96.13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12,700,000.00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0.63</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2,235,703.95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0.11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62,617,810.15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3.13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2,001,700,529.10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lastRenderedPageBreak/>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7,179,615.00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0.45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79,633,000.00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79,633,000.00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527,880,400.00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32.78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750,984,000.00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46.64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293,450,000.00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18.22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265,020,000.00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16.46</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1,924,147,015.00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119.50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6E5787">
        <w:trPr>
          <w:jc w:val="center"/>
        </w:trPr>
        <w:tc>
          <w:tcPr>
            <w:tcW w:w="1075" w:type="dxa"/>
            <w:vAlign w:val="center"/>
          </w:tcPr>
          <w:p w:rsidR="006E5787" w:rsidRDefault="00831A86">
            <w:pPr>
              <w:jc w:val="center"/>
            </w:pPr>
            <w:r>
              <w:rPr>
                <w:color w:val="000000"/>
                <w:sz w:val="24"/>
              </w:rPr>
              <w:t>1</w:t>
            </w:r>
          </w:p>
        </w:tc>
        <w:tc>
          <w:tcPr>
            <w:tcW w:w="1533" w:type="dxa"/>
            <w:vAlign w:val="center"/>
          </w:tcPr>
          <w:p w:rsidR="006E5787" w:rsidRDefault="00831A86">
            <w:pPr>
              <w:jc w:val="center"/>
            </w:pPr>
            <w:r>
              <w:rPr>
                <w:color w:val="000000"/>
                <w:sz w:val="24"/>
              </w:rPr>
              <w:t>091506001</w:t>
            </w:r>
          </w:p>
        </w:tc>
        <w:tc>
          <w:tcPr>
            <w:tcW w:w="1533" w:type="dxa"/>
            <w:vAlign w:val="center"/>
          </w:tcPr>
          <w:p w:rsidR="006E5787" w:rsidRDefault="00831A86">
            <w:pPr>
              <w:jc w:val="center"/>
            </w:pPr>
            <w:r>
              <w:rPr>
                <w:color w:val="000000"/>
                <w:sz w:val="24"/>
              </w:rPr>
              <w:t>15</w:t>
            </w:r>
            <w:r>
              <w:rPr>
                <w:color w:val="000000"/>
                <w:sz w:val="24"/>
              </w:rPr>
              <w:t>汇丰香港债</w:t>
            </w:r>
            <w:r>
              <w:rPr>
                <w:color w:val="000000"/>
                <w:sz w:val="24"/>
              </w:rPr>
              <w:t>01</w:t>
            </w:r>
          </w:p>
        </w:tc>
        <w:tc>
          <w:tcPr>
            <w:tcW w:w="1394" w:type="dxa"/>
            <w:vAlign w:val="center"/>
          </w:tcPr>
          <w:p w:rsidR="006E5787" w:rsidRDefault="00831A86">
            <w:pPr>
              <w:jc w:val="right"/>
            </w:pPr>
            <w:r>
              <w:rPr>
                <w:color w:val="000000"/>
                <w:sz w:val="24"/>
              </w:rPr>
              <w:t>1,000,000</w:t>
            </w:r>
          </w:p>
        </w:tc>
        <w:tc>
          <w:tcPr>
            <w:tcW w:w="1944" w:type="dxa"/>
            <w:vAlign w:val="center"/>
          </w:tcPr>
          <w:p w:rsidR="006E5787" w:rsidRDefault="00831A86">
            <w:pPr>
              <w:jc w:val="right"/>
            </w:pPr>
            <w:r>
              <w:rPr>
                <w:color w:val="000000"/>
                <w:sz w:val="24"/>
              </w:rPr>
              <w:t>98,920,000.00</w:t>
            </w:r>
          </w:p>
        </w:tc>
        <w:tc>
          <w:tcPr>
            <w:tcW w:w="1389" w:type="dxa"/>
            <w:vAlign w:val="center"/>
          </w:tcPr>
          <w:p w:rsidR="006E5787" w:rsidRDefault="00831A86">
            <w:pPr>
              <w:jc w:val="right"/>
            </w:pPr>
            <w:r>
              <w:rPr>
                <w:color w:val="000000"/>
                <w:sz w:val="24"/>
              </w:rPr>
              <w:t>6.14</w:t>
            </w:r>
          </w:p>
        </w:tc>
      </w:tr>
      <w:tr w:rsidR="006E5787">
        <w:trPr>
          <w:jc w:val="center"/>
        </w:trPr>
        <w:tc>
          <w:tcPr>
            <w:tcW w:w="1075" w:type="dxa"/>
            <w:vAlign w:val="center"/>
          </w:tcPr>
          <w:p w:rsidR="006E5787" w:rsidRDefault="00831A86">
            <w:pPr>
              <w:jc w:val="center"/>
            </w:pPr>
            <w:r>
              <w:rPr>
                <w:color w:val="000000"/>
                <w:sz w:val="24"/>
              </w:rPr>
              <w:t>2</w:t>
            </w:r>
          </w:p>
        </w:tc>
        <w:tc>
          <w:tcPr>
            <w:tcW w:w="1533" w:type="dxa"/>
            <w:vAlign w:val="center"/>
          </w:tcPr>
          <w:p w:rsidR="006E5787" w:rsidRDefault="00831A86">
            <w:pPr>
              <w:jc w:val="center"/>
            </w:pPr>
            <w:r>
              <w:rPr>
                <w:color w:val="000000"/>
                <w:sz w:val="24"/>
              </w:rPr>
              <w:t>1280212</w:t>
            </w:r>
          </w:p>
        </w:tc>
        <w:tc>
          <w:tcPr>
            <w:tcW w:w="1533" w:type="dxa"/>
            <w:vAlign w:val="center"/>
          </w:tcPr>
          <w:p w:rsidR="006E5787" w:rsidRDefault="00831A86">
            <w:pPr>
              <w:jc w:val="center"/>
            </w:pPr>
            <w:r>
              <w:rPr>
                <w:color w:val="000000"/>
                <w:sz w:val="24"/>
              </w:rPr>
              <w:t>12</w:t>
            </w:r>
            <w:r>
              <w:rPr>
                <w:color w:val="000000"/>
                <w:sz w:val="24"/>
              </w:rPr>
              <w:t>北汽债</w:t>
            </w:r>
          </w:p>
        </w:tc>
        <w:tc>
          <w:tcPr>
            <w:tcW w:w="1394" w:type="dxa"/>
            <w:vAlign w:val="center"/>
          </w:tcPr>
          <w:p w:rsidR="006E5787" w:rsidRDefault="00831A86">
            <w:pPr>
              <w:jc w:val="right"/>
            </w:pPr>
            <w:r>
              <w:rPr>
                <w:color w:val="000000"/>
                <w:sz w:val="24"/>
              </w:rPr>
              <w:t>900,000</w:t>
            </w:r>
          </w:p>
        </w:tc>
        <w:tc>
          <w:tcPr>
            <w:tcW w:w="1944" w:type="dxa"/>
            <w:vAlign w:val="center"/>
          </w:tcPr>
          <w:p w:rsidR="006E5787" w:rsidRDefault="00831A86">
            <w:pPr>
              <w:jc w:val="right"/>
            </w:pPr>
            <w:r>
              <w:rPr>
                <w:color w:val="000000"/>
                <w:sz w:val="24"/>
              </w:rPr>
              <w:t>89,406,000.00</w:t>
            </w:r>
          </w:p>
        </w:tc>
        <w:tc>
          <w:tcPr>
            <w:tcW w:w="1389" w:type="dxa"/>
            <w:vAlign w:val="center"/>
          </w:tcPr>
          <w:p w:rsidR="006E5787" w:rsidRDefault="00831A86">
            <w:pPr>
              <w:jc w:val="right"/>
            </w:pPr>
            <w:r>
              <w:rPr>
                <w:color w:val="000000"/>
                <w:sz w:val="24"/>
              </w:rPr>
              <w:t>5.55</w:t>
            </w:r>
          </w:p>
        </w:tc>
      </w:tr>
      <w:tr w:rsidR="006E5787">
        <w:trPr>
          <w:jc w:val="center"/>
        </w:trPr>
        <w:tc>
          <w:tcPr>
            <w:tcW w:w="1075" w:type="dxa"/>
            <w:vAlign w:val="center"/>
          </w:tcPr>
          <w:p w:rsidR="006E5787" w:rsidRDefault="00831A86">
            <w:pPr>
              <w:jc w:val="center"/>
            </w:pPr>
            <w:r>
              <w:rPr>
                <w:color w:val="000000"/>
                <w:sz w:val="24"/>
              </w:rPr>
              <w:t>3</w:t>
            </w:r>
          </w:p>
        </w:tc>
        <w:tc>
          <w:tcPr>
            <w:tcW w:w="1533" w:type="dxa"/>
            <w:vAlign w:val="center"/>
          </w:tcPr>
          <w:p w:rsidR="006E5787" w:rsidRDefault="00831A86">
            <w:pPr>
              <w:jc w:val="center"/>
            </w:pPr>
            <w:r>
              <w:rPr>
                <w:color w:val="000000"/>
                <w:sz w:val="24"/>
              </w:rPr>
              <w:t>101460011</w:t>
            </w:r>
          </w:p>
        </w:tc>
        <w:tc>
          <w:tcPr>
            <w:tcW w:w="1533" w:type="dxa"/>
            <w:vAlign w:val="center"/>
          </w:tcPr>
          <w:p w:rsidR="006E5787" w:rsidRDefault="00831A86">
            <w:pPr>
              <w:jc w:val="center"/>
            </w:pPr>
            <w:r>
              <w:rPr>
                <w:color w:val="000000"/>
                <w:sz w:val="24"/>
              </w:rPr>
              <w:t>14</w:t>
            </w:r>
            <w:r>
              <w:rPr>
                <w:color w:val="000000"/>
                <w:sz w:val="24"/>
              </w:rPr>
              <w:t>合国资</w:t>
            </w:r>
            <w:r>
              <w:rPr>
                <w:color w:val="000000"/>
                <w:sz w:val="24"/>
              </w:rPr>
              <w:t>MTN001</w:t>
            </w:r>
          </w:p>
        </w:tc>
        <w:tc>
          <w:tcPr>
            <w:tcW w:w="1394" w:type="dxa"/>
            <w:vAlign w:val="center"/>
          </w:tcPr>
          <w:p w:rsidR="006E5787" w:rsidRDefault="00831A86">
            <w:pPr>
              <w:jc w:val="right"/>
            </w:pPr>
            <w:r>
              <w:rPr>
                <w:color w:val="000000"/>
                <w:sz w:val="24"/>
              </w:rPr>
              <w:t>800,000</w:t>
            </w:r>
          </w:p>
        </w:tc>
        <w:tc>
          <w:tcPr>
            <w:tcW w:w="1944" w:type="dxa"/>
            <w:vAlign w:val="center"/>
          </w:tcPr>
          <w:p w:rsidR="006E5787" w:rsidRDefault="00831A86">
            <w:pPr>
              <w:jc w:val="right"/>
            </w:pPr>
            <w:r>
              <w:rPr>
                <w:color w:val="000000"/>
                <w:sz w:val="24"/>
              </w:rPr>
              <w:t>81,520,000.00</w:t>
            </w:r>
          </w:p>
        </w:tc>
        <w:tc>
          <w:tcPr>
            <w:tcW w:w="1389" w:type="dxa"/>
            <w:vAlign w:val="center"/>
          </w:tcPr>
          <w:p w:rsidR="006E5787" w:rsidRDefault="00831A86">
            <w:pPr>
              <w:jc w:val="right"/>
            </w:pPr>
            <w:r>
              <w:rPr>
                <w:color w:val="000000"/>
                <w:sz w:val="24"/>
              </w:rPr>
              <w:t>5.06</w:t>
            </w:r>
          </w:p>
        </w:tc>
      </w:tr>
      <w:tr w:rsidR="006E5787">
        <w:trPr>
          <w:jc w:val="center"/>
        </w:trPr>
        <w:tc>
          <w:tcPr>
            <w:tcW w:w="1075" w:type="dxa"/>
            <w:vAlign w:val="center"/>
          </w:tcPr>
          <w:p w:rsidR="006E5787" w:rsidRDefault="00831A86">
            <w:pPr>
              <w:jc w:val="center"/>
            </w:pPr>
            <w:r>
              <w:rPr>
                <w:color w:val="000000"/>
                <w:sz w:val="24"/>
              </w:rPr>
              <w:t>4</w:t>
            </w:r>
          </w:p>
        </w:tc>
        <w:tc>
          <w:tcPr>
            <w:tcW w:w="1533" w:type="dxa"/>
            <w:vAlign w:val="center"/>
          </w:tcPr>
          <w:p w:rsidR="006E5787" w:rsidRDefault="00831A86">
            <w:pPr>
              <w:jc w:val="center"/>
            </w:pPr>
            <w:r>
              <w:rPr>
                <w:color w:val="000000"/>
                <w:sz w:val="24"/>
              </w:rPr>
              <w:t>041756017</w:t>
            </w:r>
          </w:p>
        </w:tc>
        <w:tc>
          <w:tcPr>
            <w:tcW w:w="1533" w:type="dxa"/>
            <w:vAlign w:val="center"/>
          </w:tcPr>
          <w:p w:rsidR="006E5787" w:rsidRDefault="00831A86">
            <w:pPr>
              <w:jc w:val="center"/>
            </w:pPr>
            <w:r>
              <w:rPr>
                <w:color w:val="000000"/>
                <w:sz w:val="24"/>
              </w:rPr>
              <w:t>17</w:t>
            </w:r>
            <w:r>
              <w:rPr>
                <w:color w:val="000000"/>
                <w:sz w:val="24"/>
              </w:rPr>
              <w:t>城发投资</w:t>
            </w:r>
            <w:r>
              <w:rPr>
                <w:color w:val="000000"/>
                <w:sz w:val="24"/>
              </w:rPr>
              <w:t>CP001</w:t>
            </w:r>
          </w:p>
        </w:tc>
        <w:tc>
          <w:tcPr>
            <w:tcW w:w="1394" w:type="dxa"/>
            <w:vAlign w:val="center"/>
          </w:tcPr>
          <w:p w:rsidR="006E5787" w:rsidRDefault="00831A86">
            <w:pPr>
              <w:jc w:val="right"/>
            </w:pPr>
            <w:r>
              <w:rPr>
                <w:color w:val="000000"/>
                <w:sz w:val="24"/>
              </w:rPr>
              <w:t>800,000</w:t>
            </w:r>
          </w:p>
        </w:tc>
        <w:tc>
          <w:tcPr>
            <w:tcW w:w="1944" w:type="dxa"/>
            <w:vAlign w:val="center"/>
          </w:tcPr>
          <w:p w:rsidR="006E5787" w:rsidRDefault="00831A86">
            <w:pPr>
              <w:jc w:val="right"/>
            </w:pPr>
            <w:r>
              <w:rPr>
                <w:color w:val="000000"/>
                <w:sz w:val="24"/>
              </w:rPr>
              <w:t>79,712,000.00</w:t>
            </w:r>
          </w:p>
        </w:tc>
        <w:tc>
          <w:tcPr>
            <w:tcW w:w="1389" w:type="dxa"/>
            <w:vAlign w:val="center"/>
          </w:tcPr>
          <w:p w:rsidR="006E5787" w:rsidRDefault="00831A86">
            <w:pPr>
              <w:jc w:val="right"/>
            </w:pPr>
            <w:r>
              <w:rPr>
                <w:color w:val="000000"/>
                <w:sz w:val="24"/>
              </w:rPr>
              <w:t>4.95</w:t>
            </w:r>
          </w:p>
        </w:tc>
      </w:tr>
      <w:tr w:rsidR="006E5787">
        <w:trPr>
          <w:jc w:val="center"/>
        </w:trPr>
        <w:tc>
          <w:tcPr>
            <w:tcW w:w="1075" w:type="dxa"/>
            <w:vAlign w:val="center"/>
          </w:tcPr>
          <w:p w:rsidR="006E5787" w:rsidRDefault="00831A86">
            <w:pPr>
              <w:jc w:val="center"/>
            </w:pPr>
            <w:r>
              <w:rPr>
                <w:color w:val="000000"/>
                <w:sz w:val="24"/>
              </w:rPr>
              <w:t>5</w:t>
            </w:r>
          </w:p>
        </w:tc>
        <w:tc>
          <w:tcPr>
            <w:tcW w:w="1533" w:type="dxa"/>
            <w:vAlign w:val="center"/>
          </w:tcPr>
          <w:p w:rsidR="006E5787" w:rsidRDefault="00831A86">
            <w:pPr>
              <w:jc w:val="center"/>
            </w:pPr>
            <w:r>
              <w:rPr>
                <w:color w:val="000000"/>
                <w:sz w:val="24"/>
              </w:rPr>
              <w:t>111789053</w:t>
            </w:r>
          </w:p>
        </w:tc>
        <w:tc>
          <w:tcPr>
            <w:tcW w:w="1533" w:type="dxa"/>
            <w:vAlign w:val="center"/>
          </w:tcPr>
          <w:p w:rsidR="006E5787" w:rsidRDefault="00831A86">
            <w:pPr>
              <w:jc w:val="center"/>
            </w:pPr>
            <w:r>
              <w:rPr>
                <w:color w:val="000000"/>
                <w:sz w:val="24"/>
              </w:rPr>
              <w:t>17</w:t>
            </w:r>
            <w:r>
              <w:rPr>
                <w:color w:val="000000"/>
                <w:sz w:val="24"/>
              </w:rPr>
              <w:t>东莞银行</w:t>
            </w:r>
            <w:r>
              <w:rPr>
                <w:color w:val="000000"/>
                <w:sz w:val="24"/>
              </w:rPr>
              <w:lastRenderedPageBreak/>
              <w:t>CD111</w:t>
            </w:r>
          </w:p>
        </w:tc>
        <w:tc>
          <w:tcPr>
            <w:tcW w:w="1394" w:type="dxa"/>
            <w:vAlign w:val="center"/>
          </w:tcPr>
          <w:p w:rsidR="006E5787" w:rsidRDefault="00831A86">
            <w:pPr>
              <w:jc w:val="right"/>
            </w:pPr>
            <w:r>
              <w:rPr>
                <w:color w:val="000000"/>
                <w:sz w:val="24"/>
              </w:rPr>
              <w:lastRenderedPageBreak/>
              <w:t>800,000</w:t>
            </w:r>
          </w:p>
        </w:tc>
        <w:tc>
          <w:tcPr>
            <w:tcW w:w="1944" w:type="dxa"/>
            <w:vAlign w:val="center"/>
          </w:tcPr>
          <w:p w:rsidR="006E5787" w:rsidRDefault="00831A86">
            <w:pPr>
              <w:jc w:val="right"/>
            </w:pPr>
            <w:r>
              <w:rPr>
                <w:color w:val="000000"/>
                <w:sz w:val="24"/>
              </w:rPr>
              <w:t>77,936,000.00</w:t>
            </w:r>
          </w:p>
        </w:tc>
        <w:tc>
          <w:tcPr>
            <w:tcW w:w="1389" w:type="dxa"/>
            <w:vAlign w:val="center"/>
          </w:tcPr>
          <w:p w:rsidR="006E5787" w:rsidRDefault="00831A86">
            <w:pPr>
              <w:jc w:val="right"/>
            </w:pPr>
            <w:r>
              <w:rPr>
                <w:color w:val="000000"/>
                <w:sz w:val="24"/>
              </w:rPr>
              <w:t>4.84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59"/>
        <w:gridCol w:w="1484"/>
        <w:gridCol w:w="1465"/>
        <w:gridCol w:w="1480"/>
        <w:gridCol w:w="1502"/>
        <w:gridCol w:w="1478"/>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6E5787">
        <w:trPr>
          <w:jc w:val="center"/>
        </w:trPr>
        <w:tc>
          <w:tcPr>
            <w:tcW w:w="0" w:type="auto"/>
            <w:vAlign w:val="center"/>
          </w:tcPr>
          <w:p w:rsidR="006E5787" w:rsidRDefault="00831A86">
            <w:pPr>
              <w:jc w:val="center"/>
            </w:pPr>
            <w:r>
              <w:rPr>
                <w:color w:val="000000"/>
                <w:sz w:val="24"/>
              </w:rPr>
              <w:t>1</w:t>
            </w:r>
          </w:p>
        </w:tc>
        <w:tc>
          <w:tcPr>
            <w:tcW w:w="0" w:type="auto"/>
            <w:vAlign w:val="center"/>
          </w:tcPr>
          <w:p w:rsidR="006E5787" w:rsidRDefault="00831A86">
            <w:pPr>
              <w:jc w:val="center"/>
            </w:pPr>
            <w:r>
              <w:rPr>
                <w:color w:val="000000"/>
                <w:sz w:val="24"/>
              </w:rPr>
              <w:t>123928</w:t>
            </w:r>
          </w:p>
        </w:tc>
        <w:tc>
          <w:tcPr>
            <w:tcW w:w="0" w:type="auto"/>
            <w:vAlign w:val="center"/>
          </w:tcPr>
          <w:p w:rsidR="006E5787" w:rsidRDefault="00831A86">
            <w:pPr>
              <w:jc w:val="center"/>
            </w:pPr>
            <w:r>
              <w:rPr>
                <w:color w:val="000000"/>
                <w:sz w:val="24"/>
              </w:rPr>
              <w:t>高新热</w:t>
            </w:r>
            <w:r>
              <w:rPr>
                <w:color w:val="000000"/>
                <w:sz w:val="24"/>
              </w:rPr>
              <w:t>03</w:t>
            </w:r>
          </w:p>
        </w:tc>
        <w:tc>
          <w:tcPr>
            <w:tcW w:w="0" w:type="auto"/>
            <w:vAlign w:val="center"/>
          </w:tcPr>
          <w:p w:rsidR="006E5787" w:rsidRDefault="00831A86">
            <w:pPr>
              <w:jc w:val="right"/>
            </w:pPr>
            <w:r>
              <w:rPr>
                <w:color w:val="000000"/>
                <w:sz w:val="24"/>
              </w:rPr>
              <w:t>70,000</w:t>
            </w:r>
          </w:p>
        </w:tc>
        <w:tc>
          <w:tcPr>
            <w:tcW w:w="0" w:type="auto"/>
            <w:vAlign w:val="center"/>
          </w:tcPr>
          <w:p w:rsidR="006E5787" w:rsidRDefault="00831A86">
            <w:pPr>
              <w:jc w:val="right"/>
            </w:pPr>
            <w:r>
              <w:rPr>
                <w:color w:val="000000"/>
                <w:sz w:val="24"/>
              </w:rPr>
              <w:t>7,000,000.00</w:t>
            </w:r>
          </w:p>
        </w:tc>
        <w:tc>
          <w:tcPr>
            <w:tcW w:w="0" w:type="auto"/>
            <w:vAlign w:val="center"/>
          </w:tcPr>
          <w:p w:rsidR="006E5787" w:rsidRDefault="00831A86">
            <w:pPr>
              <w:jc w:val="right"/>
            </w:pPr>
            <w:r>
              <w:rPr>
                <w:color w:val="000000"/>
                <w:sz w:val="24"/>
              </w:rPr>
              <w:t>0.43</w:t>
            </w:r>
          </w:p>
        </w:tc>
      </w:tr>
      <w:tr w:rsidR="006E5787">
        <w:trPr>
          <w:jc w:val="center"/>
        </w:trPr>
        <w:tc>
          <w:tcPr>
            <w:tcW w:w="0" w:type="auto"/>
            <w:vAlign w:val="center"/>
          </w:tcPr>
          <w:p w:rsidR="006E5787" w:rsidRDefault="00831A86">
            <w:pPr>
              <w:jc w:val="center"/>
            </w:pPr>
            <w:r>
              <w:rPr>
                <w:color w:val="000000"/>
                <w:sz w:val="24"/>
              </w:rPr>
              <w:t>2</w:t>
            </w:r>
          </w:p>
        </w:tc>
        <w:tc>
          <w:tcPr>
            <w:tcW w:w="0" w:type="auto"/>
            <w:vAlign w:val="center"/>
          </w:tcPr>
          <w:p w:rsidR="006E5787" w:rsidRDefault="00831A86">
            <w:pPr>
              <w:jc w:val="center"/>
            </w:pPr>
            <w:r>
              <w:rPr>
                <w:color w:val="000000"/>
                <w:sz w:val="24"/>
              </w:rPr>
              <w:t>123929</w:t>
            </w:r>
          </w:p>
        </w:tc>
        <w:tc>
          <w:tcPr>
            <w:tcW w:w="0" w:type="auto"/>
            <w:vAlign w:val="center"/>
          </w:tcPr>
          <w:p w:rsidR="006E5787" w:rsidRDefault="00831A86">
            <w:pPr>
              <w:jc w:val="center"/>
            </w:pPr>
            <w:r>
              <w:rPr>
                <w:color w:val="000000"/>
                <w:sz w:val="24"/>
              </w:rPr>
              <w:t>高新热</w:t>
            </w:r>
            <w:r>
              <w:rPr>
                <w:color w:val="000000"/>
                <w:sz w:val="24"/>
              </w:rPr>
              <w:t>04</w:t>
            </w:r>
          </w:p>
        </w:tc>
        <w:tc>
          <w:tcPr>
            <w:tcW w:w="0" w:type="auto"/>
            <w:vAlign w:val="center"/>
          </w:tcPr>
          <w:p w:rsidR="006E5787" w:rsidRDefault="00831A86">
            <w:pPr>
              <w:jc w:val="right"/>
            </w:pPr>
            <w:r>
              <w:rPr>
                <w:color w:val="000000"/>
                <w:sz w:val="24"/>
              </w:rPr>
              <w:t>50,000</w:t>
            </w:r>
          </w:p>
        </w:tc>
        <w:tc>
          <w:tcPr>
            <w:tcW w:w="0" w:type="auto"/>
            <w:vAlign w:val="center"/>
          </w:tcPr>
          <w:p w:rsidR="006E5787" w:rsidRDefault="00831A86">
            <w:pPr>
              <w:jc w:val="right"/>
            </w:pPr>
            <w:r>
              <w:rPr>
                <w:color w:val="000000"/>
                <w:sz w:val="24"/>
              </w:rPr>
              <w:t>5,000,000.00</w:t>
            </w:r>
          </w:p>
        </w:tc>
        <w:tc>
          <w:tcPr>
            <w:tcW w:w="0" w:type="auto"/>
            <w:vAlign w:val="center"/>
          </w:tcPr>
          <w:p w:rsidR="006E5787" w:rsidRDefault="00831A86">
            <w:pPr>
              <w:jc w:val="right"/>
            </w:pPr>
            <w:r>
              <w:rPr>
                <w:color w:val="000000"/>
                <w:sz w:val="24"/>
              </w:rPr>
              <w:t>0.31</w:t>
            </w:r>
          </w:p>
        </w:tc>
      </w:tr>
      <w:tr w:rsidR="006E5787">
        <w:trPr>
          <w:jc w:val="center"/>
        </w:trPr>
        <w:tc>
          <w:tcPr>
            <w:tcW w:w="0" w:type="auto"/>
            <w:vAlign w:val="center"/>
          </w:tcPr>
          <w:p w:rsidR="006E5787" w:rsidRDefault="00831A86">
            <w:pPr>
              <w:jc w:val="center"/>
            </w:pPr>
            <w:r>
              <w:rPr>
                <w:color w:val="000000"/>
                <w:sz w:val="24"/>
              </w:rPr>
              <w:t>3</w:t>
            </w:r>
          </w:p>
        </w:tc>
        <w:tc>
          <w:tcPr>
            <w:tcW w:w="0" w:type="auto"/>
            <w:vAlign w:val="center"/>
          </w:tcPr>
          <w:p w:rsidR="006E5787" w:rsidRDefault="00831A86">
            <w:pPr>
              <w:jc w:val="center"/>
            </w:pPr>
            <w:r>
              <w:rPr>
                <w:color w:val="000000"/>
                <w:sz w:val="24"/>
              </w:rPr>
              <w:t>1689247</w:t>
            </w:r>
          </w:p>
        </w:tc>
        <w:tc>
          <w:tcPr>
            <w:tcW w:w="0" w:type="auto"/>
            <w:vAlign w:val="center"/>
          </w:tcPr>
          <w:p w:rsidR="006E5787" w:rsidRDefault="00831A86">
            <w:pPr>
              <w:jc w:val="center"/>
            </w:pPr>
            <w:r>
              <w:rPr>
                <w:color w:val="000000"/>
                <w:sz w:val="24"/>
              </w:rPr>
              <w:t>16</w:t>
            </w:r>
            <w:r>
              <w:rPr>
                <w:color w:val="000000"/>
                <w:sz w:val="24"/>
              </w:rPr>
              <w:t>上和</w:t>
            </w:r>
            <w:r>
              <w:rPr>
                <w:color w:val="000000"/>
                <w:sz w:val="24"/>
              </w:rPr>
              <w:t>1A2</w:t>
            </w:r>
          </w:p>
        </w:tc>
        <w:tc>
          <w:tcPr>
            <w:tcW w:w="0" w:type="auto"/>
            <w:vAlign w:val="center"/>
          </w:tcPr>
          <w:p w:rsidR="006E5787" w:rsidRDefault="00831A86">
            <w:pPr>
              <w:jc w:val="right"/>
            </w:pPr>
            <w:r>
              <w:rPr>
                <w:color w:val="000000"/>
                <w:sz w:val="24"/>
              </w:rPr>
              <w:t>200,000</w:t>
            </w:r>
          </w:p>
        </w:tc>
        <w:tc>
          <w:tcPr>
            <w:tcW w:w="0" w:type="auto"/>
            <w:vAlign w:val="center"/>
          </w:tcPr>
          <w:p w:rsidR="006E5787" w:rsidRDefault="00831A86">
            <w:pPr>
              <w:jc w:val="right"/>
            </w:pPr>
            <w:r>
              <w:rPr>
                <w:color w:val="000000"/>
                <w:sz w:val="24"/>
              </w:rPr>
              <w:t>700,000.00</w:t>
            </w:r>
          </w:p>
        </w:tc>
        <w:tc>
          <w:tcPr>
            <w:tcW w:w="0" w:type="auto"/>
            <w:vAlign w:val="center"/>
          </w:tcPr>
          <w:p w:rsidR="006E5787" w:rsidRDefault="00831A86">
            <w:pPr>
              <w:jc w:val="right"/>
            </w:pPr>
            <w:r>
              <w:rPr>
                <w:color w:val="000000"/>
                <w:sz w:val="24"/>
              </w:rPr>
              <w:t>0.04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8,424.79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27,000,000.00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35,586,895.33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22,490.03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62,617,810.15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1,537,846,806.37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6,855,973.00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2,837,980.01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167,918.14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2,497,242.63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821,130.57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1,538,187,543.75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6,202,760.57</w:t>
            </w:r>
          </w:p>
        </w:tc>
      </w:tr>
    </w:tbl>
    <w:p w:rsidR="006E5787" w:rsidRDefault="00831A8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lastRenderedPageBreak/>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BE251D">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6E5787">
        <w:tc>
          <w:tcPr>
            <w:tcW w:w="992" w:type="dxa"/>
          </w:tcPr>
          <w:p w:rsidR="006E5787" w:rsidRDefault="006E5787"/>
          <w:p w:rsidR="006E5787" w:rsidRDefault="00831A86">
            <w:r>
              <w:rPr>
                <w:rFonts w:ascii="宋体" w:hAnsi="宋体" w:hint="eastAsia"/>
                <w:bCs/>
                <w:color w:val="000000"/>
                <w:kern w:val="0"/>
                <w:szCs w:val="21"/>
              </w:rPr>
              <w:t>机构</w:t>
            </w:r>
          </w:p>
        </w:tc>
        <w:tc>
          <w:tcPr>
            <w:tcW w:w="991" w:type="dxa"/>
            <w:vAlign w:val="center"/>
          </w:tcPr>
          <w:p w:rsidR="006E5787" w:rsidRDefault="00831A86">
            <w:pPr>
              <w:jc w:val="center"/>
            </w:pPr>
            <w:r>
              <w:rPr>
                <w:rFonts w:ascii="宋体" w:hAnsi="宋体" w:hint="eastAsia"/>
                <w:color w:val="000000"/>
                <w:kern w:val="0"/>
                <w:szCs w:val="21"/>
              </w:rPr>
              <w:t>1</w:t>
            </w:r>
          </w:p>
        </w:tc>
        <w:tc>
          <w:tcPr>
            <w:tcW w:w="1843" w:type="dxa"/>
            <w:vAlign w:val="center"/>
          </w:tcPr>
          <w:p w:rsidR="006E5787" w:rsidRDefault="00831A86">
            <w:pPr>
              <w:jc w:val="center"/>
            </w:pPr>
            <w:r>
              <w:rPr>
                <w:rFonts w:ascii="宋体" w:hAnsi="宋体" w:hint="eastAsia"/>
                <w:color w:val="000000"/>
                <w:kern w:val="0"/>
                <w:szCs w:val="21"/>
              </w:rPr>
              <w:t>2017/10/1-2017/12/31</w:t>
            </w:r>
          </w:p>
        </w:tc>
        <w:tc>
          <w:tcPr>
            <w:tcW w:w="851" w:type="dxa"/>
            <w:vAlign w:val="center"/>
          </w:tcPr>
          <w:p w:rsidR="006E5787" w:rsidRDefault="00831A86">
            <w:pPr>
              <w:jc w:val="center"/>
            </w:pPr>
            <w:r>
              <w:rPr>
                <w:rFonts w:ascii="宋体" w:hAnsi="宋体" w:hint="eastAsia"/>
                <w:color w:val="000000"/>
                <w:kern w:val="0"/>
                <w:szCs w:val="21"/>
              </w:rPr>
              <w:t>1,334,761,675.03</w:t>
            </w:r>
          </w:p>
        </w:tc>
        <w:tc>
          <w:tcPr>
            <w:tcW w:w="850" w:type="dxa"/>
            <w:vAlign w:val="center"/>
          </w:tcPr>
          <w:p w:rsidR="006E5787" w:rsidRDefault="00831A86">
            <w:pPr>
              <w:jc w:val="center"/>
            </w:pPr>
            <w:r>
              <w:rPr>
                <w:rFonts w:ascii="宋体" w:hAnsi="宋体" w:hint="eastAsia"/>
                <w:color w:val="000000"/>
                <w:kern w:val="0"/>
                <w:szCs w:val="21"/>
              </w:rPr>
              <w:t>-</w:t>
            </w:r>
          </w:p>
        </w:tc>
        <w:tc>
          <w:tcPr>
            <w:tcW w:w="1134" w:type="dxa"/>
            <w:vAlign w:val="center"/>
          </w:tcPr>
          <w:p w:rsidR="006E5787" w:rsidRDefault="00831A86">
            <w:pPr>
              <w:jc w:val="center"/>
            </w:pPr>
            <w:r>
              <w:rPr>
                <w:rFonts w:ascii="宋体" w:hAnsi="宋体" w:hint="eastAsia"/>
                <w:color w:val="000000"/>
                <w:kern w:val="0"/>
                <w:szCs w:val="21"/>
              </w:rPr>
              <w:t>-</w:t>
            </w:r>
          </w:p>
        </w:tc>
        <w:tc>
          <w:tcPr>
            <w:tcW w:w="1419" w:type="dxa"/>
            <w:vAlign w:val="center"/>
          </w:tcPr>
          <w:p w:rsidR="006E5787" w:rsidRDefault="00831A86">
            <w:pPr>
              <w:jc w:val="center"/>
            </w:pPr>
            <w:r>
              <w:rPr>
                <w:rFonts w:ascii="宋体" w:hAnsi="宋体" w:hint="eastAsia"/>
                <w:color w:val="000000"/>
                <w:kern w:val="0"/>
                <w:szCs w:val="21"/>
              </w:rPr>
              <w:t>1,334,761,675.03</w:t>
            </w:r>
          </w:p>
        </w:tc>
        <w:tc>
          <w:tcPr>
            <w:tcW w:w="1130" w:type="dxa"/>
            <w:vAlign w:val="center"/>
          </w:tcPr>
          <w:p w:rsidR="006E5787" w:rsidRDefault="00831A86">
            <w:pPr>
              <w:jc w:val="center"/>
            </w:pPr>
            <w:r>
              <w:rPr>
                <w:rFonts w:ascii="宋体" w:hAnsi="宋体" w:hint="eastAsia"/>
                <w:color w:val="000000"/>
                <w:kern w:val="0"/>
                <w:szCs w:val="21"/>
              </w:rPr>
              <w:t>86.43%</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831A86">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6E5787" w:rsidRDefault="00831A86">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、中国证监会批准交银施罗德双轮动债券型证券投资基金募集的文件；</w:t>
      </w:r>
      <w:r>
        <w:rPr>
          <w:rFonts w:eastAsiaTheme="minorEastAsia"/>
          <w:color w:val="000000"/>
          <w:sz w:val="24"/>
        </w:rPr>
        <w:t xml:space="preserve"> </w:t>
      </w:r>
    </w:p>
    <w:p w:rsidR="006E5787" w:rsidRDefault="00831A8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、《交银施罗德双轮动债券型证券投资基金基金合同》；</w:t>
      </w:r>
      <w:r>
        <w:rPr>
          <w:rFonts w:eastAsiaTheme="minorEastAsia"/>
          <w:color w:val="000000"/>
          <w:sz w:val="24"/>
        </w:rPr>
        <w:t xml:space="preserve"> </w:t>
      </w:r>
    </w:p>
    <w:p w:rsidR="006E5787" w:rsidRDefault="00831A8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、《交银施罗德双轮动债券型证券投资基金招募说明书》；</w:t>
      </w:r>
      <w:r>
        <w:rPr>
          <w:rFonts w:eastAsiaTheme="minorEastAsia"/>
          <w:color w:val="000000"/>
          <w:sz w:val="24"/>
        </w:rPr>
        <w:t xml:space="preserve"> </w:t>
      </w:r>
    </w:p>
    <w:p w:rsidR="006E5787" w:rsidRDefault="00831A86">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、《交银施罗德双轮动债券型证券投资基金托管协议》；</w:t>
      </w:r>
      <w:r>
        <w:rPr>
          <w:rFonts w:eastAsiaTheme="minorEastAsia"/>
          <w:color w:val="000000"/>
          <w:sz w:val="24"/>
        </w:rPr>
        <w:t xml:space="preserve"> </w:t>
      </w:r>
    </w:p>
    <w:p w:rsidR="006E5787" w:rsidRDefault="00831A8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、关于募集交银施罗德双轮动债券型证券投资基金之法律意见书；</w:t>
      </w:r>
      <w:r>
        <w:rPr>
          <w:rFonts w:eastAsiaTheme="minorEastAsia"/>
          <w:color w:val="000000"/>
          <w:sz w:val="24"/>
        </w:rPr>
        <w:t xml:space="preserve"> </w:t>
      </w:r>
    </w:p>
    <w:p w:rsidR="006E5787" w:rsidRDefault="00831A8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6E5787" w:rsidRDefault="00831A8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、报告期内交银施罗德双轮动债券型证券投资基金在指定报刊上各项公告的原稿。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6E5787" w:rsidRDefault="00831A8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413" w:rsidRDefault="00FA3413">
      <w:r>
        <w:separator/>
      </w:r>
    </w:p>
  </w:endnote>
  <w:endnote w:type="continuationSeparator" w:id="0">
    <w:p w:rsidR="00FA3413" w:rsidRDefault="00FA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401EEC">
      <w:rPr>
        <w:noProof/>
        <w:kern w:val="0"/>
        <w:szCs w:val="21"/>
      </w:rPr>
      <w:t>1</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401EEC">
      <w:rPr>
        <w:noProof/>
        <w:kern w:val="0"/>
        <w:szCs w:val="21"/>
      </w:rPr>
      <w:t>13</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413" w:rsidRDefault="00FA3413">
      <w:r>
        <w:separator/>
      </w:r>
    </w:p>
  </w:footnote>
  <w:footnote w:type="continuationSeparator" w:id="0">
    <w:p w:rsidR="00FA3413" w:rsidRDefault="00FA3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FA3413"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1EE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E5787"/>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6B2A"/>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1A86"/>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3413"/>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65E2A888-4B7C-4FB0-A3B2-4528C680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47C77-FB2B-432F-8867-477042DA1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196</TotalTime>
  <Pages>1</Pages>
  <Words>1087</Words>
  <Characters>6202</Characters>
  <Application>Microsoft Office Word</Application>
  <DocSecurity>0</DocSecurity>
  <Lines>51</Lines>
  <Paragraphs>14</Paragraphs>
  <ScaleCrop>false</ScaleCrop>
  <Company>TRT. Ltd. Co.</Company>
  <LinksUpToDate>false</LinksUpToDate>
  <CharactersWithSpaces>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372</cp:revision>
  <cp:lastPrinted>2007-07-19T00:46:00Z</cp:lastPrinted>
  <dcterms:created xsi:type="dcterms:W3CDTF">2014-01-17T06:19:00Z</dcterms:created>
  <dcterms:modified xsi:type="dcterms:W3CDTF">2018-01-18T05:40:00Z</dcterms:modified>
</cp:coreProperties>
</file>