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D2838" w:rsidRDefault="00CD504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D2838" w:rsidRDefault="00CD504D">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D2838" w:rsidRDefault="00CD504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D2838" w:rsidRDefault="00CD504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D2838" w:rsidRDefault="00CD504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747,417,968.09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D504D" w:rsidRPr="00414345" w:rsidTr="00CD504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D504D" w:rsidRPr="00414345" w:rsidTr="00CD50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54,865,730.13</w:t>
            </w:r>
          </w:p>
        </w:tc>
      </w:tr>
      <w:tr w:rsidR="00CD504D" w:rsidRPr="00414345" w:rsidTr="00CD50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54,968,206.12</w:t>
            </w:r>
          </w:p>
        </w:tc>
      </w:tr>
      <w:tr w:rsidR="00CD504D" w:rsidRPr="00414345" w:rsidTr="00CD50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E5226D" w:rsidP="00C15CAC">
            <w:pPr>
              <w:adjustRightInd w:val="0"/>
              <w:spacing w:before="29" w:line="288" w:lineRule="auto"/>
              <w:ind w:left="17"/>
              <w:jc w:val="right"/>
              <w:rPr>
                <w:color w:val="000000"/>
                <w:sz w:val="24"/>
                <w:szCs w:val="24"/>
              </w:rPr>
            </w:pPr>
            <w:r w:rsidRPr="00E5226D">
              <w:rPr>
                <w:color w:val="000000"/>
                <w:sz w:val="24"/>
                <w:szCs w:val="24"/>
              </w:rPr>
              <w:t>0.0624</w:t>
            </w:r>
            <w:bookmarkStart w:id="0" w:name="_GoBack"/>
            <w:bookmarkEnd w:id="0"/>
          </w:p>
        </w:tc>
      </w:tr>
      <w:tr w:rsidR="00CD504D" w:rsidRPr="00414345" w:rsidTr="00CD50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774,224,232.62</w:t>
            </w:r>
          </w:p>
        </w:tc>
      </w:tr>
      <w:tr w:rsidR="00CD504D" w:rsidRPr="00414345" w:rsidTr="00CD504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1.036</w:t>
            </w:r>
          </w:p>
        </w:tc>
      </w:tr>
    </w:tbl>
    <w:p w:rsidR="005D2838" w:rsidRDefault="00CD50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D2838">
        <w:trPr>
          <w:jc w:val="center"/>
        </w:trPr>
        <w:tc>
          <w:tcPr>
            <w:tcW w:w="1701" w:type="dxa"/>
            <w:vAlign w:val="center"/>
          </w:tcPr>
          <w:p w:rsidR="005D2838" w:rsidRDefault="00CD504D">
            <w:pPr>
              <w:jc w:val="left"/>
            </w:pPr>
            <w:r>
              <w:rPr>
                <w:color w:val="000000"/>
                <w:sz w:val="24"/>
                <w:szCs w:val="24"/>
              </w:rPr>
              <w:t>过去三个月</w:t>
            </w:r>
          </w:p>
        </w:tc>
        <w:tc>
          <w:tcPr>
            <w:tcW w:w="1045" w:type="dxa"/>
            <w:vAlign w:val="center"/>
          </w:tcPr>
          <w:p w:rsidR="005D2838" w:rsidRDefault="00CD504D">
            <w:pPr>
              <w:jc w:val="center"/>
            </w:pPr>
            <w:r>
              <w:rPr>
                <w:color w:val="000000"/>
                <w:sz w:val="24"/>
                <w:szCs w:val="24"/>
              </w:rPr>
              <w:t>5.61%</w:t>
            </w:r>
          </w:p>
        </w:tc>
        <w:tc>
          <w:tcPr>
            <w:tcW w:w="1344" w:type="dxa"/>
            <w:vAlign w:val="center"/>
          </w:tcPr>
          <w:p w:rsidR="005D2838" w:rsidRDefault="00CD504D">
            <w:pPr>
              <w:jc w:val="center"/>
            </w:pPr>
            <w:r>
              <w:rPr>
                <w:color w:val="000000"/>
                <w:sz w:val="24"/>
                <w:szCs w:val="24"/>
              </w:rPr>
              <w:t>0.88%</w:t>
            </w:r>
          </w:p>
        </w:tc>
        <w:tc>
          <w:tcPr>
            <w:tcW w:w="1194" w:type="dxa"/>
            <w:vAlign w:val="center"/>
          </w:tcPr>
          <w:p w:rsidR="005D2838" w:rsidRDefault="00CD504D">
            <w:pPr>
              <w:jc w:val="center"/>
            </w:pPr>
            <w:r>
              <w:rPr>
                <w:color w:val="000000"/>
                <w:sz w:val="24"/>
                <w:szCs w:val="24"/>
              </w:rPr>
              <w:t>12.25%</w:t>
            </w:r>
          </w:p>
        </w:tc>
        <w:tc>
          <w:tcPr>
            <w:tcW w:w="1492" w:type="dxa"/>
            <w:vAlign w:val="center"/>
          </w:tcPr>
          <w:p w:rsidR="005D2838" w:rsidRDefault="00CD504D">
            <w:pPr>
              <w:jc w:val="center"/>
            </w:pPr>
            <w:r>
              <w:rPr>
                <w:color w:val="000000"/>
                <w:sz w:val="24"/>
                <w:szCs w:val="24"/>
              </w:rPr>
              <w:t>1.16%</w:t>
            </w:r>
          </w:p>
        </w:tc>
        <w:tc>
          <w:tcPr>
            <w:tcW w:w="1194" w:type="dxa"/>
            <w:vAlign w:val="center"/>
          </w:tcPr>
          <w:p w:rsidR="005D2838" w:rsidRDefault="00CD504D">
            <w:pPr>
              <w:jc w:val="center"/>
            </w:pPr>
            <w:r>
              <w:rPr>
                <w:color w:val="000000"/>
                <w:sz w:val="24"/>
                <w:szCs w:val="24"/>
              </w:rPr>
              <w:t>-6.64%</w:t>
            </w:r>
          </w:p>
        </w:tc>
        <w:tc>
          <w:tcPr>
            <w:tcW w:w="898" w:type="dxa"/>
            <w:vAlign w:val="center"/>
          </w:tcPr>
          <w:p w:rsidR="005D2838" w:rsidRDefault="00CD504D">
            <w:pPr>
              <w:jc w:val="center"/>
            </w:pPr>
            <w:r>
              <w:rPr>
                <w:color w:val="000000"/>
                <w:sz w:val="24"/>
                <w:szCs w:val="24"/>
              </w:rPr>
              <w:t>-0.28%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D2838">
        <w:trPr>
          <w:jc w:val="center"/>
        </w:trPr>
        <w:tc>
          <w:tcPr>
            <w:tcW w:w="846" w:type="dxa"/>
            <w:vAlign w:val="center"/>
          </w:tcPr>
          <w:p w:rsidR="005D2838" w:rsidRDefault="00CD504D">
            <w:pPr>
              <w:jc w:val="center"/>
            </w:pPr>
            <w:r>
              <w:rPr>
                <w:color w:val="000000"/>
                <w:sz w:val="24"/>
                <w:szCs w:val="24"/>
              </w:rPr>
              <w:t>盖婷婷</w:t>
            </w:r>
          </w:p>
        </w:tc>
        <w:tc>
          <w:tcPr>
            <w:tcW w:w="845" w:type="dxa"/>
            <w:vAlign w:val="center"/>
          </w:tcPr>
          <w:p w:rsidR="005D2838" w:rsidRDefault="00CD504D">
            <w:pPr>
              <w:jc w:val="center"/>
            </w:pPr>
            <w:r>
              <w:rPr>
                <w:color w:val="000000"/>
                <w:sz w:val="24"/>
                <w:szCs w:val="24"/>
              </w:rPr>
              <w:t>交银消费新驱动股票、交银医</w:t>
            </w:r>
            <w:r>
              <w:rPr>
                <w:color w:val="000000"/>
                <w:sz w:val="24"/>
                <w:szCs w:val="24"/>
              </w:rPr>
              <w:lastRenderedPageBreak/>
              <w:t>药创新股票、交银恒益灵活配置混合的基金经理</w:t>
            </w:r>
          </w:p>
        </w:tc>
        <w:tc>
          <w:tcPr>
            <w:tcW w:w="1549" w:type="dxa"/>
            <w:vAlign w:val="center"/>
          </w:tcPr>
          <w:p w:rsidR="005D2838" w:rsidRDefault="00CD504D">
            <w:pPr>
              <w:jc w:val="center"/>
            </w:pPr>
            <w:r>
              <w:rPr>
                <w:color w:val="000000"/>
                <w:sz w:val="24"/>
                <w:szCs w:val="24"/>
              </w:rPr>
              <w:lastRenderedPageBreak/>
              <w:t>2015-07-01</w:t>
            </w:r>
          </w:p>
        </w:tc>
        <w:tc>
          <w:tcPr>
            <w:tcW w:w="1548" w:type="dxa"/>
            <w:vAlign w:val="center"/>
          </w:tcPr>
          <w:p w:rsidR="005D2838" w:rsidRDefault="00CD504D">
            <w:pPr>
              <w:jc w:val="center"/>
            </w:pPr>
            <w:r>
              <w:rPr>
                <w:color w:val="000000"/>
                <w:sz w:val="24"/>
                <w:szCs w:val="24"/>
              </w:rPr>
              <w:t>-</w:t>
            </w:r>
          </w:p>
        </w:tc>
        <w:tc>
          <w:tcPr>
            <w:tcW w:w="1407" w:type="dxa"/>
            <w:vAlign w:val="center"/>
          </w:tcPr>
          <w:p w:rsidR="005D2838" w:rsidRDefault="00CD504D">
            <w:pPr>
              <w:jc w:val="center"/>
            </w:pPr>
            <w:r>
              <w:rPr>
                <w:color w:val="000000"/>
                <w:sz w:val="24"/>
                <w:szCs w:val="24"/>
              </w:rPr>
              <w:t>11</w:t>
            </w:r>
            <w:r>
              <w:rPr>
                <w:color w:val="000000"/>
                <w:sz w:val="24"/>
                <w:szCs w:val="24"/>
              </w:rPr>
              <w:t>年</w:t>
            </w:r>
          </w:p>
        </w:tc>
        <w:tc>
          <w:tcPr>
            <w:tcW w:w="2673" w:type="dxa"/>
            <w:vAlign w:val="center"/>
          </w:tcPr>
          <w:p w:rsidR="005D2838" w:rsidRDefault="00CD504D">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w:t>
            </w:r>
            <w:r>
              <w:rPr>
                <w:color w:val="000000"/>
                <w:sz w:val="24"/>
                <w:szCs w:val="24"/>
              </w:rPr>
              <w:lastRenderedPageBreak/>
              <w:t>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D2838" w:rsidRDefault="00CD504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D2838" w:rsidRDefault="00CD504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D2838" w:rsidRDefault="00CD504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D2838" w:rsidRDefault="00CD504D">
      <w:pPr>
        <w:spacing w:before="29" w:line="288" w:lineRule="auto"/>
        <w:ind w:firstLineChars="200" w:firstLine="480"/>
        <w:rPr>
          <w:color w:val="000000"/>
          <w:sz w:val="24"/>
          <w:szCs w:val="24"/>
        </w:rPr>
      </w:pPr>
      <w:r>
        <w:rPr>
          <w:color w:val="000000"/>
          <w:sz w:val="24"/>
          <w:szCs w:val="24"/>
        </w:rPr>
        <w:t>由于</w:t>
      </w:r>
      <w:r>
        <w:rPr>
          <w:color w:val="000000"/>
          <w:sz w:val="24"/>
          <w:szCs w:val="24"/>
        </w:rPr>
        <w:t>2017</w:t>
      </w:r>
      <w:r>
        <w:rPr>
          <w:color w:val="000000"/>
          <w:sz w:val="24"/>
          <w:szCs w:val="24"/>
        </w:rPr>
        <w:t>年年底流动性趋紧以及绝对收益资金兑现收益，市场在十一月中旬之后出现了明显的调整，前期机构持仓较重的消费、电子板块调整幅度较大。十二月份以来，白酒由于良好的基本面以及涨价信息走出了独立的反弹行情，而电子板块由于市场担心苹果缩减订单仍然延续下跌趋势，板块间的分化局面继续拉大。</w:t>
      </w:r>
    </w:p>
    <w:p w:rsidR="005D2838" w:rsidRDefault="00CD504D">
      <w:pPr>
        <w:spacing w:before="29" w:line="288" w:lineRule="auto"/>
        <w:ind w:firstLineChars="200" w:firstLine="480"/>
        <w:rPr>
          <w:color w:val="000000"/>
          <w:sz w:val="24"/>
          <w:szCs w:val="24"/>
        </w:rPr>
      </w:pPr>
      <w:r>
        <w:rPr>
          <w:color w:val="000000"/>
          <w:sz w:val="24"/>
          <w:szCs w:val="24"/>
        </w:rPr>
        <w:t>鉴于我们判断市场会在年底有所调整，本基金在十月、十一月逐渐减持前期涨幅较大的成长股，在市场下行过程中维持仓位的下限。但在十二月的市场反弹行情中，由于本基金的白酒持仓较少，电子持仓较多，所以业绩反弹相对较弱。</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我们预计成长股经过年底的调整，</w:t>
      </w:r>
      <w:r w:rsidRPr="00414345">
        <w:rPr>
          <w:color w:val="000000"/>
          <w:sz w:val="24"/>
          <w:szCs w:val="24"/>
        </w:rPr>
        <w:t>2018</w:t>
      </w:r>
      <w:r w:rsidRPr="00414345">
        <w:rPr>
          <w:color w:val="000000"/>
          <w:sz w:val="24"/>
          <w:szCs w:val="24"/>
        </w:rPr>
        <w:t>年一季度可能会有估值切换行情，整体上成长股经过两年的估值压缩，目前股价吸引力显著上升。本基金预计将主要在大众消费品、医药、电子、计算机等领域寻求优质成长股配置。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1.036</w:t>
      </w:r>
      <w:r w:rsidRPr="00414345">
        <w:rPr>
          <w:color w:val="000000"/>
          <w:sz w:val="24"/>
          <w:szCs w:val="24"/>
        </w:rPr>
        <w:t>元，本报告期份额净值增长率为</w:t>
      </w:r>
      <w:r w:rsidRPr="00414345">
        <w:rPr>
          <w:color w:val="000000"/>
          <w:sz w:val="24"/>
          <w:szCs w:val="24"/>
        </w:rPr>
        <w:t>5.61%</w:t>
      </w:r>
      <w:r w:rsidRPr="00414345">
        <w:rPr>
          <w:color w:val="000000"/>
          <w:sz w:val="24"/>
          <w:szCs w:val="24"/>
        </w:rPr>
        <w:t>，同期业绩比较基准增长率为</w:t>
      </w:r>
      <w:r w:rsidRPr="00414345">
        <w:rPr>
          <w:color w:val="000000"/>
          <w:sz w:val="24"/>
          <w:szCs w:val="24"/>
        </w:rPr>
        <w:t>12.25%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652,450,842.91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652,450,842.91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123,859,025.67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15.94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631,132.85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776,941,001.43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18,619,839.68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309,608,639.88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20,301,987.40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106,508,991.44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21,616,118.45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76,116,501.32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26,364,000.00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73,280,678.78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652,450,842.91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84.27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D2838">
        <w:trPr>
          <w:jc w:val="center"/>
        </w:trPr>
        <w:tc>
          <w:tcPr>
            <w:tcW w:w="855" w:type="dxa"/>
            <w:vAlign w:val="center"/>
          </w:tcPr>
          <w:p w:rsidR="005D2838" w:rsidRDefault="00CD504D">
            <w:pPr>
              <w:jc w:val="center"/>
            </w:pPr>
            <w:r>
              <w:rPr>
                <w:color w:val="000000"/>
                <w:sz w:val="24"/>
                <w:szCs w:val="24"/>
              </w:rPr>
              <w:t>1</w:t>
            </w:r>
          </w:p>
        </w:tc>
        <w:tc>
          <w:tcPr>
            <w:tcW w:w="1334" w:type="dxa"/>
            <w:vAlign w:val="center"/>
          </w:tcPr>
          <w:p w:rsidR="005D2838" w:rsidRDefault="00CD504D">
            <w:pPr>
              <w:jc w:val="center"/>
            </w:pPr>
            <w:r>
              <w:rPr>
                <w:color w:val="000000"/>
                <w:sz w:val="24"/>
                <w:szCs w:val="24"/>
              </w:rPr>
              <w:t>300347</w:t>
            </w:r>
          </w:p>
        </w:tc>
        <w:tc>
          <w:tcPr>
            <w:tcW w:w="1777" w:type="dxa"/>
            <w:vAlign w:val="center"/>
          </w:tcPr>
          <w:p w:rsidR="005D2838" w:rsidRDefault="00CD504D">
            <w:pPr>
              <w:jc w:val="center"/>
            </w:pPr>
            <w:r>
              <w:rPr>
                <w:color w:val="000000"/>
                <w:sz w:val="24"/>
                <w:szCs w:val="24"/>
              </w:rPr>
              <w:t>泰格医药</w:t>
            </w:r>
          </w:p>
        </w:tc>
        <w:tc>
          <w:tcPr>
            <w:tcW w:w="1334" w:type="dxa"/>
            <w:vAlign w:val="center"/>
          </w:tcPr>
          <w:p w:rsidR="005D2838" w:rsidRDefault="00CD504D">
            <w:pPr>
              <w:jc w:val="right"/>
            </w:pPr>
            <w:r>
              <w:rPr>
                <w:color w:val="000000"/>
                <w:sz w:val="24"/>
                <w:szCs w:val="24"/>
              </w:rPr>
              <w:t>2,083,021</w:t>
            </w:r>
          </w:p>
        </w:tc>
        <w:tc>
          <w:tcPr>
            <w:tcW w:w="1924" w:type="dxa"/>
            <w:vAlign w:val="center"/>
          </w:tcPr>
          <w:p w:rsidR="005D2838" w:rsidRDefault="00CD504D">
            <w:pPr>
              <w:jc w:val="right"/>
            </w:pPr>
            <w:r>
              <w:rPr>
                <w:color w:val="000000"/>
                <w:sz w:val="24"/>
                <w:szCs w:val="24"/>
              </w:rPr>
              <w:t>73,280,678.78</w:t>
            </w:r>
          </w:p>
        </w:tc>
        <w:tc>
          <w:tcPr>
            <w:tcW w:w="1644" w:type="dxa"/>
            <w:vAlign w:val="center"/>
          </w:tcPr>
          <w:p w:rsidR="005D2838" w:rsidRDefault="00CD504D">
            <w:pPr>
              <w:jc w:val="right"/>
            </w:pPr>
            <w:r>
              <w:rPr>
                <w:color w:val="000000"/>
                <w:sz w:val="24"/>
                <w:szCs w:val="24"/>
              </w:rPr>
              <w:t>9.47</w:t>
            </w:r>
          </w:p>
        </w:tc>
      </w:tr>
      <w:tr w:rsidR="005D2838">
        <w:trPr>
          <w:jc w:val="center"/>
        </w:trPr>
        <w:tc>
          <w:tcPr>
            <w:tcW w:w="855" w:type="dxa"/>
            <w:vAlign w:val="center"/>
          </w:tcPr>
          <w:p w:rsidR="005D2838" w:rsidRDefault="00CD504D">
            <w:pPr>
              <w:jc w:val="center"/>
            </w:pPr>
            <w:r>
              <w:rPr>
                <w:color w:val="000000"/>
                <w:sz w:val="24"/>
                <w:szCs w:val="24"/>
              </w:rPr>
              <w:t>2</w:t>
            </w:r>
          </w:p>
        </w:tc>
        <w:tc>
          <w:tcPr>
            <w:tcW w:w="1334" w:type="dxa"/>
            <w:vAlign w:val="center"/>
          </w:tcPr>
          <w:p w:rsidR="005D2838" w:rsidRDefault="00CD504D">
            <w:pPr>
              <w:jc w:val="center"/>
            </w:pPr>
            <w:r>
              <w:rPr>
                <w:color w:val="000000"/>
                <w:sz w:val="24"/>
                <w:szCs w:val="24"/>
              </w:rPr>
              <w:t>601607</w:t>
            </w:r>
          </w:p>
        </w:tc>
        <w:tc>
          <w:tcPr>
            <w:tcW w:w="1777" w:type="dxa"/>
            <w:vAlign w:val="center"/>
          </w:tcPr>
          <w:p w:rsidR="005D2838" w:rsidRDefault="00CD504D">
            <w:pPr>
              <w:jc w:val="center"/>
            </w:pPr>
            <w:r>
              <w:rPr>
                <w:color w:val="000000"/>
                <w:sz w:val="24"/>
                <w:szCs w:val="24"/>
              </w:rPr>
              <w:t>上海医药</w:t>
            </w:r>
          </w:p>
        </w:tc>
        <w:tc>
          <w:tcPr>
            <w:tcW w:w="1334" w:type="dxa"/>
            <w:vAlign w:val="center"/>
          </w:tcPr>
          <w:p w:rsidR="005D2838" w:rsidRDefault="00CD504D">
            <w:pPr>
              <w:jc w:val="right"/>
            </w:pPr>
            <w:r>
              <w:rPr>
                <w:color w:val="000000"/>
                <w:sz w:val="24"/>
                <w:szCs w:val="24"/>
              </w:rPr>
              <w:t>2,350,012</w:t>
            </w:r>
          </w:p>
        </w:tc>
        <w:tc>
          <w:tcPr>
            <w:tcW w:w="1924" w:type="dxa"/>
            <w:vAlign w:val="center"/>
          </w:tcPr>
          <w:p w:rsidR="005D2838" w:rsidRDefault="00CD504D">
            <w:pPr>
              <w:jc w:val="right"/>
            </w:pPr>
            <w:r>
              <w:rPr>
                <w:color w:val="000000"/>
                <w:sz w:val="24"/>
                <w:szCs w:val="24"/>
              </w:rPr>
              <w:t>56,846,790.28</w:t>
            </w:r>
          </w:p>
        </w:tc>
        <w:tc>
          <w:tcPr>
            <w:tcW w:w="1644" w:type="dxa"/>
            <w:vAlign w:val="center"/>
          </w:tcPr>
          <w:p w:rsidR="005D2838" w:rsidRDefault="00CD504D">
            <w:pPr>
              <w:jc w:val="right"/>
            </w:pPr>
            <w:r>
              <w:rPr>
                <w:color w:val="000000"/>
                <w:sz w:val="24"/>
                <w:szCs w:val="24"/>
              </w:rPr>
              <w:t>7.34</w:t>
            </w:r>
          </w:p>
        </w:tc>
      </w:tr>
      <w:tr w:rsidR="005D2838">
        <w:trPr>
          <w:jc w:val="center"/>
        </w:trPr>
        <w:tc>
          <w:tcPr>
            <w:tcW w:w="855" w:type="dxa"/>
            <w:vAlign w:val="center"/>
          </w:tcPr>
          <w:p w:rsidR="005D2838" w:rsidRDefault="00CD504D">
            <w:pPr>
              <w:jc w:val="center"/>
            </w:pPr>
            <w:r>
              <w:rPr>
                <w:color w:val="000000"/>
                <w:sz w:val="24"/>
                <w:szCs w:val="24"/>
              </w:rPr>
              <w:t>3</w:t>
            </w:r>
          </w:p>
        </w:tc>
        <w:tc>
          <w:tcPr>
            <w:tcW w:w="1334" w:type="dxa"/>
            <w:vAlign w:val="center"/>
          </w:tcPr>
          <w:p w:rsidR="005D2838" w:rsidRDefault="00CD504D">
            <w:pPr>
              <w:jc w:val="center"/>
            </w:pPr>
            <w:r>
              <w:rPr>
                <w:color w:val="000000"/>
                <w:sz w:val="24"/>
                <w:szCs w:val="24"/>
              </w:rPr>
              <w:t>603986</w:t>
            </w:r>
          </w:p>
        </w:tc>
        <w:tc>
          <w:tcPr>
            <w:tcW w:w="1777" w:type="dxa"/>
            <w:vAlign w:val="center"/>
          </w:tcPr>
          <w:p w:rsidR="005D2838" w:rsidRDefault="00CD504D">
            <w:pPr>
              <w:jc w:val="center"/>
            </w:pPr>
            <w:r>
              <w:rPr>
                <w:color w:val="000000"/>
                <w:sz w:val="24"/>
                <w:szCs w:val="24"/>
              </w:rPr>
              <w:t>兆易创新</w:t>
            </w:r>
          </w:p>
        </w:tc>
        <w:tc>
          <w:tcPr>
            <w:tcW w:w="1334" w:type="dxa"/>
            <w:vAlign w:val="center"/>
          </w:tcPr>
          <w:p w:rsidR="005D2838" w:rsidRDefault="00CD504D">
            <w:pPr>
              <w:jc w:val="right"/>
            </w:pPr>
            <w:r>
              <w:rPr>
                <w:color w:val="000000"/>
                <w:sz w:val="24"/>
                <w:szCs w:val="24"/>
              </w:rPr>
              <w:t>305,266</w:t>
            </w:r>
          </w:p>
        </w:tc>
        <w:tc>
          <w:tcPr>
            <w:tcW w:w="1924" w:type="dxa"/>
            <w:vAlign w:val="center"/>
          </w:tcPr>
          <w:p w:rsidR="005D2838" w:rsidRDefault="00CD504D">
            <w:pPr>
              <w:jc w:val="right"/>
            </w:pPr>
            <w:r>
              <w:rPr>
                <w:color w:val="000000"/>
                <w:sz w:val="24"/>
                <w:szCs w:val="24"/>
              </w:rPr>
              <w:t>46,925,489.52</w:t>
            </w:r>
          </w:p>
        </w:tc>
        <w:tc>
          <w:tcPr>
            <w:tcW w:w="1644" w:type="dxa"/>
            <w:vAlign w:val="center"/>
          </w:tcPr>
          <w:p w:rsidR="005D2838" w:rsidRDefault="00CD504D">
            <w:pPr>
              <w:jc w:val="right"/>
            </w:pPr>
            <w:r>
              <w:rPr>
                <w:color w:val="000000"/>
                <w:sz w:val="24"/>
                <w:szCs w:val="24"/>
              </w:rPr>
              <w:t>6.06</w:t>
            </w:r>
          </w:p>
        </w:tc>
      </w:tr>
      <w:tr w:rsidR="005D2838">
        <w:trPr>
          <w:jc w:val="center"/>
        </w:trPr>
        <w:tc>
          <w:tcPr>
            <w:tcW w:w="855" w:type="dxa"/>
            <w:vAlign w:val="center"/>
          </w:tcPr>
          <w:p w:rsidR="005D2838" w:rsidRDefault="00CD504D">
            <w:pPr>
              <w:jc w:val="center"/>
            </w:pPr>
            <w:r>
              <w:rPr>
                <w:color w:val="000000"/>
                <w:sz w:val="24"/>
                <w:szCs w:val="24"/>
              </w:rPr>
              <w:t>4</w:t>
            </w:r>
          </w:p>
        </w:tc>
        <w:tc>
          <w:tcPr>
            <w:tcW w:w="1334" w:type="dxa"/>
            <w:vAlign w:val="center"/>
          </w:tcPr>
          <w:p w:rsidR="005D2838" w:rsidRDefault="00CD504D">
            <w:pPr>
              <w:jc w:val="center"/>
            </w:pPr>
            <w:r>
              <w:rPr>
                <w:color w:val="000000"/>
                <w:sz w:val="24"/>
                <w:szCs w:val="24"/>
              </w:rPr>
              <w:t>600887</w:t>
            </w:r>
          </w:p>
        </w:tc>
        <w:tc>
          <w:tcPr>
            <w:tcW w:w="1777" w:type="dxa"/>
            <w:vAlign w:val="center"/>
          </w:tcPr>
          <w:p w:rsidR="005D2838" w:rsidRDefault="00CD504D">
            <w:pPr>
              <w:jc w:val="center"/>
            </w:pPr>
            <w:r>
              <w:rPr>
                <w:color w:val="000000"/>
                <w:sz w:val="24"/>
                <w:szCs w:val="24"/>
              </w:rPr>
              <w:t>伊利股份</w:t>
            </w:r>
          </w:p>
        </w:tc>
        <w:tc>
          <w:tcPr>
            <w:tcW w:w="1334" w:type="dxa"/>
            <w:vAlign w:val="center"/>
          </w:tcPr>
          <w:p w:rsidR="005D2838" w:rsidRDefault="00CD504D">
            <w:pPr>
              <w:jc w:val="right"/>
            </w:pPr>
            <w:r>
              <w:rPr>
                <w:color w:val="000000"/>
                <w:sz w:val="24"/>
                <w:szCs w:val="24"/>
              </w:rPr>
              <w:t>1,344,422</w:t>
            </w:r>
          </w:p>
        </w:tc>
        <w:tc>
          <w:tcPr>
            <w:tcW w:w="1924" w:type="dxa"/>
            <w:vAlign w:val="center"/>
          </w:tcPr>
          <w:p w:rsidR="005D2838" w:rsidRDefault="00CD504D">
            <w:pPr>
              <w:jc w:val="right"/>
            </w:pPr>
            <w:r>
              <w:rPr>
                <w:color w:val="000000"/>
                <w:sz w:val="24"/>
                <w:szCs w:val="24"/>
              </w:rPr>
              <w:t>43,276,944.18</w:t>
            </w:r>
          </w:p>
        </w:tc>
        <w:tc>
          <w:tcPr>
            <w:tcW w:w="1644" w:type="dxa"/>
            <w:vAlign w:val="center"/>
          </w:tcPr>
          <w:p w:rsidR="005D2838" w:rsidRDefault="00CD504D">
            <w:pPr>
              <w:jc w:val="right"/>
            </w:pPr>
            <w:r>
              <w:rPr>
                <w:color w:val="000000"/>
                <w:sz w:val="24"/>
                <w:szCs w:val="24"/>
              </w:rPr>
              <w:t>5.59</w:t>
            </w:r>
          </w:p>
        </w:tc>
      </w:tr>
      <w:tr w:rsidR="005D2838">
        <w:trPr>
          <w:jc w:val="center"/>
        </w:trPr>
        <w:tc>
          <w:tcPr>
            <w:tcW w:w="855" w:type="dxa"/>
            <w:vAlign w:val="center"/>
          </w:tcPr>
          <w:p w:rsidR="005D2838" w:rsidRDefault="00CD504D">
            <w:pPr>
              <w:jc w:val="center"/>
            </w:pPr>
            <w:r>
              <w:rPr>
                <w:color w:val="000000"/>
                <w:sz w:val="24"/>
                <w:szCs w:val="24"/>
              </w:rPr>
              <w:t>5</w:t>
            </w:r>
          </w:p>
        </w:tc>
        <w:tc>
          <w:tcPr>
            <w:tcW w:w="1334" w:type="dxa"/>
            <w:vAlign w:val="center"/>
          </w:tcPr>
          <w:p w:rsidR="005D2838" w:rsidRDefault="00CD504D">
            <w:pPr>
              <w:jc w:val="center"/>
            </w:pPr>
            <w:r>
              <w:rPr>
                <w:color w:val="000000"/>
                <w:sz w:val="24"/>
                <w:szCs w:val="24"/>
              </w:rPr>
              <w:t>601398</w:t>
            </w:r>
          </w:p>
        </w:tc>
        <w:tc>
          <w:tcPr>
            <w:tcW w:w="1777" w:type="dxa"/>
            <w:vAlign w:val="center"/>
          </w:tcPr>
          <w:p w:rsidR="005D2838" w:rsidRDefault="00CD504D">
            <w:pPr>
              <w:jc w:val="center"/>
            </w:pPr>
            <w:r>
              <w:rPr>
                <w:color w:val="000000"/>
                <w:sz w:val="24"/>
                <w:szCs w:val="24"/>
              </w:rPr>
              <w:t>工商银行</w:t>
            </w:r>
          </w:p>
        </w:tc>
        <w:tc>
          <w:tcPr>
            <w:tcW w:w="1334" w:type="dxa"/>
            <w:vAlign w:val="center"/>
          </w:tcPr>
          <w:p w:rsidR="005D2838" w:rsidRDefault="00CD504D">
            <w:pPr>
              <w:jc w:val="right"/>
            </w:pPr>
            <w:r>
              <w:rPr>
                <w:color w:val="000000"/>
                <w:sz w:val="24"/>
                <w:szCs w:val="24"/>
              </w:rPr>
              <w:t>6,457,100</w:t>
            </w:r>
          </w:p>
        </w:tc>
        <w:tc>
          <w:tcPr>
            <w:tcW w:w="1924" w:type="dxa"/>
            <w:vAlign w:val="center"/>
          </w:tcPr>
          <w:p w:rsidR="005D2838" w:rsidRDefault="00CD504D">
            <w:pPr>
              <w:jc w:val="right"/>
            </w:pPr>
            <w:r>
              <w:rPr>
                <w:color w:val="000000"/>
                <w:sz w:val="24"/>
                <w:szCs w:val="24"/>
              </w:rPr>
              <w:t>40,034,020.00</w:t>
            </w:r>
          </w:p>
        </w:tc>
        <w:tc>
          <w:tcPr>
            <w:tcW w:w="1644" w:type="dxa"/>
            <w:vAlign w:val="center"/>
          </w:tcPr>
          <w:p w:rsidR="005D2838" w:rsidRDefault="00CD504D">
            <w:pPr>
              <w:jc w:val="right"/>
            </w:pPr>
            <w:r>
              <w:rPr>
                <w:color w:val="000000"/>
                <w:sz w:val="24"/>
                <w:szCs w:val="24"/>
              </w:rPr>
              <w:t>5.17</w:t>
            </w:r>
          </w:p>
        </w:tc>
      </w:tr>
      <w:tr w:rsidR="005D2838">
        <w:trPr>
          <w:jc w:val="center"/>
        </w:trPr>
        <w:tc>
          <w:tcPr>
            <w:tcW w:w="855" w:type="dxa"/>
            <w:vAlign w:val="center"/>
          </w:tcPr>
          <w:p w:rsidR="005D2838" w:rsidRDefault="00CD504D">
            <w:pPr>
              <w:jc w:val="center"/>
            </w:pPr>
            <w:r>
              <w:rPr>
                <w:color w:val="000000"/>
                <w:sz w:val="24"/>
                <w:szCs w:val="24"/>
              </w:rPr>
              <w:t>6</w:t>
            </w:r>
          </w:p>
        </w:tc>
        <w:tc>
          <w:tcPr>
            <w:tcW w:w="1334" w:type="dxa"/>
            <w:vAlign w:val="center"/>
          </w:tcPr>
          <w:p w:rsidR="005D2838" w:rsidRDefault="00CD504D">
            <w:pPr>
              <w:jc w:val="center"/>
            </w:pPr>
            <w:r>
              <w:rPr>
                <w:color w:val="000000"/>
                <w:sz w:val="24"/>
                <w:szCs w:val="24"/>
              </w:rPr>
              <w:t>600486</w:t>
            </w:r>
          </w:p>
        </w:tc>
        <w:tc>
          <w:tcPr>
            <w:tcW w:w="1777" w:type="dxa"/>
            <w:vAlign w:val="center"/>
          </w:tcPr>
          <w:p w:rsidR="005D2838" w:rsidRDefault="00CD504D">
            <w:pPr>
              <w:jc w:val="center"/>
            </w:pPr>
            <w:r>
              <w:rPr>
                <w:color w:val="000000"/>
                <w:sz w:val="24"/>
                <w:szCs w:val="24"/>
              </w:rPr>
              <w:t>扬农化工</w:t>
            </w:r>
          </w:p>
        </w:tc>
        <w:tc>
          <w:tcPr>
            <w:tcW w:w="1334" w:type="dxa"/>
            <w:vAlign w:val="center"/>
          </w:tcPr>
          <w:p w:rsidR="005D2838" w:rsidRDefault="00CD504D">
            <w:pPr>
              <w:jc w:val="right"/>
            </w:pPr>
            <w:r>
              <w:rPr>
                <w:color w:val="000000"/>
                <w:sz w:val="24"/>
                <w:szCs w:val="24"/>
              </w:rPr>
              <w:t>781,920</w:t>
            </w:r>
          </w:p>
        </w:tc>
        <w:tc>
          <w:tcPr>
            <w:tcW w:w="1924" w:type="dxa"/>
            <w:vAlign w:val="center"/>
          </w:tcPr>
          <w:p w:rsidR="005D2838" w:rsidRDefault="00CD504D">
            <w:pPr>
              <w:jc w:val="right"/>
            </w:pPr>
            <w:r>
              <w:rPr>
                <w:color w:val="000000"/>
                <w:sz w:val="24"/>
                <w:szCs w:val="24"/>
              </w:rPr>
              <w:t>38,853,604.80</w:t>
            </w:r>
          </w:p>
        </w:tc>
        <w:tc>
          <w:tcPr>
            <w:tcW w:w="1644" w:type="dxa"/>
            <w:vAlign w:val="center"/>
          </w:tcPr>
          <w:p w:rsidR="005D2838" w:rsidRDefault="00CD504D">
            <w:pPr>
              <w:jc w:val="right"/>
            </w:pPr>
            <w:r>
              <w:rPr>
                <w:color w:val="000000"/>
                <w:sz w:val="24"/>
                <w:szCs w:val="24"/>
              </w:rPr>
              <w:t>5.02</w:t>
            </w:r>
          </w:p>
        </w:tc>
      </w:tr>
      <w:tr w:rsidR="005D2838">
        <w:trPr>
          <w:jc w:val="center"/>
        </w:trPr>
        <w:tc>
          <w:tcPr>
            <w:tcW w:w="855" w:type="dxa"/>
            <w:vAlign w:val="center"/>
          </w:tcPr>
          <w:p w:rsidR="005D2838" w:rsidRDefault="00CD504D">
            <w:pPr>
              <w:jc w:val="center"/>
            </w:pPr>
            <w:r>
              <w:rPr>
                <w:color w:val="000000"/>
                <w:sz w:val="24"/>
                <w:szCs w:val="24"/>
              </w:rPr>
              <w:t>7</w:t>
            </w:r>
          </w:p>
        </w:tc>
        <w:tc>
          <w:tcPr>
            <w:tcW w:w="1334" w:type="dxa"/>
            <w:vAlign w:val="center"/>
          </w:tcPr>
          <w:p w:rsidR="005D2838" w:rsidRDefault="00CD504D">
            <w:pPr>
              <w:jc w:val="center"/>
            </w:pPr>
            <w:r>
              <w:rPr>
                <w:color w:val="000000"/>
                <w:sz w:val="24"/>
                <w:szCs w:val="24"/>
              </w:rPr>
              <w:t>600036</w:t>
            </w:r>
          </w:p>
        </w:tc>
        <w:tc>
          <w:tcPr>
            <w:tcW w:w="1777" w:type="dxa"/>
            <w:vAlign w:val="center"/>
          </w:tcPr>
          <w:p w:rsidR="005D2838" w:rsidRDefault="00CD504D">
            <w:pPr>
              <w:jc w:val="center"/>
            </w:pPr>
            <w:r>
              <w:rPr>
                <w:color w:val="000000"/>
                <w:sz w:val="24"/>
                <w:szCs w:val="24"/>
              </w:rPr>
              <w:t>招商银行</w:t>
            </w:r>
          </w:p>
        </w:tc>
        <w:tc>
          <w:tcPr>
            <w:tcW w:w="1334" w:type="dxa"/>
            <w:vAlign w:val="center"/>
          </w:tcPr>
          <w:p w:rsidR="005D2838" w:rsidRDefault="00CD504D">
            <w:pPr>
              <w:jc w:val="right"/>
            </w:pPr>
            <w:r>
              <w:rPr>
                <w:color w:val="000000"/>
                <w:sz w:val="24"/>
                <w:szCs w:val="24"/>
              </w:rPr>
              <w:t>1,243,366</w:t>
            </w:r>
          </w:p>
        </w:tc>
        <w:tc>
          <w:tcPr>
            <w:tcW w:w="1924" w:type="dxa"/>
            <w:vAlign w:val="center"/>
          </w:tcPr>
          <w:p w:rsidR="005D2838" w:rsidRDefault="00CD504D">
            <w:pPr>
              <w:jc w:val="right"/>
            </w:pPr>
            <w:r>
              <w:rPr>
                <w:color w:val="000000"/>
                <w:sz w:val="24"/>
                <w:szCs w:val="24"/>
              </w:rPr>
              <w:t>36,082,481.32</w:t>
            </w:r>
          </w:p>
        </w:tc>
        <w:tc>
          <w:tcPr>
            <w:tcW w:w="1644" w:type="dxa"/>
            <w:vAlign w:val="center"/>
          </w:tcPr>
          <w:p w:rsidR="005D2838" w:rsidRDefault="00CD504D">
            <w:pPr>
              <w:jc w:val="right"/>
            </w:pPr>
            <w:r>
              <w:rPr>
                <w:color w:val="000000"/>
                <w:sz w:val="24"/>
                <w:szCs w:val="24"/>
              </w:rPr>
              <w:t>4.66</w:t>
            </w:r>
          </w:p>
        </w:tc>
      </w:tr>
      <w:tr w:rsidR="005D2838">
        <w:trPr>
          <w:jc w:val="center"/>
        </w:trPr>
        <w:tc>
          <w:tcPr>
            <w:tcW w:w="855" w:type="dxa"/>
            <w:vAlign w:val="center"/>
          </w:tcPr>
          <w:p w:rsidR="005D2838" w:rsidRDefault="00CD504D">
            <w:pPr>
              <w:jc w:val="center"/>
            </w:pPr>
            <w:r>
              <w:rPr>
                <w:color w:val="000000"/>
                <w:sz w:val="24"/>
                <w:szCs w:val="24"/>
              </w:rPr>
              <w:t>8</w:t>
            </w:r>
          </w:p>
        </w:tc>
        <w:tc>
          <w:tcPr>
            <w:tcW w:w="1334" w:type="dxa"/>
            <w:vAlign w:val="center"/>
          </w:tcPr>
          <w:p w:rsidR="005D2838" w:rsidRDefault="00CD504D">
            <w:pPr>
              <w:jc w:val="center"/>
            </w:pPr>
            <w:r>
              <w:rPr>
                <w:color w:val="000000"/>
                <w:sz w:val="24"/>
                <w:szCs w:val="24"/>
              </w:rPr>
              <w:t>000538</w:t>
            </w:r>
          </w:p>
        </w:tc>
        <w:tc>
          <w:tcPr>
            <w:tcW w:w="1777" w:type="dxa"/>
            <w:vAlign w:val="center"/>
          </w:tcPr>
          <w:p w:rsidR="005D2838" w:rsidRDefault="00CD504D">
            <w:pPr>
              <w:jc w:val="center"/>
            </w:pPr>
            <w:r>
              <w:rPr>
                <w:color w:val="000000"/>
                <w:sz w:val="24"/>
                <w:szCs w:val="24"/>
              </w:rPr>
              <w:t>云南白药</w:t>
            </w:r>
          </w:p>
        </w:tc>
        <w:tc>
          <w:tcPr>
            <w:tcW w:w="1334" w:type="dxa"/>
            <w:vAlign w:val="center"/>
          </w:tcPr>
          <w:p w:rsidR="005D2838" w:rsidRDefault="00CD504D">
            <w:pPr>
              <w:jc w:val="right"/>
            </w:pPr>
            <w:r>
              <w:rPr>
                <w:color w:val="000000"/>
                <w:sz w:val="24"/>
                <w:szCs w:val="24"/>
              </w:rPr>
              <w:t>315,443</w:t>
            </w:r>
          </w:p>
        </w:tc>
        <w:tc>
          <w:tcPr>
            <w:tcW w:w="1924" w:type="dxa"/>
            <w:vAlign w:val="center"/>
          </w:tcPr>
          <w:p w:rsidR="005D2838" w:rsidRDefault="00CD504D">
            <w:pPr>
              <w:jc w:val="right"/>
            </w:pPr>
            <w:r>
              <w:rPr>
                <w:color w:val="000000"/>
                <w:sz w:val="24"/>
                <w:szCs w:val="24"/>
              </w:rPr>
              <w:t>32,108,942.97</w:t>
            </w:r>
          </w:p>
        </w:tc>
        <w:tc>
          <w:tcPr>
            <w:tcW w:w="1644" w:type="dxa"/>
            <w:vAlign w:val="center"/>
          </w:tcPr>
          <w:p w:rsidR="005D2838" w:rsidRDefault="00CD504D">
            <w:pPr>
              <w:jc w:val="right"/>
            </w:pPr>
            <w:r>
              <w:rPr>
                <w:color w:val="000000"/>
                <w:sz w:val="24"/>
                <w:szCs w:val="24"/>
              </w:rPr>
              <w:t>4.15</w:t>
            </w:r>
          </w:p>
        </w:tc>
      </w:tr>
      <w:tr w:rsidR="005D2838">
        <w:trPr>
          <w:jc w:val="center"/>
        </w:trPr>
        <w:tc>
          <w:tcPr>
            <w:tcW w:w="855" w:type="dxa"/>
            <w:vAlign w:val="center"/>
          </w:tcPr>
          <w:p w:rsidR="005D2838" w:rsidRDefault="00CD504D">
            <w:pPr>
              <w:jc w:val="center"/>
            </w:pPr>
            <w:r>
              <w:rPr>
                <w:color w:val="000000"/>
                <w:sz w:val="24"/>
                <w:szCs w:val="24"/>
              </w:rPr>
              <w:t>9</w:t>
            </w:r>
          </w:p>
        </w:tc>
        <w:tc>
          <w:tcPr>
            <w:tcW w:w="1334" w:type="dxa"/>
            <w:vAlign w:val="center"/>
          </w:tcPr>
          <w:p w:rsidR="005D2838" w:rsidRDefault="00CD504D">
            <w:pPr>
              <w:jc w:val="center"/>
            </w:pPr>
            <w:r>
              <w:rPr>
                <w:color w:val="000000"/>
                <w:sz w:val="24"/>
                <w:szCs w:val="24"/>
              </w:rPr>
              <w:t>603108</w:t>
            </w:r>
          </w:p>
        </w:tc>
        <w:tc>
          <w:tcPr>
            <w:tcW w:w="1777" w:type="dxa"/>
            <w:vAlign w:val="center"/>
          </w:tcPr>
          <w:p w:rsidR="005D2838" w:rsidRDefault="00CD504D">
            <w:pPr>
              <w:jc w:val="center"/>
            </w:pPr>
            <w:r>
              <w:rPr>
                <w:color w:val="000000"/>
                <w:sz w:val="24"/>
                <w:szCs w:val="24"/>
              </w:rPr>
              <w:t>润达医疗</w:t>
            </w:r>
          </w:p>
        </w:tc>
        <w:tc>
          <w:tcPr>
            <w:tcW w:w="1334" w:type="dxa"/>
            <w:vAlign w:val="center"/>
          </w:tcPr>
          <w:p w:rsidR="005D2838" w:rsidRDefault="00CD504D">
            <w:pPr>
              <w:jc w:val="right"/>
            </w:pPr>
            <w:r>
              <w:rPr>
                <w:color w:val="000000"/>
                <w:sz w:val="24"/>
                <w:szCs w:val="24"/>
              </w:rPr>
              <w:t>2,453,042</w:t>
            </w:r>
          </w:p>
        </w:tc>
        <w:tc>
          <w:tcPr>
            <w:tcW w:w="1924" w:type="dxa"/>
            <w:vAlign w:val="center"/>
          </w:tcPr>
          <w:p w:rsidR="005D2838" w:rsidRDefault="00CD504D">
            <w:pPr>
              <w:jc w:val="right"/>
            </w:pPr>
            <w:r>
              <w:rPr>
                <w:color w:val="000000"/>
                <w:sz w:val="24"/>
                <w:szCs w:val="24"/>
              </w:rPr>
              <w:t>30,049,764.50</w:t>
            </w:r>
          </w:p>
        </w:tc>
        <w:tc>
          <w:tcPr>
            <w:tcW w:w="1644" w:type="dxa"/>
            <w:vAlign w:val="center"/>
          </w:tcPr>
          <w:p w:rsidR="005D2838" w:rsidRDefault="00CD504D">
            <w:pPr>
              <w:jc w:val="right"/>
            </w:pPr>
            <w:r>
              <w:rPr>
                <w:color w:val="000000"/>
                <w:sz w:val="24"/>
                <w:szCs w:val="24"/>
              </w:rPr>
              <w:t>3.88</w:t>
            </w:r>
          </w:p>
        </w:tc>
      </w:tr>
      <w:tr w:rsidR="005D2838">
        <w:trPr>
          <w:jc w:val="center"/>
        </w:trPr>
        <w:tc>
          <w:tcPr>
            <w:tcW w:w="855" w:type="dxa"/>
            <w:vAlign w:val="center"/>
          </w:tcPr>
          <w:p w:rsidR="005D2838" w:rsidRDefault="00CD504D">
            <w:pPr>
              <w:jc w:val="center"/>
            </w:pPr>
            <w:r>
              <w:rPr>
                <w:color w:val="000000"/>
                <w:sz w:val="24"/>
                <w:szCs w:val="24"/>
              </w:rPr>
              <w:t>10</w:t>
            </w:r>
          </w:p>
        </w:tc>
        <w:tc>
          <w:tcPr>
            <w:tcW w:w="1334" w:type="dxa"/>
            <w:vAlign w:val="center"/>
          </w:tcPr>
          <w:p w:rsidR="005D2838" w:rsidRDefault="00CD504D">
            <w:pPr>
              <w:jc w:val="center"/>
            </w:pPr>
            <w:r>
              <w:rPr>
                <w:color w:val="000000"/>
                <w:sz w:val="24"/>
                <w:szCs w:val="24"/>
              </w:rPr>
              <w:t>002027</w:t>
            </w:r>
          </w:p>
        </w:tc>
        <w:tc>
          <w:tcPr>
            <w:tcW w:w="1777" w:type="dxa"/>
            <w:vAlign w:val="center"/>
          </w:tcPr>
          <w:p w:rsidR="005D2838" w:rsidRDefault="00CD504D">
            <w:pPr>
              <w:jc w:val="center"/>
            </w:pPr>
            <w:r>
              <w:rPr>
                <w:color w:val="000000"/>
                <w:sz w:val="24"/>
                <w:szCs w:val="24"/>
              </w:rPr>
              <w:t>分众传媒</w:t>
            </w:r>
          </w:p>
        </w:tc>
        <w:tc>
          <w:tcPr>
            <w:tcW w:w="1334" w:type="dxa"/>
            <w:vAlign w:val="center"/>
          </w:tcPr>
          <w:p w:rsidR="005D2838" w:rsidRDefault="00CD504D">
            <w:pPr>
              <w:jc w:val="right"/>
            </w:pPr>
            <w:r>
              <w:rPr>
                <w:color w:val="000000"/>
                <w:sz w:val="24"/>
                <w:szCs w:val="24"/>
              </w:rPr>
              <w:t>1,950,000</w:t>
            </w:r>
          </w:p>
        </w:tc>
        <w:tc>
          <w:tcPr>
            <w:tcW w:w="1924" w:type="dxa"/>
            <w:vAlign w:val="center"/>
          </w:tcPr>
          <w:p w:rsidR="005D2838" w:rsidRDefault="00CD504D">
            <w:pPr>
              <w:jc w:val="right"/>
            </w:pPr>
            <w:r>
              <w:rPr>
                <w:color w:val="000000"/>
                <w:sz w:val="24"/>
                <w:szCs w:val="24"/>
              </w:rPr>
              <w:t>26,364,000.00</w:t>
            </w:r>
          </w:p>
        </w:tc>
        <w:tc>
          <w:tcPr>
            <w:tcW w:w="1644" w:type="dxa"/>
            <w:vAlign w:val="center"/>
          </w:tcPr>
          <w:p w:rsidR="005D2838" w:rsidRDefault="00CD504D">
            <w:pPr>
              <w:jc w:val="right"/>
            </w:pPr>
            <w:r>
              <w:rPr>
                <w:color w:val="000000"/>
                <w:sz w:val="24"/>
                <w:szCs w:val="24"/>
              </w:rPr>
              <w:t>3.41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339,616.52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26,052.37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265,463.96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631,132.85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D2838">
        <w:trPr>
          <w:jc w:val="center"/>
        </w:trPr>
        <w:tc>
          <w:tcPr>
            <w:tcW w:w="1129" w:type="dxa"/>
            <w:vAlign w:val="center"/>
          </w:tcPr>
          <w:p w:rsidR="005D2838" w:rsidRDefault="00CD504D">
            <w:pPr>
              <w:jc w:val="center"/>
            </w:pPr>
            <w:r>
              <w:rPr>
                <w:color w:val="000000"/>
                <w:sz w:val="24"/>
                <w:szCs w:val="24"/>
              </w:rPr>
              <w:t>1</w:t>
            </w:r>
          </w:p>
        </w:tc>
        <w:tc>
          <w:tcPr>
            <w:tcW w:w="1356" w:type="dxa"/>
            <w:vAlign w:val="center"/>
          </w:tcPr>
          <w:p w:rsidR="005D2838" w:rsidRDefault="00CD504D">
            <w:pPr>
              <w:jc w:val="center"/>
            </w:pPr>
            <w:r>
              <w:rPr>
                <w:color w:val="000000"/>
                <w:sz w:val="24"/>
                <w:szCs w:val="24"/>
              </w:rPr>
              <w:t>603986</w:t>
            </w:r>
          </w:p>
        </w:tc>
        <w:tc>
          <w:tcPr>
            <w:tcW w:w="1355" w:type="dxa"/>
            <w:vAlign w:val="center"/>
          </w:tcPr>
          <w:p w:rsidR="005D2838" w:rsidRDefault="00CD504D">
            <w:pPr>
              <w:jc w:val="center"/>
            </w:pPr>
            <w:r>
              <w:rPr>
                <w:color w:val="000000"/>
                <w:sz w:val="24"/>
                <w:szCs w:val="24"/>
              </w:rPr>
              <w:t>兆易创新</w:t>
            </w:r>
          </w:p>
        </w:tc>
        <w:tc>
          <w:tcPr>
            <w:tcW w:w="1880" w:type="dxa"/>
            <w:vAlign w:val="center"/>
          </w:tcPr>
          <w:p w:rsidR="005D2838" w:rsidRDefault="00CD504D">
            <w:pPr>
              <w:jc w:val="right"/>
            </w:pPr>
            <w:r>
              <w:rPr>
                <w:color w:val="000000"/>
                <w:sz w:val="24"/>
                <w:szCs w:val="24"/>
              </w:rPr>
              <w:t>46,925,489.52</w:t>
            </w:r>
          </w:p>
        </w:tc>
        <w:tc>
          <w:tcPr>
            <w:tcW w:w="1724" w:type="dxa"/>
            <w:vAlign w:val="center"/>
          </w:tcPr>
          <w:p w:rsidR="005D2838" w:rsidRDefault="00CD504D">
            <w:pPr>
              <w:jc w:val="right"/>
            </w:pPr>
            <w:r>
              <w:rPr>
                <w:color w:val="000000"/>
                <w:sz w:val="24"/>
                <w:szCs w:val="24"/>
              </w:rPr>
              <w:t>6.06</w:t>
            </w:r>
          </w:p>
        </w:tc>
        <w:tc>
          <w:tcPr>
            <w:tcW w:w="1424" w:type="dxa"/>
            <w:vAlign w:val="center"/>
          </w:tcPr>
          <w:p w:rsidR="005D2838" w:rsidRDefault="00CD504D">
            <w:pPr>
              <w:jc w:val="right"/>
            </w:pPr>
            <w:r>
              <w:rPr>
                <w:color w:val="000000"/>
                <w:sz w:val="24"/>
                <w:szCs w:val="24"/>
              </w:rPr>
              <w:t>重大事项</w:t>
            </w:r>
          </w:p>
        </w:tc>
      </w:tr>
      <w:tr w:rsidR="005D2838">
        <w:trPr>
          <w:jc w:val="center"/>
        </w:trPr>
        <w:tc>
          <w:tcPr>
            <w:tcW w:w="1129" w:type="dxa"/>
            <w:vAlign w:val="center"/>
          </w:tcPr>
          <w:p w:rsidR="005D2838" w:rsidRDefault="00CD504D">
            <w:pPr>
              <w:jc w:val="center"/>
            </w:pPr>
            <w:r>
              <w:rPr>
                <w:color w:val="000000"/>
                <w:sz w:val="24"/>
                <w:szCs w:val="24"/>
              </w:rPr>
              <w:t>2</w:t>
            </w:r>
          </w:p>
        </w:tc>
        <w:tc>
          <w:tcPr>
            <w:tcW w:w="1356" w:type="dxa"/>
            <w:vAlign w:val="center"/>
          </w:tcPr>
          <w:p w:rsidR="005D2838" w:rsidRDefault="00CD504D">
            <w:pPr>
              <w:jc w:val="center"/>
            </w:pPr>
            <w:r>
              <w:rPr>
                <w:color w:val="000000"/>
                <w:sz w:val="24"/>
                <w:szCs w:val="24"/>
              </w:rPr>
              <w:t>002027</w:t>
            </w:r>
          </w:p>
        </w:tc>
        <w:tc>
          <w:tcPr>
            <w:tcW w:w="1355" w:type="dxa"/>
            <w:vAlign w:val="center"/>
          </w:tcPr>
          <w:p w:rsidR="005D2838" w:rsidRDefault="00CD504D">
            <w:pPr>
              <w:jc w:val="center"/>
            </w:pPr>
            <w:r>
              <w:rPr>
                <w:color w:val="000000"/>
                <w:sz w:val="24"/>
                <w:szCs w:val="24"/>
              </w:rPr>
              <w:t>分众传媒</w:t>
            </w:r>
          </w:p>
        </w:tc>
        <w:tc>
          <w:tcPr>
            <w:tcW w:w="1880" w:type="dxa"/>
            <w:vAlign w:val="center"/>
          </w:tcPr>
          <w:p w:rsidR="005D2838" w:rsidRDefault="00CD504D">
            <w:pPr>
              <w:jc w:val="right"/>
            </w:pPr>
            <w:r>
              <w:rPr>
                <w:color w:val="000000"/>
                <w:sz w:val="24"/>
                <w:szCs w:val="24"/>
              </w:rPr>
              <w:t>26,364,000.00</w:t>
            </w:r>
          </w:p>
        </w:tc>
        <w:tc>
          <w:tcPr>
            <w:tcW w:w="1724" w:type="dxa"/>
            <w:vAlign w:val="center"/>
          </w:tcPr>
          <w:p w:rsidR="005D2838" w:rsidRDefault="00CD504D">
            <w:pPr>
              <w:jc w:val="right"/>
            </w:pPr>
            <w:r>
              <w:rPr>
                <w:color w:val="000000"/>
                <w:sz w:val="24"/>
                <w:szCs w:val="24"/>
              </w:rPr>
              <w:t>3.41</w:t>
            </w:r>
          </w:p>
        </w:tc>
        <w:tc>
          <w:tcPr>
            <w:tcW w:w="1424" w:type="dxa"/>
            <w:vAlign w:val="center"/>
          </w:tcPr>
          <w:p w:rsidR="005D2838" w:rsidRDefault="00CD504D">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897,443,347.97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172,286,161.97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322,311,541.85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747,417,968.09</w:t>
            </w:r>
          </w:p>
        </w:tc>
      </w:tr>
    </w:tbl>
    <w:p w:rsidR="005D2838" w:rsidRDefault="00CD50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1.98</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w:t>
            </w:r>
            <w:r w:rsidRPr="004F4D27">
              <w:rPr>
                <w:rFonts w:ascii="宋体" w:hAnsi="宋体" w:hint="eastAsia"/>
                <w:color w:val="000000"/>
                <w:kern w:val="0"/>
              </w:rPr>
              <w:lastRenderedPageBreak/>
              <w:t>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lastRenderedPageBreak/>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D2838">
        <w:tc>
          <w:tcPr>
            <w:tcW w:w="993" w:type="dxa"/>
            <w:vMerge w:val="restart"/>
          </w:tcPr>
          <w:p w:rsidR="005D2838" w:rsidRDefault="005D2838"/>
          <w:p w:rsidR="005D2838" w:rsidRDefault="00CD504D">
            <w:r>
              <w:rPr>
                <w:rFonts w:ascii="宋体" w:hAnsi="宋体" w:hint="eastAsia"/>
                <w:bCs/>
                <w:color w:val="000000"/>
                <w:kern w:val="0"/>
              </w:rPr>
              <w:t>机构</w:t>
            </w:r>
          </w:p>
        </w:tc>
        <w:tc>
          <w:tcPr>
            <w:tcW w:w="992" w:type="dxa"/>
            <w:vAlign w:val="center"/>
          </w:tcPr>
          <w:p w:rsidR="005D2838" w:rsidRDefault="00CD504D">
            <w:pPr>
              <w:jc w:val="center"/>
            </w:pPr>
            <w:r>
              <w:rPr>
                <w:rFonts w:ascii="宋体" w:hAnsi="宋体"/>
                <w:color w:val="000000"/>
                <w:kern w:val="0"/>
              </w:rPr>
              <w:t>1</w:t>
            </w:r>
          </w:p>
        </w:tc>
        <w:tc>
          <w:tcPr>
            <w:tcW w:w="1843" w:type="dxa"/>
            <w:vAlign w:val="center"/>
          </w:tcPr>
          <w:p w:rsidR="005D2838" w:rsidRDefault="00CD504D">
            <w:pPr>
              <w:jc w:val="center"/>
            </w:pPr>
            <w:r>
              <w:rPr>
                <w:rFonts w:ascii="宋体" w:hAnsi="宋体"/>
                <w:color w:val="000000"/>
                <w:kern w:val="0"/>
              </w:rPr>
              <w:t>2017/10/1-2017/12/31</w:t>
            </w:r>
          </w:p>
        </w:tc>
        <w:tc>
          <w:tcPr>
            <w:tcW w:w="851" w:type="dxa"/>
            <w:vAlign w:val="center"/>
          </w:tcPr>
          <w:p w:rsidR="005D2838" w:rsidRDefault="00CD504D">
            <w:pPr>
              <w:jc w:val="center"/>
            </w:pPr>
            <w:r>
              <w:rPr>
                <w:rFonts w:ascii="宋体" w:hAnsi="宋体"/>
                <w:color w:val="000000"/>
                <w:kern w:val="0"/>
              </w:rPr>
              <w:t>178,252,228.16</w:t>
            </w:r>
          </w:p>
        </w:tc>
        <w:tc>
          <w:tcPr>
            <w:tcW w:w="850" w:type="dxa"/>
            <w:vAlign w:val="center"/>
          </w:tcPr>
          <w:p w:rsidR="005D2838" w:rsidRDefault="00CD504D">
            <w:pPr>
              <w:jc w:val="center"/>
            </w:pPr>
            <w:r>
              <w:rPr>
                <w:rFonts w:ascii="宋体" w:hAnsi="宋体"/>
                <w:color w:val="000000"/>
                <w:kern w:val="0"/>
              </w:rPr>
              <w:t>-</w:t>
            </w:r>
          </w:p>
        </w:tc>
        <w:tc>
          <w:tcPr>
            <w:tcW w:w="1134" w:type="dxa"/>
            <w:vAlign w:val="center"/>
          </w:tcPr>
          <w:p w:rsidR="005D2838" w:rsidRDefault="00CD504D">
            <w:pPr>
              <w:jc w:val="center"/>
            </w:pPr>
            <w:r>
              <w:rPr>
                <w:rFonts w:ascii="宋体" w:hAnsi="宋体"/>
                <w:color w:val="000000"/>
                <w:kern w:val="0"/>
              </w:rPr>
              <w:t>-</w:t>
            </w:r>
          </w:p>
        </w:tc>
        <w:tc>
          <w:tcPr>
            <w:tcW w:w="1419" w:type="dxa"/>
            <w:vAlign w:val="center"/>
          </w:tcPr>
          <w:p w:rsidR="005D2838" w:rsidRDefault="00CD504D">
            <w:pPr>
              <w:jc w:val="center"/>
            </w:pPr>
            <w:r>
              <w:rPr>
                <w:rFonts w:ascii="宋体" w:hAnsi="宋体"/>
                <w:color w:val="000000"/>
                <w:kern w:val="0"/>
              </w:rPr>
              <w:t>178,252,228.16</w:t>
            </w:r>
          </w:p>
        </w:tc>
        <w:tc>
          <w:tcPr>
            <w:tcW w:w="1130" w:type="dxa"/>
            <w:vAlign w:val="center"/>
          </w:tcPr>
          <w:p w:rsidR="005D2838" w:rsidRDefault="00CD504D">
            <w:pPr>
              <w:jc w:val="center"/>
            </w:pPr>
            <w:r>
              <w:rPr>
                <w:rFonts w:ascii="宋体" w:hAnsi="宋体"/>
                <w:color w:val="000000"/>
                <w:kern w:val="0"/>
              </w:rPr>
              <w:t>23.85%</w:t>
            </w:r>
          </w:p>
        </w:tc>
      </w:tr>
      <w:tr w:rsidR="005D2838">
        <w:tc>
          <w:tcPr>
            <w:tcW w:w="993" w:type="dxa"/>
            <w:vMerge/>
          </w:tcPr>
          <w:p w:rsidR="005D2838" w:rsidRDefault="005D2838"/>
        </w:tc>
        <w:tc>
          <w:tcPr>
            <w:tcW w:w="992" w:type="dxa"/>
            <w:vAlign w:val="center"/>
          </w:tcPr>
          <w:p w:rsidR="005D2838" w:rsidRDefault="00CD504D">
            <w:pPr>
              <w:jc w:val="center"/>
            </w:pPr>
            <w:r>
              <w:rPr>
                <w:rFonts w:ascii="宋体" w:hAnsi="宋体"/>
                <w:color w:val="000000"/>
                <w:kern w:val="0"/>
              </w:rPr>
              <w:t>2</w:t>
            </w:r>
          </w:p>
        </w:tc>
        <w:tc>
          <w:tcPr>
            <w:tcW w:w="1843" w:type="dxa"/>
            <w:vAlign w:val="center"/>
          </w:tcPr>
          <w:p w:rsidR="005D2838" w:rsidRDefault="00CD504D">
            <w:pPr>
              <w:jc w:val="center"/>
            </w:pPr>
            <w:r>
              <w:rPr>
                <w:rFonts w:ascii="宋体" w:hAnsi="宋体"/>
                <w:color w:val="000000"/>
                <w:kern w:val="0"/>
              </w:rPr>
              <w:t>2017/10/1-2017/12/31</w:t>
            </w:r>
          </w:p>
        </w:tc>
        <w:tc>
          <w:tcPr>
            <w:tcW w:w="851" w:type="dxa"/>
            <w:vAlign w:val="center"/>
          </w:tcPr>
          <w:p w:rsidR="005D2838" w:rsidRDefault="00CD504D">
            <w:pPr>
              <w:jc w:val="center"/>
            </w:pPr>
            <w:r>
              <w:rPr>
                <w:rFonts w:ascii="宋体" w:hAnsi="宋体"/>
                <w:color w:val="000000"/>
                <w:kern w:val="0"/>
              </w:rPr>
              <w:t>187,163,992.87</w:t>
            </w:r>
          </w:p>
        </w:tc>
        <w:tc>
          <w:tcPr>
            <w:tcW w:w="850" w:type="dxa"/>
            <w:vAlign w:val="center"/>
          </w:tcPr>
          <w:p w:rsidR="005D2838" w:rsidRDefault="00CD504D">
            <w:pPr>
              <w:jc w:val="center"/>
            </w:pPr>
            <w:r>
              <w:rPr>
                <w:rFonts w:ascii="宋体" w:hAnsi="宋体"/>
                <w:color w:val="000000"/>
                <w:kern w:val="0"/>
              </w:rPr>
              <w:t>-</w:t>
            </w:r>
          </w:p>
        </w:tc>
        <w:tc>
          <w:tcPr>
            <w:tcW w:w="1134" w:type="dxa"/>
            <w:vAlign w:val="center"/>
          </w:tcPr>
          <w:p w:rsidR="005D2838" w:rsidRDefault="00CD504D">
            <w:pPr>
              <w:jc w:val="center"/>
            </w:pPr>
            <w:r>
              <w:rPr>
                <w:rFonts w:ascii="宋体" w:hAnsi="宋体"/>
                <w:color w:val="000000"/>
                <w:kern w:val="0"/>
              </w:rPr>
              <w:t>23,688,948.31</w:t>
            </w:r>
          </w:p>
        </w:tc>
        <w:tc>
          <w:tcPr>
            <w:tcW w:w="1419" w:type="dxa"/>
            <w:vAlign w:val="center"/>
          </w:tcPr>
          <w:p w:rsidR="005D2838" w:rsidRDefault="00CD504D">
            <w:pPr>
              <w:jc w:val="center"/>
            </w:pPr>
            <w:r>
              <w:rPr>
                <w:rFonts w:ascii="宋体" w:hAnsi="宋体"/>
                <w:color w:val="000000"/>
                <w:kern w:val="0"/>
              </w:rPr>
              <w:t>163,475,044.56</w:t>
            </w:r>
          </w:p>
        </w:tc>
        <w:tc>
          <w:tcPr>
            <w:tcW w:w="1130" w:type="dxa"/>
            <w:vAlign w:val="center"/>
          </w:tcPr>
          <w:p w:rsidR="005D2838" w:rsidRDefault="00CD504D">
            <w:pPr>
              <w:jc w:val="center"/>
            </w:pPr>
            <w:r>
              <w:rPr>
                <w:rFonts w:ascii="宋体" w:hAnsi="宋体"/>
                <w:color w:val="000000"/>
                <w:kern w:val="0"/>
              </w:rPr>
              <w:t>21.87%</w:t>
            </w:r>
          </w:p>
        </w:tc>
      </w:tr>
      <w:tr w:rsidR="005D2838">
        <w:tc>
          <w:tcPr>
            <w:tcW w:w="993" w:type="dxa"/>
            <w:vMerge/>
          </w:tcPr>
          <w:p w:rsidR="005D2838" w:rsidRDefault="005D2838"/>
        </w:tc>
        <w:tc>
          <w:tcPr>
            <w:tcW w:w="992" w:type="dxa"/>
            <w:vAlign w:val="center"/>
          </w:tcPr>
          <w:p w:rsidR="005D2838" w:rsidRDefault="00CD504D">
            <w:pPr>
              <w:jc w:val="center"/>
            </w:pPr>
            <w:r>
              <w:rPr>
                <w:rFonts w:ascii="宋体" w:hAnsi="宋体"/>
                <w:color w:val="000000"/>
                <w:kern w:val="0"/>
              </w:rPr>
              <w:t>3</w:t>
            </w:r>
          </w:p>
        </w:tc>
        <w:tc>
          <w:tcPr>
            <w:tcW w:w="1843" w:type="dxa"/>
            <w:vAlign w:val="center"/>
          </w:tcPr>
          <w:p w:rsidR="005D2838" w:rsidRDefault="00CD504D">
            <w:pPr>
              <w:jc w:val="center"/>
            </w:pPr>
            <w:r>
              <w:rPr>
                <w:rFonts w:ascii="宋体" w:hAnsi="宋体"/>
                <w:color w:val="000000"/>
                <w:kern w:val="0"/>
              </w:rPr>
              <w:t>2017/10/1-2017/12/31</w:t>
            </w:r>
          </w:p>
        </w:tc>
        <w:tc>
          <w:tcPr>
            <w:tcW w:w="851" w:type="dxa"/>
            <w:vAlign w:val="center"/>
          </w:tcPr>
          <w:p w:rsidR="005D2838" w:rsidRDefault="00CD504D">
            <w:pPr>
              <w:jc w:val="center"/>
            </w:pPr>
            <w:r>
              <w:rPr>
                <w:rFonts w:ascii="宋体" w:hAnsi="宋体"/>
                <w:color w:val="000000"/>
                <w:kern w:val="0"/>
              </w:rPr>
              <w:t>178,093,499.55</w:t>
            </w:r>
          </w:p>
        </w:tc>
        <w:tc>
          <w:tcPr>
            <w:tcW w:w="850" w:type="dxa"/>
            <w:vAlign w:val="center"/>
          </w:tcPr>
          <w:p w:rsidR="005D2838" w:rsidRDefault="00CD504D">
            <w:pPr>
              <w:jc w:val="center"/>
            </w:pPr>
            <w:r>
              <w:rPr>
                <w:rFonts w:ascii="宋体" w:hAnsi="宋体"/>
                <w:color w:val="000000"/>
                <w:kern w:val="0"/>
              </w:rPr>
              <w:t>-</w:t>
            </w:r>
          </w:p>
        </w:tc>
        <w:tc>
          <w:tcPr>
            <w:tcW w:w="1134" w:type="dxa"/>
            <w:vAlign w:val="center"/>
          </w:tcPr>
          <w:p w:rsidR="005D2838" w:rsidRDefault="00CD504D">
            <w:pPr>
              <w:jc w:val="center"/>
            </w:pPr>
            <w:r>
              <w:rPr>
                <w:rFonts w:ascii="宋体" w:hAnsi="宋体"/>
                <w:color w:val="000000"/>
                <w:kern w:val="0"/>
              </w:rPr>
              <w:t>-</w:t>
            </w:r>
          </w:p>
        </w:tc>
        <w:tc>
          <w:tcPr>
            <w:tcW w:w="1419" w:type="dxa"/>
            <w:vAlign w:val="center"/>
          </w:tcPr>
          <w:p w:rsidR="005D2838" w:rsidRDefault="00CD504D">
            <w:pPr>
              <w:jc w:val="center"/>
            </w:pPr>
            <w:r>
              <w:rPr>
                <w:rFonts w:ascii="宋体" w:hAnsi="宋体"/>
                <w:color w:val="000000"/>
                <w:kern w:val="0"/>
              </w:rPr>
              <w:t>178,093,499.55</w:t>
            </w:r>
          </w:p>
        </w:tc>
        <w:tc>
          <w:tcPr>
            <w:tcW w:w="1130" w:type="dxa"/>
            <w:vAlign w:val="center"/>
          </w:tcPr>
          <w:p w:rsidR="005D2838" w:rsidRDefault="00CD504D">
            <w:pPr>
              <w:jc w:val="center"/>
            </w:pPr>
            <w:r>
              <w:rPr>
                <w:rFonts w:ascii="宋体" w:hAnsi="宋体"/>
                <w:color w:val="000000"/>
                <w:kern w:val="0"/>
              </w:rPr>
              <w:t>23.83%</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D2838" w:rsidRDefault="00CD504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5D2838" w:rsidRDefault="00CD504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5D2838" w:rsidRDefault="00CD504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5D2838" w:rsidRDefault="00CD504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5D2838" w:rsidRDefault="00CD504D">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5D2838" w:rsidRDefault="00CD504D">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5D2838" w:rsidRDefault="00CD504D">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5D2838" w:rsidRDefault="00CD504D">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5D2838" w:rsidRDefault="00CD504D">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5D2838" w:rsidRDefault="00CD504D">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5D2838" w:rsidRDefault="00CD504D">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D2838" w:rsidRDefault="00CD504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C82" w:rsidRDefault="00AD3C82" w:rsidP="00876D65">
      <w:r>
        <w:separator/>
      </w:r>
    </w:p>
  </w:endnote>
  <w:endnote w:type="continuationSeparator" w:id="0">
    <w:p w:rsidR="00AD3C82" w:rsidRDefault="00AD3C8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5226D">
      <w:rPr>
        <w:noProof/>
        <w:kern w:val="0"/>
        <w:szCs w:val="21"/>
      </w:rPr>
      <w:t>3</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5226D">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C82" w:rsidRDefault="00AD3C82" w:rsidP="00876D65">
      <w:r>
        <w:separator/>
      </w:r>
    </w:p>
  </w:footnote>
  <w:footnote w:type="continuationSeparator" w:id="0">
    <w:p w:rsidR="00AD3C82" w:rsidRDefault="00AD3C8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838"/>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D3C82"/>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04D"/>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26D"/>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5D7D5D-5CAF-4F8C-B429-F286E73B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4041-6E6D-4146-9DE4-FEC0C518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12</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567</cp:revision>
  <dcterms:created xsi:type="dcterms:W3CDTF">2012-10-16T06:07:00Z</dcterms:created>
  <dcterms:modified xsi:type="dcterms:W3CDTF">2018-01-18T03:10:00Z</dcterms:modified>
</cp:coreProperties>
</file>