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交银施罗德深证300价值交易型开放式指数证券投资基金联接基金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2017年第4季度报告</w:t>
      </w:r>
    </w:p>
    <w:p w:rsidR="00943748" w:rsidRPr="006C615F" w:rsidRDefault="003251EE" w:rsidP="00B04217">
      <w:pPr>
        <w:spacing w:before="29" w:line="288" w:lineRule="auto"/>
        <w:jc w:val="center"/>
        <w:rPr>
          <w:b/>
          <w:sz w:val="36"/>
          <w:szCs w:val="36"/>
        </w:rPr>
      </w:pPr>
      <w:r w:rsidRPr="006C615F">
        <w:rPr>
          <w:b/>
          <w:sz w:val="36"/>
          <w:szCs w:val="36"/>
        </w:rPr>
        <w:t>2017年12月31日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412E7F">
          <w:headerReference w:type="default" r:id="rId8"/>
          <w:footerReference w:type="default" r:id="rId9"/>
          <w:pgSz w:w="11926" w:h="15840"/>
          <w:pgMar w:top="1418" w:right="1440" w:bottom="851" w:left="1440" w:header="851" w:footer="992" w:gutter="0"/>
          <w:cols w:space="720"/>
          <w:noEndnote/>
        </w:sectPr>
      </w:pPr>
      <w:r w:rsidRPr="006C615F">
        <w:rPr>
          <w:b/>
          <w:color w:val="000000"/>
          <w:sz w:val="24"/>
        </w:rPr>
        <w:t>报告送出日期：</w:t>
      </w:r>
      <w:r w:rsidR="00AB5C7D" w:rsidRPr="006C615F">
        <w:rPr>
          <w:b/>
          <w:color w:val="000000"/>
          <w:sz w:val="24"/>
        </w:rPr>
        <w:t/>
      </w:r>
      <w:r w:rsidR="003251EE" w:rsidRPr="006C615F">
        <w:rPr>
          <w:b/>
          <w:color w:val="000000"/>
          <w:sz w:val="24"/>
        </w:rPr>
        <w:t/>
      </w:r>
      <w:r w:rsidR="00AB5C7D" w:rsidRPr="006C615F">
        <w:rPr>
          <w:b/>
          <w:color w:val="000000"/>
          <w:sz w:val="24"/>
        </w:rPr>
        <w:t>二〇一八年一月二十二日</w:t>
      </w:r>
    </w:p>
    <w:p w:rsidR="00220542" w:rsidRPr="00324C76" w:rsidRDefault="00220542" w:rsidP="0047622F">
      <w:pPr>
        <w:pStyle w:val="1"/>
        <w:spacing w:beforeLines="100" w:afterLines="100"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pPr>
        <w:spacing w:before="29" w:line="288" w:lineRule="auto"/>
        <w:ind w:firstLineChars="200" w:firstLine="48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Chars="200" w:firstLine="480"/>
        <w:rPr>
          <w:color w:val="000000"/>
          <w:sz w:val="24"/>
        </w:rPr>
      </w:pPr>
      <w:r>
        <w:rPr>
          <w:color w:val="000000"/>
          <w:sz w:val="24"/>
        </w:rPr>
        <w:t xml:space="preserve">基金托管人中国农业银行股份有限公司根据本基金合同规定，于2018年1月19日复核了本报告中的财务指标、净值表现和投资组合报告等内容，保证复核内容不存在虚假记载、误导性陈述或者重大遗漏。 </w:t>
      </w:r>
    </w:p>
    <w:p>
      <w:pPr>
        <w:spacing w:before="29" w:line="288" w:lineRule="auto"/>
        <w:ind w:firstLineChars="200" w:firstLine="48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Chars="200" w:firstLine="480"/>
        <w:rPr>
          <w:color w:val="000000"/>
          <w:sz w:val="24"/>
        </w:rPr>
      </w:pPr>
      <w:r>
        <w:rPr>
          <w:color w:val="000000"/>
          <w:sz w:val="24"/>
        </w:rPr>
        <w:t xml:space="preserve">基金的过往业绩并不代表其未来表现。投资有风险，投资者在作出投资决策前应仔细阅读本基金的招募说明书。 </w:t>
      </w:r>
    </w:p>
    <w:p>
      <w:pPr>
        <w:spacing w:before="29" w:line="288" w:lineRule="auto"/>
        <w:ind w:firstLineChars="200" w:firstLine="480"/>
        <w:rPr>
          <w:color w:val="000000"/>
          <w:sz w:val="24"/>
        </w:rPr>
      </w:pPr>
      <w:r>
        <w:rPr>
          <w:color w:val="000000"/>
          <w:sz w:val="24"/>
        </w:rPr>
        <w:t>本报告中财务资料未经审计。</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本报告期自2017年10月1日起至12月31日止。</w:t>
      </w:r>
    </w:p>
    <w:p w:rsidR="002A5D65" w:rsidRPr="00324C76" w:rsidRDefault="002A5D65" w:rsidP="00B04217">
      <w:pPr>
        <w:spacing w:before="29" w:line="288" w:lineRule="auto"/>
        <w:ind w:firstLineChars="200" w:firstLine="480"/>
        <w:rPr>
          <w:sz w:val="24"/>
        </w:rPr>
      </w:pPr>
    </w:p>
    <w:p w:rsidR="00220542" w:rsidRPr="00324C76" w:rsidRDefault="00220542" w:rsidP="0047622F">
      <w:pPr>
        <w:pStyle w:val="1"/>
        <w:spacing w:beforeLines="100" w:afterLines="100"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交银深证300价值ETF联接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2011年9月28日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37,030,624.51</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ETF、标的指数成份股和备选成份股进行被动式指数化投资，正常情况下投资于目标ETF的资产比例不低于基金资产净值的90%，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深证300价值价格指数收益率×95%＋银行活期存款税后收益率×5%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ETF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深证300价值交易型开放式指数证券投资基金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159913</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
            </w:r>
            <w:r w:rsidR="003D1893" w:rsidRPr="00324C76">
              <w:rPr>
                <w:sz w:val="24"/>
              </w:rPr>
              <w:t/>
            </w:r>
            <w:r w:rsidRPr="00324C76">
              <w:rPr>
                <w:sz w:val="24"/>
              </w:rPr>
              <w:t>2011年9月22日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w:t>
            </w:r>
            <w:r w:rsidRPr="00324C76">
              <w:rPr>
                <w:kern w:val="0"/>
                <w:sz w:val="24"/>
              </w:rPr>
              <w:lastRenderedPageBreak/>
              <w:t>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lastRenderedPageBreak/>
              <w:t/>
            </w:r>
            <w:r w:rsidRPr="00324C76">
              <w:rPr>
                <w:sz w:val="24"/>
              </w:rPr>
              <w:lastRenderedPageBreak/>
              <w:t>深圳证券交易所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lastRenderedPageBreak/>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
            </w:r>
            <w:r w:rsidR="00F840F0" w:rsidRPr="00324C76">
              <w:rPr>
                <w:sz w:val="24"/>
              </w:rPr>
              <w:t/>
            </w:r>
            <w:r w:rsidRPr="00324C76">
              <w:rPr>
                <w:sz w:val="24"/>
              </w:rPr>
              <w:t>2011年10月25日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324C76">
          <w:rPr>
            <w:rFonts w:ascii="Times New Roman" w:hAnsi="Times New Roman" w:cs="Times New Roman"/>
            <w:szCs w:val="24"/>
          </w:rPr>
          <w:t>2.1.2</w:t>
        </w:r>
      </w:smartTag>
      <w:r w:rsidR="00B51C7C" w:rsidRPr="00324C76">
        <w:rPr>
          <w:rFonts w:ascii="Times New Roman" w:hAnsi="Times New Roman" w:cs="Times New Roman"/>
          <w:szCs w:val="24"/>
        </w:rPr>
        <w:t>目标基金产品说明</w:t>
      </w:r>
    </w:p>
    <w:tbl>
      <w:tblPr>
        <w:tblW w:w="8868" w:type="dxa"/>
        <w:jc w:val="center"/>
        <w:tblLook w:val="000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紧密跟踪标的指数，追求跟踪偏离度和跟踪误差最小化。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绝大部分资产采用完全复制法，跟踪深证300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深证300价值价格指数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本基金属于股票基金，风险与预期收益高于混合基金、债券基金与货币市场基金。同时本基金为指数型基金，具有与标的指数、以及标的指数所代表的股票市场相似的风险收益特征。</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47622F">
      <w:pPr>
        <w:pStyle w:val="1"/>
        <w:spacing w:beforeLines="100" w:afterLines="100"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7"/>
        <w:gridCol w:w="2706"/>
        <w:gridCol w:w="2555"/>
      </w:tblGrid>
      <w:tr w:rsidR="00ED6C22" w:rsidRPr="00324C76" w:rsidTr="0091601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r w:rsidR="00076821" w:rsidRPr="00324C76">
              <w:rPr>
                <w:kern w:val="0"/>
                <w:sz w:val="24"/>
              </w:rPr>
              <w:t/>
            </w:r>
          </w:p>
        </w:tc>
        <w:tc>
          <w:tcPr>
            <w:tcW w:w="4962" w:type="dxa"/>
            <w:hMerge w:val="restart"/>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2017年10月1日-2017年12月31日</w:t>
            </w:r>
            <w:r w:rsidR="00F53C6A" w:rsidRPr="00324C76">
              <w:rPr>
                <w:color w:val="000000"/>
                <w:kern w:val="0"/>
                <w:sz w:val="24"/>
              </w:rPr>
              <w:t>)</w:t>
            </w:r>
          </w:p>
        </w:tc>
        <w:tc>
          <w:tcPr>
            <w:tcW w:w="2410" w:type="dxa"/>
            <w:hMerge/>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color w:val="000000"/>
                <w:sz w:val="24"/>
              </w:rPr>
            </w:pPr>
            <w:r w:rsidRPr="00324C76">
              <w:rPr>
                <w:color w:val="000000"/>
                <w:sz w:val="24"/>
              </w:rPr>
              <w:t>上期金额</w:t>
            </w:r>
            <w:r w:rsidR="00A7041B" w:rsidRPr="00324C76">
              <w:rPr>
                <w:color w:val="000000"/>
                <w:sz w:val="24"/>
              </w:rPr>
              <w:t/>
            </w:r>
          </w:p>
        </w:tc>
      </w:tr>
      <w:tr w:rsidR="00ED6C22" w:rsidRPr="00324C76" w:rsidTr="0091601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hMerge w:val="restart"/>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164,635.08</w:t>
            </w:r>
          </w:p>
        </w:tc>
        <w:tc>
          <w:tcPr>
            <w:tcW w:w="2410" w:type="dxa"/>
            <w:hMerge/>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hMerge w:val="restart"/>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5,210,526.78</w:t>
            </w:r>
          </w:p>
        </w:tc>
        <w:tc>
          <w:tcPr>
            <w:tcW w:w="2410" w:type="dxa"/>
            <w:hMerge/>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hMerge w:val="restart"/>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0.1421</w:t>
            </w:r>
          </w:p>
        </w:tc>
        <w:tc>
          <w:tcPr>
            <w:tcW w:w="2410" w:type="dxa"/>
            <w:hMerge/>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hMerge w:val="restart"/>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65,713,979.15</w:t>
            </w:r>
          </w:p>
        </w:tc>
        <w:tc>
          <w:tcPr>
            <w:tcW w:w="2410" w:type="dxa"/>
            <w:hMerge/>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hMerge w:val="restart"/>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1.775</w:t>
            </w:r>
          </w:p>
        </w:tc>
        <w:tc>
          <w:tcPr>
            <w:tcW w:w="2410" w:type="dxa"/>
            <w:hMerge/>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bl>
    <w:p>
      <w:pPr>
        <w:autoSpaceDE w:val="0"/>
        <w:autoSpaceDN w:val="0"/>
        <w:adjustRightInd w:val="0"/>
        <w:spacing w:before="29" w:line="288" w:lineRule="auto"/>
        <w:jc w:val="left"/>
        <w:rPr>
          <w:color w:val="000000"/>
          <w:sz w:val="24"/>
        </w:rPr>
      </w:pPr>
      <w:r>
        <w:rPr>
          <w:color w:val="000000"/>
          <w:sz w:val="24"/>
        </w:rPr>
        <w:t>注：1、上述基金业绩指标不包括持有人认购或交易基金的各项费用，计入费用后的实际收益水平要低于所列数字；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324C76">
          <w:rPr>
            <w:b/>
            <w:kern w:val="0"/>
            <w:sz w:val="24"/>
          </w:rPr>
          <w:t>3.2.1</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r w:rsidR="00756731" w:rsidRPr="00324C76">
              <w:rPr>
                <w:color w:val="000000"/>
                <w:sz w:val="24"/>
              </w:rPr>
              <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8.76%</w:t>
            </w:r>
          </w:p>
        </w:tc>
        <w:tc>
          <w:tcPr>
            <w:vAlign w:val="center"/>
          </w:tcPr>
          <w:p>
            <w:pPr>
              <w:jc w:val="center"/>
            </w:pPr>
            <w:r>
              <w:rPr>
                <w:color w:val="000000"/>
                <w:sz w:val="24"/>
              </w:rPr>
              <w:t>1.07%</w:t>
            </w:r>
          </w:p>
        </w:tc>
        <w:tc>
          <w:tcPr>
            <w:vAlign w:val="center"/>
          </w:tcPr>
          <w:p>
            <w:pPr>
              <w:jc w:val="center"/>
            </w:pPr>
            <w:r>
              <w:rPr>
                <w:color w:val="000000"/>
                <w:sz w:val="24"/>
              </w:rPr>
              <w:t>9.04%</w:t>
            </w:r>
          </w:p>
        </w:tc>
        <w:tc>
          <w:tcPr>
            <w:vAlign w:val="center"/>
          </w:tcPr>
          <w:p>
            <w:pPr>
              <w:jc w:val="center"/>
            </w:pPr>
            <w:r>
              <w:rPr>
                <w:color w:val="000000"/>
                <w:sz w:val="24"/>
              </w:rPr>
              <w:t>1.11%</w:t>
            </w:r>
          </w:p>
        </w:tc>
        <w:tc>
          <w:tcPr>
            <w:vAlign w:val="center"/>
          </w:tcPr>
          <w:p>
            <w:pPr>
              <w:jc w:val="center"/>
            </w:pPr>
            <w:r>
              <w:rPr>
                <w:color w:val="000000"/>
                <w:sz w:val="24"/>
              </w:rPr>
              <w:t>-0.28%</w:t>
            </w:r>
          </w:p>
        </w:tc>
        <w:tc>
          <w:tcPr>
            <w:vAlign w:val="center"/>
          </w:tcPr>
          <w:p>
            <w:pPr>
              <w:jc w:val="center"/>
            </w:pPr>
            <w:r>
              <w:rPr>
                <w:color w:val="000000"/>
                <w:sz w:val="24"/>
              </w:rPr>
              <w:t>-0.04%</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交银施罗德深证300价值交易型开放式指数证券投资基金联接基金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2011年9月28日</w:t>
      </w:r>
      <w:r w:rsidRPr="00324C76">
        <w:rPr>
          <w:color w:val="000000"/>
          <w:kern w:val="0"/>
          <w:sz w:val="24"/>
        </w:rPr>
        <w:t>至</w:t>
      </w:r>
      <w:r w:rsidRPr="00324C76">
        <w:rPr>
          <w:color w:val="000000"/>
          <w:kern w:val="0"/>
          <w:sz w:val="24"/>
        </w:rPr>
        <w:t>2017年12月31日</w:t>
      </w:r>
      <w:r w:rsidRPr="00324C76">
        <w:rPr>
          <w:color w:val="000000"/>
          <w:kern w:val="0"/>
          <w:sz w:val="24"/>
        </w:rPr>
        <w:t>）</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
      </w:r>
      <w:r w:rsidR="00C26024" w:rsidRPr="00324C76">
        <w:rPr>
          <w:color w:val="000000"/>
          <w:sz w:val="24"/>
        </w:rPr>
        <w:t/>
      </w:r>
      <w:r w:rsidRPr="00324C76">
        <w:rPr>
          <w:color w:val="000000"/>
          <w:sz w:val="24"/>
        </w:rPr>
        <w:t>注：本基金建仓期为自基金合同生效日起的6个月。截至建仓期结束，本基金各项资产配置比例符合基金合同及招募说明书有关投资比例的约定。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47622F">
      <w:pPr>
        <w:pStyle w:val="1"/>
        <w:spacing w:beforeLines="100" w:afterLines="100"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tc>
          <w:tcPr>
            <w:vAlign w:val="center"/>
          </w:tcPr>
          <w:p>
            <w:pPr>
              <w:jc w:val="center"/>
            </w:pPr>
            <w:r>
              <w:rPr>
                <w:color w:val="000000"/>
                <w:sz w:val="24"/>
              </w:rPr>
              <w:t>蔡铮</w:t>
            </w:r>
          </w:p>
        </w:tc>
        <w:tc>
          <w:tcPr>
            <w:vAlign w:val="center"/>
          </w:tcPr>
          <w:p>
            <w:pPr>
              <w:jc w:val="center"/>
            </w:pPr>
            <w:r>
              <w:rPr>
                <w:color w:val="000000"/>
                <w:sz w:val="24"/>
              </w:rPr>
              <w:t>交银上证180公司治理ETF及其联接、交银深证300价值ETF及其联接、交银国证新能源指数分级、交银中证海外中国互联网指数（QDII-LOF)、交银中证互联网金融指数分级、交银中证环境治理指数（LOF）的基金经理，公司量化投资副总监兼多元资产管理副总监</w:t>
            </w:r>
          </w:p>
        </w:tc>
        <w:tc>
          <w:tcPr>
            <w:vAlign w:val="center"/>
          </w:tcPr>
          <w:p>
            <w:pPr>
              <w:jc w:val="center"/>
            </w:pPr>
            <w:r>
              <w:rPr>
                <w:color w:val="000000"/>
                <w:sz w:val="24"/>
              </w:rPr>
              <w:t>2012-12-27</w:t>
            </w:r>
          </w:p>
        </w:tc>
        <w:tc>
          <w:tcPr>
            <w:vAlign w:val="center"/>
          </w:tcPr>
          <w:p>
            <w:pPr>
              <w:jc w:val="center"/>
            </w:pPr>
            <w:r>
              <w:rPr>
                <w:color w:val="000000"/>
                <w:sz w:val="24"/>
              </w:rPr>
              <w:t>-</w:t>
            </w:r>
          </w:p>
        </w:tc>
        <w:tc>
          <w:tcPr>
            <w:vAlign w:val="center"/>
          </w:tcPr>
          <w:p>
            <w:pPr>
              <w:jc w:val="center"/>
            </w:pPr>
            <w:r>
              <w:rPr>
                <w:color w:val="000000"/>
                <w:sz w:val="24"/>
              </w:rPr>
              <w:t>8年</w:t>
            </w:r>
          </w:p>
        </w:tc>
        <w:tc>
          <w:tcPr>
            <w:vAlign w:val="center"/>
          </w:tcPr>
          <w:p>
            <w:pPr>
              <w:jc w:val="both"/>
            </w:pPr>
            <w:r>
              <w:rPr>
                <w:color w:val="000000"/>
                <w:sz w:val="24"/>
              </w:rPr>
              <w:t>蔡铮先生，中国国籍，复旦大学电子工程硕士。历任瑞士银行香港分行分析员。2009年加入交银施罗德基金管理有限公司，历任投资研究部数量分析师、基金经理助理、量化投资部助理总经理、量化投资部副总经理。2012年12月27日至2015年6月30日担任交银施罗德沪深300行业分层等权重指数证券投资基金基金经理，2015年4月22日至2017年3月24日担任交银施罗德环球精选价值证券投资基金基金经理，2015年4月22日至2017年3月24日担任交银施罗德全球自然资源证券投资基金基金经理，2015年8月13日至2016年7月18日担任交银施罗德中证环境治理指数分级证券投资基金基金经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24C76">
          <w:rPr>
            <w:sz w:val="24"/>
          </w:rPr>
          <w:t>4.3.1</w:t>
        </w:r>
      </w:smartTag>
      <w:r w:rsidRPr="00324C76">
        <w:rPr>
          <w:sz w:val="24"/>
        </w:rPr>
        <w:t>公平交易制度的执行情况</w:t>
      </w:r>
    </w:p>
    <w:p>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pPr>
        <w:spacing w:before="29" w:line="288" w:lineRule="auto"/>
        <w:ind w:firstLineChars="200" w:firstLine="480"/>
        <w:rPr>
          <w:color w:val="000000"/>
          <w:sz w:val="24"/>
        </w:rPr>
      </w:pPr>
      <w:r>
        <w:rPr>
          <w:color w:val="000000"/>
          <w:sz w:val="24"/>
        </w:rPr>
        <w:t>2017年四季度全球主要经济体景气继续改善，国内方面，环保限产下经济阶段性承压，供给和需求端均现收缩，人民币汇率受益于美元疲软而持续升值。在此经济背景下，四季度A股市场宽幅震荡，作为跟踪基准指数的指数基金，四季度基金总体呈现出震荡上行的走势。</w:t>
      </w:r>
    </w:p>
    <w:p w:rsidR="004D6E34" w:rsidRPr="00324C76" w:rsidRDefault="00E27AF2" w:rsidP="00B04217">
      <w:pPr>
        <w:spacing w:before="29" w:line="288" w:lineRule="auto"/>
        <w:ind w:firstLineChars="200" w:firstLine="480"/>
        <w:rPr>
          <w:color w:val="000000"/>
          <w:sz w:val="24"/>
        </w:rPr>
      </w:pPr>
      <w:r w:rsidRPr="00324C76">
        <w:rPr>
          <w:color w:val="000000"/>
          <w:sz w:val="24"/>
        </w:rPr>
        <w:t xml:space="preserve">展望下一季度，我们认为通胀或成国内主要风险，成本推动型通胀压力加速显性化，PPI向CPI传导逐步显现。同时，经济数据的阶段性下滑，或将继续扰动市场对需求端的预期。总体而言，我们对A股市场仍维持谨慎乐观的看法。 </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截至2017年12月31日，本基金份额净值为1.775元，本报告期份额净值增长率为8.76%，同期业绩比较基准增长率为9.04%。</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本基金本报告期内无需预警说明。</w:t>
      </w:r>
    </w:p>
    <w:p w:rsidR="0092140D" w:rsidRPr="00324C76" w:rsidRDefault="0092140D" w:rsidP="00B04217">
      <w:pPr>
        <w:spacing w:before="29" w:line="288" w:lineRule="auto"/>
        <w:ind w:firstLineChars="200" w:firstLine="480"/>
        <w:rPr>
          <w:color w:val="000000"/>
          <w:sz w:val="24"/>
        </w:rPr>
      </w:pPr>
    </w:p>
    <w:p w:rsidR="00220542" w:rsidRPr="00324C76" w:rsidRDefault="00220542" w:rsidP="0047622F">
      <w:pPr>
        <w:pStyle w:val="1"/>
        <w:spacing w:beforeLines="100" w:afterLines="100"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EA6B24" w:rsidRPr="00324C76" w:rsidRDefault="00AC2FFC" w:rsidP="00B04217">
      <w:pPr>
        <w:autoSpaceDE w:val="0"/>
        <w:autoSpaceDN w:val="0"/>
        <w:adjustRightInd w:val="0"/>
        <w:spacing w:before="29" w:line="288" w:lineRule="auto"/>
        <w:jc w:val="left"/>
        <w:rPr>
          <w:b/>
          <w:kern w:val="0"/>
          <w:sz w:val="24"/>
        </w:rPr>
      </w:pPr>
      <w:r w:rsidRPr="00324C76">
        <w:rPr>
          <w:b/>
          <w:kern w:val="0"/>
          <w:sz w:val="24"/>
        </w:rPr>
        <w:t>5.1</w:t>
      </w:r>
      <w:r w:rsidR="00EA6B24" w:rsidRPr="00324C76">
        <w:rPr>
          <w:b/>
          <w:kern w:val="0"/>
          <w:sz w:val="24"/>
        </w:rPr>
        <w:t>报告期末基金资产组合情况</w:t>
      </w:r>
    </w:p>
    <w:tbl>
      <w:tblPr>
        <w:tblStyle w:val="af7"/>
        <w:tblW w:w="8868" w:type="dxa"/>
        <w:jc w:val="center"/>
        <w:tblLayout w:type="fixed"/>
        <w:tblCellMar>
          <w:top w:w="-1" w:type="dxa"/>
          <w:bottom w:w="-1" w:type="dxa"/>
        </w:tblCellMar>
        <w:tblLook w:val="04A0"/>
      </w:tblPr>
      <w:tblGrid>
        <w:gridCol w:w="749"/>
        <w:gridCol w:w="3491"/>
        <w:gridCol w:w="2801"/>
        <w:gridCol w:w="1827"/>
      </w:tblGrid>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序号</w:t>
            </w:r>
          </w:p>
        </w:tc>
        <w:tc>
          <w:tcPr>
            <w:tcW w:w="33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项目</w:t>
            </w:r>
          </w:p>
        </w:tc>
        <w:tc>
          <w:tcPr>
            <w:tcW w:w="2694"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金额</w:t>
            </w:r>
            <w:r w:rsidR="006A1874" w:rsidRPr="00324C76">
              <w:rPr>
                <w:color w:val="000000"/>
                <w:sz w:val="24"/>
              </w:rPr>
              <w:t>（元）</w:t>
            </w:r>
          </w:p>
        </w:tc>
        <w:tc>
          <w:tcPr>
            <w:tcW w:w="17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占基金总资产的比例</w:t>
            </w:r>
            <w:r w:rsidR="006A1874"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lastRenderedPageBreak/>
              <w:t>1</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权益投资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1,858,655.20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2.82</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其中：股票</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1,858,655.20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2.82</w:t>
            </w:r>
          </w:p>
        </w:tc>
      </w:tr>
      <w:tr w:rsidR="00314308" w:rsidRPr="00324C76" w:rsidTr="008C550C">
        <w:trPr>
          <w:jc w:val="center"/>
        </w:trPr>
        <w:tc>
          <w:tcPr>
            <w:tcW w:w="720" w:type="dxa"/>
            <w:vAlign w:val="center"/>
          </w:tcPr>
          <w:p w:rsidR="00314308" w:rsidRPr="00324C76" w:rsidRDefault="00314308" w:rsidP="00B04217">
            <w:pPr>
              <w:spacing w:before="29" w:line="288" w:lineRule="auto"/>
              <w:ind w:left="17"/>
              <w:jc w:val="center"/>
              <w:rPr>
                <w:color w:val="000000"/>
                <w:sz w:val="24"/>
              </w:rPr>
            </w:pPr>
            <w:r w:rsidRPr="00324C76">
              <w:rPr>
                <w:color w:val="000000"/>
                <w:sz w:val="24"/>
              </w:rPr>
              <w:t>2</w:t>
            </w:r>
          </w:p>
        </w:tc>
        <w:tc>
          <w:tcPr>
            <w:tcW w:w="3357" w:type="dxa"/>
            <w:vAlign w:val="center"/>
          </w:tcPr>
          <w:p w:rsidR="00314308" w:rsidRPr="00324C76" w:rsidRDefault="00314308" w:rsidP="00B04217">
            <w:pPr>
              <w:spacing w:before="29" w:line="288" w:lineRule="auto"/>
              <w:ind w:left="17"/>
              <w:jc w:val="left"/>
              <w:rPr>
                <w:color w:val="000000"/>
                <w:sz w:val="24"/>
              </w:rPr>
            </w:pPr>
            <w:r w:rsidRPr="00324C76">
              <w:rPr>
                <w:color w:val="000000"/>
                <w:sz w:val="24"/>
              </w:rPr>
              <w:t>基金投资</w:t>
            </w:r>
          </w:p>
        </w:tc>
        <w:tc>
          <w:tcPr>
            <w:tcW w:w="2694"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60,202,132.50</w:t>
            </w:r>
          </w:p>
        </w:tc>
        <w:tc>
          <w:tcPr>
            <w:tcW w:w="1757"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
            </w:r>
            <w:r w:rsidR="004C4CF1" w:rsidRPr="00324C76">
              <w:rPr>
                <w:color w:val="000000"/>
                <w:sz w:val="24"/>
              </w:rPr>
              <w:t/>
            </w:r>
            <w:r w:rsidRPr="00324C76">
              <w:rPr>
                <w:color w:val="000000"/>
                <w:sz w:val="24"/>
              </w:rPr>
              <w:t>91.35</w:t>
            </w:r>
          </w:p>
        </w:tc>
      </w:tr>
      <w:tr w:rsidR="00E27AF2" w:rsidRPr="00324C76" w:rsidTr="008C550C">
        <w:trPr>
          <w:jc w:val="center"/>
        </w:trPr>
        <w:tc>
          <w:tcPr>
            <w:tcW w:w="720" w:type="dxa"/>
            <w:vAlign w:val="center"/>
          </w:tcPr>
          <w:p w:rsidR="00E27AF2" w:rsidRPr="00324C76" w:rsidRDefault="00A9064E" w:rsidP="00B04217">
            <w:pPr>
              <w:spacing w:before="29" w:line="288" w:lineRule="auto"/>
              <w:ind w:left="17"/>
              <w:jc w:val="center"/>
              <w:rPr>
                <w:color w:val="000000"/>
                <w:sz w:val="24"/>
              </w:rPr>
            </w:pPr>
            <w:r w:rsidRPr="00324C76">
              <w:rPr>
                <w:color w:val="000000"/>
                <w:sz w:val="24"/>
              </w:rPr>
              <w:t>3</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固定收益投资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其中：债券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6B7F36" w:rsidRPr="00324C76" w:rsidTr="008C550C">
        <w:trPr>
          <w:jc w:val="center"/>
        </w:trPr>
        <w:tc>
          <w:tcPr>
            <w:tcW w:w="720" w:type="dxa"/>
            <w:vAlign w:val="center"/>
          </w:tcPr>
          <w:p w:rsidR="006B7F36" w:rsidRPr="00324C76" w:rsidRDefault="006B7F36" w:rsidP="00B04217">
            <w:pPr>
              <w:spacing w:before="29" w:line="288" w:lineRule="auto"/>
              <w:ind w:left="17"/>
              <w:jc w:val="center"/>
              <w:rPr>
                <w:color w:val="000000"/>
                <w:sz w:val="24"/>
              </w:rPr>
            </w:pPr>
            <w:r w:rsidRPr="00324C76">
              <w:rPr>
                <w:color w:val="000000"/>
                <w:sz w:val="24"/>
              </w:rPr>
              <w:t>4</w:t>
            </w:r>
          </w:p>
        </w:tc>
        <w:tc>
          <w:tcPr>
            <w:tcW w:w="3357" w:type="dxa"/>
            <w:vAlign w:val="center"/>
          </w:tcPr>
          <w:p w:rsidR="006B7F36" w:rsidRPr="00324C76" w:rsidRDefault="006B7F36" w:rsidP="00B04217">
            <w:pPr>
              <w:spacing w:before="29" w:line="288" w:lineRule="auto"/>
              <w:ind w:left="17"/>
              <w:jc w:val="left"/>
              <w:rPr>
                <w:color w:val="000000"/>
                <w:sz w:val="24"/>
              </w:rPr>
            </w:pPr>
            <w:r w:rsidRPr="00324C76">
              <w:rPr>
                <w:rFonts w:hAnsi="宋体"/>
                <w:color w:val="000000"/>
                <w:sz w:val="24"/>
              </w:rPr>
              <w:t>贵金属投资</w:t>
            </w:r>
          </w:p>
        </w:tc>
        <w:tc>
          <w:tcPr>
            <w:tcW w:w="2694"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
            </w:r>
            <w:r w:rsidRPr="00324C76">
              <w:rPr>
                <w:rFonts w:eastAsiaTheme="minorEastAsia"/>
                <w:color w:val="000000"/>
                <w:sz w:val="24"/>
              </w:rPr>
              <w:lastRenderedPageBreak/>
              <w:t>-</w:t>
            </w:r>
          </w:p>
        </w:tc>
        <w:tc>
          <w:tcPr>
            <w:tcW w:w="1757"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lastRenderedPageBreak/>
              <w:t/>
            </w:r>
            <w:r w:rsidRPr="00324C76">
              <w:rPr>
                <w:rFonts w:eastAsiaTheme="minorEastAsia"/>
                <w:color w:val="000000"/>
                <w:sz w:val="24"/>
              </w:rPr>
              <w:lastRenderedPageBreak/>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lastRenderedPageBreak/>
              <w:t>5</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金融衍生品投资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6</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其中：买断式回购的买入返售金融资产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7</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银行存款和结算备付金合计</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3,788,044.68</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5.75</w:t>
            </w:r>
          </w:p>
        </w:tc>
      </w:tr>
      <w:tr w:rsidR="00E27AF2" w:rsidRPr="00324C76" w:rsidTr="008C550C">
        <w:trPr>
          <w:jc w:val="center"/>
        </w:trPr>
        <w:tc>
          <w:tcPr>
            <w:tcW w:w="720" w:type="dxa"/>
            <w:vAlign w:val="center"/>
          </w:tcPr>
          <w:p w:rsidR="00E27AF2" w:rsidRPr="00324C76" w:rsidRDefault="00A9064E" w:rsidP="00B04217">
            <w:pPr>
              <w:spacing w:before="29" w:line="288" w:lineRule="auto"/>
              <w:ind w:left="17"/>
              <w:jc w:val="center"/>
              <w:rPr>
                <w:color w:val="000000"/>
                <w:sz w:val="24"/>
              </w:rPr>
            </w:pPr>
            <w:r w:rsidRPr="00324C76">
              <w:rPr>
                <w:color w:val="000000"/>
                <w:sz w:val="24"/>
              </w:rPr>
              <w:t/>
            </w:r>
            <w:r w:rsidRPr="00324C76">
              <w:rPr>
                <w:color w:val="000000"/>
                <w:sz w:val="24"/>
              </w:rPr>
              <w:lastRenderedPageBreak/>
              <w:t/>
            </w:r>
            <w:r w:rsidR="006B7F36" w:rsidRPr="00324C76">
              <w:rPr>
                <w:color w:val="000000"/>
                <w:sz w:val="24"/>
              </w:rPr>
              <w:t/>
            </w:r>
            <w:r w:rsidR="00E27AF2" w:rsidRPr="00324C76">
              <w:rPr>
                <w:color w:val="000000"/>
                <w:sz w:val="24"/>
              </w:rPr>
              <w:t>8</w:t>
            </w:r>
          </w:p>
        </w:tc>
        <w:tc>
          <w:tcPr>
            <w:tcW w:w="3357" w:type="dxa"/>
            <w:vAlign w:val="center"/>
          </w:tcPr>
          <w:p w:rsidR="00E27AF2" w:rsidRPr="00324C76" w:rsidRDefault="00F21C76" w:rsidP="00B04217">
            <w:pPr>
              <w:spacing w:before="29" w:line="288" w:lineRule="auto"/>
              <w:jc w:val="left"/>
              <w:rPr>
                <w:sz w:val="24"/>
              </w:rPr>
            </w:pPr>
            <w:r w:rsidRPr="00324C76">
              <w:rPr>
                <w:color w:val="000000"/>
                <w:sz w:val="24"/>
              </w:rPr>
              <w:lastRenderedPageBreak/>
              <w:t>其他</w:t>
            </w:r>
            <w:r w:rsidR="00E27AF2" w:rsidRPr="00324C76">
              <w:rPr>
                <w:color w:val="000000"/>
                <w:sz w:val="24"/>
              </w:rPr>
              <w:t>资产</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
            </w:r>
            <w:r w:rsidRPr="00324C76">
              <w:rPr>
                <w:color w:val="000000"/>
                <w:sz w:val="24"/>
              </w:rPr>
              <w:lastRenderedPageBreak/>
              <w:t>52,081.23</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lastRenderedPageBreak/>
              <w:t/>
            </w:r>
            <w:r w:rsidRPr="00324C76">
              <w:rPr>
                <w:color w:val="000000"/>
                <w:sz w:val="24"/>
              </w:rPr>
              <w:lastRenderedPageBreak/>
              <w:t>0.08</w:t>
            </w:r>
          </w:p>
        </w:tc>
      </w:tr>
      <w:tr w:rsidR="00E27AF2" w:rsidRPr="00324C76" w:rsidTr="008C550C">
        <w:trPr>
          <w:jc w:val="center"/>
        </w:trPr>
        <w:tc>
          <w:tcPr>
            <w:tcW w:w="720" w:type="dxa"/>
            <w:vAlign w:val="center"/>
          </w:tcPr>
          <w:p w:rsidR="00E27AF2" w:rsidRPr="00324C76" w:rsidRDefault="00A9064E" w:rsidP="00B04217">
            <w:pPr>
              <w:spacing w:before="29" w:line="288" w:lineRule="auto"/>
              <w:ind w:left="17"/>
              <w:jc w:val="center"/>
              <w:rPr>
                <w:color w:val="000000"/>
                <w:sz w:val="24"/>
              </w:rPr>
            </w:pPr>
            <w:r w:rsidRPr="00324C76">
              <w:rPr>
                <w:color w:val="000000"/>
                <w:sz w:val="24"/>
              </w:rPr>
              <w:lastRenderedPageBreak/>
              <w:t/>
            </w:r>
            <w:r w:rsidR="006B7F36" w:rsidRPr="00324C76">
              <w:rPr>
                <w:color w:val="000000"/>
                <w:sz w:val="24"/>
              </w:rPr>
              <w:t/>
            </w:r>
            <w:r w:rsidR="00E27AF2" w:rsidRPr="00324C76">
              <w:rPr>
                <w:color w:val="000000"/>
                <w:sz w:val="24"/>
              </w:rPr>
              <w:t>9</w:t>
            </w:r>
          </w:p>
        </w:tc>
        <w:tc>
          <w:tcPr>
            <w:tcW w:w="3357" w:type="dxa"/>
            <w:vAlign w:val="center"/>
          </w:tcPr>
          <w:p w:rsidR="00E27AF2" w:rsidRPr="00324C76" w:rsidRDefault="00E27AF2" w:rsidP="00B04217">
            <w:pPr>
              <w:spacing w:before="29" w:line="288" w:lineRule="auto"/>
              <w:jc w:val="left"/>
              <w:rPr>
                <w:sz w:val="24"/>
              </w:rPr>
            </w:pPr>
            <w:r w:rsidRPr="00324C76">
              <w:rPr>
                <w:color w:val="000000"/>
                <w:sz w:val="24"/>
              </w:rPr>
              <w:t>合计</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65,900,913.61</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Pr="00324C76">
        <w:rPr>
          <w:b/>
          <w:kern w:val="0"/>
          <w:sz w:val="24"/>
        </w:rPr>
        <w:t>期末投资目标基金明细</w:t>
      </w:r>
    </w:p>
    <w:tbl>
      <w:tblPr>
        <w:tblStyle w:val="af7"/>
        <w:tblW w:w="8868" w:type="dxa"/>
        <w:jc w:val="center"/>
        <w:tblLayout w:type="fixed"/>
        <w:tblCellMar>
          <w:top w:w="57" w:type="dxa"/>
          <w:bottom w:w="57" w:type="dxa"/>
        </w:tblCellMar>
        <w:tblLook w:val="04A0"/>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tc>
          <w:tcPr>
            <w:vAlign w:val="center"/>
          </w:tcPr>
          <w:p>
            <w:pPr>
              <w:jc w:val="center"/>
            </w:pPr>
            <w:r>
              <w:rPr>
                <w:sz w:val="24"/>
              </w:rPr>
              <w:t>1</w:t>
            </w:r>
          </w:p>
        </w:tc>
        <w:tc>
          <w:tcPr>
            <w:vAlign w:val="center"/>
          </w:tcPr>
          <w:p>
            <w:pPr>
              <w:jc w:val="center"/>
            </w:pPr>
            <w:r>
              <w:rPr>
                <w:sz w:val="24"/>
              </w:rPr>
              <w:t>深证300价值交易型开放式指数证券投资基金</w:t>
            </w:r>
          </w:p>
        </w:tc>
        <w:tc>
          <w:tcPr>
            <w:vAlign w:val="center"/>
          </w:tcPr>
          <w:p>
            <w:pPr>
              <w:jc w:val="center"/>
            </w:pPr>
            <w:r>
              <w:rPr>
                <w:sz w:val="24"/>
              </w:rPr>
              <w:t>股票型</w:t>
            </w:r>
          </w:p>
        </w:tc>
        <w:tc>
          <w:tcPr>
            <w:vAlign w:val="center"/>
          </w:tcPr>
          <w:p>
            <w:pPr>
              <w:jc w:val="center"/>
            </w:pPr>
            <w:r>
              <w:rPr>
                <w:sz w:val="24"/>
              </w:rPr>
              <w:t>交易型开放式</w:t>
            </w:r>
          </w:p>
        </w:tc>
        <w:tc>
          <w:tcPr>
            <w:vAlign w:val="center"/>
          </w:tcPr>
          <w:p>
            <w:pPr>
              <w:jc w:val="center"/>
            </w:pPr>
            <w:r>
              <w:rPr>
                <w:sz w:val="24"/>
              </w:rPr>
              <w:t>交银施罗德基金管理有限公司</w:t>
            </w:r>
          </w:p>
        </w:tc>
        <w:tc>
          <w:tcPr>
            <w:vAlign w:val="center"/>
          </w:tcPr>
          <w:p>
            <w:pPr>
              <w:jc w:val="right"/>
            </w:pPr>
            <w:r>
              <w:rPr>
                <w:sz w:val="24"/>
              </w:rPr>
              <w:t>60,202,132.50</w:t>
            </w:r>
          </w:p>
        </w:tc>
        <w:tc>
          <w:tcPr>
            <w:vAlign w:val="center"/>
          </w:tcPr>
          <w:p>
            <w:pPr>
              <w:jc w:val="right"/>
            </w:pPr>
            <w:r>
              <w:rPr>
                <w:sz w:val="24"/>
              </w:rPr>
              <w:t>91.61</w:t>
            </w:r>
          </w:p>
        </w:tc>
      </w:tr>
    </w:tbl>
    <w:p w:rsidR="00C640D9" w:rsidRPr="00324C76" w:rsidRDefault="00C640D9"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Pr="00324C76">
        <w:rPr>
          <w:b/>
          <w:kern w:val="0"/>
          <w:sz w:val="24"/>
        </w:rPr>
        <w:t>报告期末按行业分类的股票投资组合</w:t>
      </w:r>
    </w:p>
    <w:p w:rsidR="000D27BF" w:rsidRPr="000D27BF" w:rsidRDefault="000D27BF" w:rsidP="000D27BF">
      <w:pPr>
        <w:rPr>
          <w:b/>
          <w:sz w:val="24"/>
        </w:rPr>
      </w:pPr>
      <w:r w:rsidRPr="004A3846">
        <w:rPr>
          <w:b/>
          <w:color w:val="000000" w:themeColor="text1"/>
          <w:sz w:val="24"/>
        </w:rPr>
        <w:t/>
      </w:r>
      <w:r>
        <w:rPr>
          <w:rFonts w:eastAsiaTheme="minorEastAsia" w:hint="eastAsia"/>
          <w:b/>
          <w:color w:val="000000" w:themeColor="text1"/>
          <w:kern w:val="0"/>
          <w:sz w:val="24"/>
        </w:rPr>
        <w:t>5.3</w:t>
      </w:r>
      <w:r w:rsidRPr="004A3846">
        <w:rPr>
          <w:rFonts w:eastAsiaTheme="minorEastAsia" w:hint="eastAsia"/>
          <w:b/>
          <w:color w:val="000000" w:themeColor="text1"/>
          <w:kern w:val="0"/>
          <w:sz w:val="24"/>
        </w:rPr>
        <w:t>.1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r w:rsidR="000E0611" w:rsidRPr="00324C76">
              <w:rPr>
                <w:sz w:val="24"/>
              </w:rPr>
              <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79,526.00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0.12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lastRenderedPageBreak/>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15,228.00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1,201,520.00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1.83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30,610.00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19,317.00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16,164.00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5,036.00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
            </w:r>
            <w:r w:rsidRPr="00324C76">
              <w:rPr>
                <w:sz w:val="24"/>
              </w:rPr>
              <w:lastRenderedPageBreak/>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lastRenderedPageBreak/>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7,840.00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189,695.20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0.29</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213,028.00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0.32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49,152.00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19,527.00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
            </w:r>
            <w:r w:rsidRPr="00324C76">
              <w:rPr>
                <w:sz w:val="24"/>
              </w:rPr>
              <w:lastRenderedPageBreak/>
              <w:t>0.03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lastRenderedPageBreak/>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12,012.00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1,858,655.20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2.83</w:t>
            </w:r>
          </w:p>
        </w:tc>
      </w:tr>
    </w:tbl>
    <w:p w:rsidR="000D27BF" w:rsidRPr="008A409E" w:rsidRDefault="000D27BF" w:rsidP="000D27BF">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b/>
          <w:bCs/>
          <w:color w:val="000000" w:themeColor="text1"/>
          <w:kern w:val="0"/>
          <w:sz w:val="24"/>
        </w:rPr>
        <w:t/>
      </w:r>
      <w:r>
        <w:rPr>
          <w:rFonts w:asciiTheme="minorEastAsia" w:eastAsiaTheme="minorEastAsia" w:hAnsiTheme="minorEastAsia" w:hint="eastAsia"/>
          <w:b/>
          <w:bCs/>
          <w:color w:val="000000" w:themeColor="text1"/>
          <w:kern w:val="0"/>
          <w:sz w:val="24"/>
        </w:rPr>
        <w:t>5.3</w:t>
      </w:r>
      <w:r w:rsidRPr="008A409E">
        <w:rPr>
          <w:rFonts w:asciiTheme="minorEastAsia" w:eastAsiaTheme="minorEastAsia" w:hAnsiTheme="minorEastAsia" w:hint="eastAsia"/>
          <w:b/>
          <w:bCs/>
          <w:color w:val="000000" w:themeColor="text1"/>
          <w:kern w:val="0"/>
          <w:sz w:val="24"/>
        </w:rPr>
        <w:t>.2报告期末按行业分类的</w:t>
      </w:r>
      <w:r w:rsidR="0047622F">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0D27BF" w:rsidRDefault="000D27BF" w:rsidP="000D27BF">
      <w:pPr>
        <w:spacing w:before="29" w:line="360" w:lineRule="auto"/>
        <w:ind w:left="17"/>
        <w:rPr>
          <w:color w:val="000000"/>
          <w:sz w:val="24"/>
        </w:rPr>
      </w:pPr>
      <w:r w:rsidRPr="00FF0BBF">
        <w:rPr>
          <w:color w:val="000000"/>
          <w:sz w:val="24"/>
        </w:rPr>
        <w:t>本基金本报告期末未持有通过港股通投资的股票。</w:t>
      </w:r>
    </w:p>
    <w:p w:rsidR="00220542" w:rsidRPr="000D27BF"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000333</w:t>
            </w:r>
          </w:p>
        </w:tc>
        <w:tc>
          <w:tcPr>
            <w:vAlign w:val="center"/>
          </w:tcPr>
          <w:p>
            <w:pPr>
              <w:jc w:val="center"/>
            </w:pPr>
            <w:r>
              <w:rPr>
                <w:color w:val="000000"/>
                <w:sz w:val="24"/>
              </w:rPr>
              <w:t>美的集团</w:t>
            </w:r>
          </w:p>
        </w:tc>
        <w:tc>
          <w:tcPr>
            <w:vAlign w:val="center"/>
          </w:tcPr>
          <w:p>
            <w:pPr>
              <w:jc w:val="right"/>
            </w:pPr>
            <w:r>
              <w:rPr>
                <w:color w:val="000000"/>
                <w:sz w:val="24"/>
              </w:rPr>
              <w:t>3,100</w:t>
            </w:r>
          </w:p>
        </w:tc>
        <w:tc>
          <w:tcPr>
            <w:vAlign w:val="center"/>
          </w:tcPr>
          <w:p>
            <w:pPr>
              <w:jc w:val="right"/>
            </w:pPr>
            <w:r>
              <w:rPr>
                <w:color w:val="000000"/>
                <w:sz w:val="24"/>
              </w:rPr>
              <w:t>171,833.00</w:t>
            </w:r>
          </w:p>
        </w:tc>
        <w:tc>
          <w:tcPr>
            <w:vAlign w:val="center"/>
          </w:tcPr>
          <w:p>
            <w:pPr>
              <w:jc w:val="right"/>
            </w:pPr>
            <w:r>
              <w:rPr>
                <w:color w:val="000000"/>
                <w:sz w:val="24"/>
              </w:rPr>
              <w:t>0.26</w:t>
            </w:r>
          </w:p>
        </w:tc>
      </w:tr>
      <w:tr>
        <w:tc>
          <w:tcPr>
            <w:vAlign w:val="center"/>
          </w:tcPr>
          <w:p>
            <w:pPr>
              <w:jc w:val="center"/>
            </w:pPr>
            <w:r>
              <w:rPr>
                <w:color w:val="000000"/>
                <w:sz w:val="24"/>
              </w:rPr>
              <w:t>2</w:t>
            </w:r>
          </w:p>
        </w:tc>
        <w:tc>
          <w:tcPr>
            <w:vAlign w:val="center"/>
          </w:tcPr>
          <w:p>
            <w:pPr>
              <w:jc w:val="center"/>
            </w:pPr>
            <w:r>
              <w:rPr>
                <w:color w:val="000000"/>
                <w:sz w:val="24"/>
              </w:rPr>
              <w:t>000651</w:t>
            </w:r>
          </w:p>
        </w:tc>
        <w:tc>
          <w:tcPr>
            <w:vAlign w:val="center"/>
          </w:tcPr>
          <w:p>
            <w:pPr>
              <w:jc w:val="center"/>
            </w:pPr>
            <w:r>
              <w:rPr>
                <w:color w:val="000000"/>
                <w:sz w:val="24"/>
              </w:rPr>
              <w:t>格力电器</w:t>
            </w:r>
          </w:p>
        </w:tc>
        <w:tc>
          <w:tcPr>
            <w:vAlign w:val="center"/>
          </w:tcPr>
          <w:p>
            <w:pPr>
              <w:jc w:val="right"/>
            </w:pPr>
            <w:r>
              <w:rPr>
                <w:color w:val="000000"/>
                <w:sz w:val="24"/>
              </w:rPr>
              <w:t>3,300</w:t>
            </w:r>
          </w:p>
        </w:tc>
        <w:tc>
          <w:tcPr>
            <w:vAlign w:val="center"/>
          </w:tcPr>
          <w:p>
            <w:pPr>
              <w:jc w:val="right"/>
            </w:pPr>
            <w:r>
              <w:rPr>
                <w:color w:val="000000"/>
                <w:sz w:val="24"/>
              </w:rPr>
              <w:t>144,210.00</w:t>
            </w:r>
          </w:p>
        </w:tc>
        <w:tc>
          <w:tcPr>
            <w:vAlign w:val="center"/>
          </w:tcPr>
          <w:p>
            <w:pPr>
              <w:jc w:val="right"/>
            </w:pPr>
            <w:r>
              <w:rPr>
                <w:color w:val="000000"/>
                <w:sz w:val="24"/>
              </w:rPr>
              <w:t>0.22</w:t>
            </w:r>
          </w:p>
        </w:tc>
      </w:tr>
      <w:tr>
        <w:tc>
          <w:tcPr>
            <w:vAlign w:val="center"/>
          </w:tcPr>
          <w:p>
            <w:pPr>
              <w:jc w:val="center"/>
            </w:pPr>
            <w:r>
              <w:rPr>
                <w:color w:val="000000"/>
                <w:sz w:val="24"/>
              </w:rPr>
              <w:t>3</w:t>
            </w:r>
          </w:p>
        </w:tc>
        <w:tc>
          <w:tcPr>
            <w:vAlign w:val="center"/>
          </w:tcPr>
          <w:p>
            <w:pPr>
              <w:jc w:val="center"/>
            </w:pPr>
            <w:r>
              <w:rPr>
                <w:color w:val="000000"/>
                <w:sz w:val="24"/>
              </w:rPr>
              <w:t>000725</w:t>
            </w:r>
          </w:p>
        </w:tc>
        <w:tc>
          <w:tcPr>
            <w:vAlign w:val="center"/>
          </w:tcPr>
          <w:p>
            <w:pPr>
              <w:jc w:val="center"/>
            </w:pPr>
            <w:r>
              <w:rPr>
                <w:color w:val="000000"/>
                <w:sz w:val="24"/>
              </w:rPr>
              <w:t>京东方Ａ</w:t>
            </w:r>
          </w:p>
        </w:tc>
        <w:tc>
          <w:tcPr>
            <w:vAlign w:val="center"/>
          </w:tcPr>
          <w:p>
            <w:pPr>
              <w:jc w:val="right"/>
            </w:pPr>
            <w:r>
              <w:rPr>
                <w:color w:val="000000"/>
                <w:sz w:val="24"/>
              </w:rPr>
              <w:t>17,600</w:t>
            </w:r>
          </w:p>
        </w:tc>
        <w:tc>
          <w:tcPr>
            <w:vAlign w:val="center"/>
          </w:tcPr>
          <w:p>
            <w:pPr>
              <w:jc w:val="right"/>
            </w:pPr>
            <w:r>
              <w:rPr>
                <w:color w:val="000000"/>
                <w:sz w:val="24"/>
              </w:rPr>
              <w:t>101,904.00</w:t>
            </w:r>
          </w:p>
        </w:tc>
        <w:tc>
          <w:tcPr>
            <w:vAlign w:val="center"/>
          </w:tcPr>
          <w:p>
            <w:pPr>
              <w:jc w:val="right"/>
            </w:pPr>
            <w:r>
              <w:rPr>
                <w:color w:val="000000"/>
                <w:sz w:val="24"/>
              </w:rPr>
              <w:t>0.16</w:t>
            </w:r>
          </w:p>
        </w:tc>
      </w:tr>
      <w:tr>
        <w:tc>
          <w:tcPr>
            <w:vAlign w:val="center"/>
          </w:tcPr>
          <w:p>
            <w:pPr>
              <w:jc w:val="center"/>
            </w:pPr>
            <w:r>
              <w:rPr>
                <w:color w:val="000000"/>
                <w:sz w:val="24"/>
              </w:rPr>
              <w:t>4</w:t>
            </w:r>
          </w:p>
        </w:tc>
        <w:tc>
          <w:tcPr>
            <w:vAlign w:val="center"/>
          </w:tcPr>
          <w:p>
            <w:pPr>
              <w:jc w:val="center"/>
            </w:pPr>
            <w:r>
              <w:rPr>
                <w:color w:val="000000"/>
                <w:sz w:val="24"/>
              </w:rPr>
              <w:t>000858</w:t>
            </w:r>
          </w:p>
        </w:tc>
        <w:tc>
          <w:tcPr>
            <w:vAlign w:val="center"/>
          </w:tcPr>
          <w:p>
            <w:pPr>
              <w:jc w:val="center"/>
            </w:pPr>
            <w:r>
              <w:rPr>
                <w:color w:val="000000"/>
                <w:sz w:val="24"/>
              </w:rPr>
              <w:t>五 粮 液</w:t>
            </w:r>
          </w:p>
        </w:tc>
        <w:tc>
          <w:tcPr>
            <w:vAlign w:val="center"/>
          </w:tcPr>
          <w:p>
            <w:pPr>
              <w:jc w:val="right"/>
            </w:pPr>
            <w:r>
              <w:rPr>
                <w:color w:val="000000"/>
                <w:sz w:val="24"/>
              </w:rPr>
              <w:t>1,200</w:t>
            </w:r>
          </w:p>
        </w:tc>
        <w:tc>
          <w:tcPr>
            <w:vAlign w:val="center"/>
          </w:tcPr>
          <w:p>
            <w:pPr>
              <w:jc w:val="right"/>
            </w:pPr>
            <w:r>
              <w:rPr>
                <w:color w:val="000000"/>
                <w:sz w:val="24"/>
              </w:rPr>
              <w:t>95,856.00</w:t>
            </w:r>
          </w:p>
        </w:tc>
        <w:tc>
          <w:tcPr>
            <w:vAlign w:val="center"/>
          </w:tcPr>
          <w:p>
            <w:pPr>
              <w:jc w:val="right"/>
            </w:pPr>
            <w:r>
              <w:rPr>
                <w:color w:val="000000"/>
                <w:sz w:val="24"/>
              </w:rPr>
              <w:t>0.15</w:t>
            </w:r>
          </w:p>
        </w:tc>
      </w:tr>
      <w:tr>
        <w:tc>
          <w:tcPr>
            <w:vAlign w:val="center"/>
          </w:tcPr>
          <w:p>
            <w:pPr>
              <w:jc w:val="center"/>
            </w:pPr>
            <w:r>
              <w:rPr>
                <w:color w:val="000000"/>
                <w:sz w:val="24"/>
              </w:rPr>
              <w:t>5</w:t>
            </w:r>
          </w:p>
        </w:tc>
        <w:tc>
          <w:tcPr>
            <w:vAlign w:val="center"/>
          </w:tcPr>
          <w:p>
            <w:pPr>
              <w:jc w:val="center"/>
            </w:pPr>
            <w:r>
              <w:rPr>
                <w:color w:val="000000"/>
                <w:sz w:val="24"/>
              </w:rPr>
              <w:t>002415</w:t>
            </w:r>
          </w:p>
        </w:tc>
        <w:tc>
          <w:tcPr>
            <w:vAlign w:val="center"/>
          </w:tcPr>
          <w:p>
            <w:pPr>
              <w:jc w:val="center"/>
            </w:pPr>
            <w:r>
              <w:rPr>
                <w:color w:val="000000"/>
                <w:sz w:val="24"/>
              </w:rPr>
              <w:t>海康威视</w:t>
            </w:r>
          </w:p>
        </w:tc>
        <w:tc>
          <w:tcPr>
            <w:vAlign w:val="center"/>
          </w:tcPr>
          <w:p>
            <w:pPr>
              <w:jc w:val="right"/>
            </w:pPr>
            <w:r>
              <w:rPr>
                <w:color w:val="000000"/>
                <w:sz w:val="24"/>
              </w:rPr>
              <w:t>2,300</w:t>
            </w:r>
          </w:p>
        </w:tc>
        <w:tc>
          <w:tcPr>
            <w:vAlign w:val="center"/>
          </w:tcPr>
          <w:p>
            <w:pPr>
              <w:jc w:val="right"/>
            </w:pPr>
            <w:r>
              <w:rPr>
                <w:color w:val="000000"/>
                <w:sz w:val="24"/>
              </w:rPr>
              <w:t>89,700.00</w:t>
            </w:r>
          </w:p>
        </w:tc>
        <w:tc>
          <w:tcPr>
            <w:vAlign w:val="center"/>
          </w:tcPr>
          <w:p>
            <w:pPr>
              <w:jc w:val="right"/>
            </w:pPr>
            <w:r>
              <w:rPr>
                <w:color w:val="000000"/>
                <w:sz w:val="24"/>
              </w:rPr>
              <w:t>0.14</w:t>
            </w:r>
          </w:p>
        </w:tc>
      </w:tr>
      <w:tr>
        <w:tc>
          <w:tcPr>
            <w:vAlign w:val="center"/>
          </w:tcPr>
          <w:p>
            <w:pPr>
              <w:jc w:val="center"/>
            </w:pPr>
            <w:r>
              <w:rPr>
                <w:color w:val="000000"/>
                <w:sz w:val="24"/>
              </w:rPr>
              <w:t>6</w:t>
            </w:r>
          </w:p>
        </w:tc>
        <w:tc>
          <w:tcPr>
            <w:vAlign w:val="center"/>
          </w:tcPr>
          <w:p>
            <w:pPr>
              <w:jc w:val="center"/>
            </w:pPr>
            <w:r>
              <w:rPr>
                <w:color w:val="000000"/>
                <w:sz w:val="24"/>
              </w:rPr>
              <w:t>000002</w:t>
            </w:r>
          </w:p>
        </w:tc>
        <w:tc>
          <w:tcPr>
            <w:vAlign w:val="center"/>
          </w:tcPr>
          <w:p>
            <w:pPr>
              <w:jc w:val="center"/>
            </w:pPr>
            <w:r>
              <w:rPr>
                <w:color w:val="000000"/>
                <w:sz w:val="24"/>
              </w:rPr>
              <w:t>万  科Ａ</w:t>
            </w:r>
          </w:p>
        </w:tc>
        <w:tc>
          <w:tcPr>
            <w:vAlign w:val="center"/>
          </w:tcPr>
          <w:p>
            <w:pPr>
              <w:jc w:val="right"/>
            </w:pPr>
            <w:r>
              <w:rPr>
                <w:color w:val="000000"/>
                <w:sz w:val="24"/>
              </w:rPr>
              <w:t>2,800</w:t>
            </w:r>
          </w:p>
        </w:tc>
        <w:tc>
          <w:tcPr>
            <w:vAlign w:val="center"/>
          </w:tcPr>
          <w:p>
            <w:pPr>
              <w:jc w:val="right"/>
            </w:pPr>
            <w:r>
              <w:rPr>
                <w:color w:val="000000"/>
                <w:sz w:val="24"/>
              </w:rPr>
              <w:t>86,968.00</w:t>
            </w:r>
          </w:p>
        </w:tc>
        <w:tc>
          <w:tcPr>
            <w:vAlign w:val="center"/>
          </w:tcPr>
          <w:p>
            <w:pPr>
              <w:jc w:val="right"/>
            </w:pPr>
            <w:r>
              <w:rPr>
                <w:color w:val="000000"/>
                <w:sz w:val="24"/>
              </w:rPr>
              <w:t>0.13</w:t>
            </w:r>
          </w:p>
        </w:tc>
      </w:tr>
      <w:tr>
        <w:tc>
          <w:tcPr>
            <w:vAlign w:val="center"/>
          </w:tcPr>
          <w:p>
            <w:pPr>
              <w:jc w:val="center"/>
            </w:pPr>
            <w:r>
              <w:rPr>
                <w:color w:val="000000"/>
                <w:sz w:val="24"/>
              </w:rPr>
              <w:t>7</w:t>
            </w:r>
          </w:p>
        </w:tc>
        <w:tc>
          <w:tcPr>
            <w:vAlign w:val="center"/>
          </w:tcPr>
          <w:p>
            <w:pPr>
              <w:jc w:val="center"/>
            </w:pPr>
            <w:r>
              <w:rPr>
                <w:color w:val="000000"/>
                <w:sz w:val="24"/>
              </w:rPr>
              <w:t>000001</w:t>
            </w:r>
          </w:p>
        </w:tc>
        <w:tc>
          <w:tcPr>
            <w:vAlign w:val="center"/>
          </w:tcPr>
          <w:p>
            <w:pPr>
              <w:jc w:val="center"/>
            </w:pPr>
            <w:r>
              <w:rPr>
                <w:color w:val="000000"/>
                <w:sz w:val="24"/>
              </w:rPr>
              <w:t>平安银行</w:t>
            </w:r>
          </w:p>
        </w:tc>
        <w:tc>
          <w:tcPr>
            <w:vAlign w:val="center"/>
          </w:tcPr>
          <w:p>
            <w:pPr>
              <w:jc w:val="right"/>
            </w:pPr>
            <w:r>
              <w:rPr>
                <w:color w:val="000000"/>
                <w:sz w:val="24"/>
              </w:rPr>
              <w:t>5,800</w:t>
            </w:r>
          </w:p>
        </w:tc>
        <w:tc>
          <w:tcPr>
            <w:vAlign w:val="center"/>
          </w:tcPr>
          <w:p>
            <w:pPr>
              <w:jc w:val="right"/>
            </w:pPr>
            <w:r>
              <w:rPr>
                <w:color w:val="000000"/>
                <w:sz w:val="24"/>
              </w:rPr>
              <w:t>77,140.00</w:t>
            </w:r>
          </w:p>
        </w:tc>
        <w:tc>
          <w:tcPr>
            <w:vAlign w:val="center"/>
          </w:tcPr>
          <w:p>
            <w:pPr>
              <w:jc w:val="right"/>
            </w:pPr>
            <w:r>
              <w:rPr>
                <w:color w:val="000000"/>
                <w:sz w:val="24"/>
              </w:rPr>
              <w:t>0.12</w:t>
            </w:r>
          </w:p>
        </w:tc>
      </w:tr>
      <w:tr>
        <w:tc>
          <w:tcPr>
            <w:vAlign w:val="center"/>
          </w:tcPr>
          <w:p>
            <w:pPr>
              <w:jc w:val="center"/>
            </w:pPr>
            <w:r>
              <w:rPr>
                <w:color w:val="000000"/>
                <w:sz w:val="24"/>
              </w:rPr>
              <w:t>8</w:t>
            </w:r>
          </w:p>
        </w:tc>
        <w:tc>
          <w:tcPr>
            <w:vAlign w:val="center"/>
          </w:tcPr>
          <w:p>
            <w:pPr>
              <w:jc w:val="center"/>
            </w:pPr>
            <w:r>
              <w:rPr>
                <w:color w:val="000000"/>
                <w:sz w:val="24"/>
              </w:rPr>
              <w:t>300498</w:t>
            </w:r>
          </w:p>
        </w:tc>
        <w:tc>
          <w:tcPr>
            <w:vAlign w:val="center"/>
          </w:tcPr>
          <w:p>
            <w:pPr>
              <w:jc w:val="center"/>
            </w:pPr>
            <w:r>
              <w:rPr>
                <w:color w:val="000000"/>
                <w:sz w:val="24"/>
              </w:rPr>
              <w:t>温氏股份</w:t>
            </w:r>
          </w:p>
        </w:tc>
        <w:tc>
          <w:tcPr>
            <w:vAlign w:val="center"/>
          </w:tcPr>
          <w:p>
            <w:pPr>
              <w:jc w:val="right"/>
            </w:pPr>
            <w:r>
              <w:rPr>
                <w:color w:val="000000"/>
                <w:sz w:val="24"/>
              </w:rPr>
              <w:t>2,500</w:t>
            </w:r>
          </w:p>
        </w:tc>
        <w:tc>
          <w:tcPr>
            <w:vAlign w:val="center"/>
          </w:tcPr>
          <w:p>
            <w:pPr>
              <w:jc w:val="right"/>
            </w:pPr>
            <w:r>
              <w:rPr>
                <w:color w:val="000000"/>
                <w:sz w:val="24"/>
              </w:rPr>
              <w:t>59,750.00</w:t>
            </w:r>
          </w:p>
        </w:tc>
        <w:tc>
          <w:tcPr>
            <w:vAlign w:val="center"/>
          </w:tcPr>
          <w:p>
            <w:pPr>
              <w:jc w:val="right"/>
            </w:pPr>
            <w:r>
              <w:rPr>
                <w:color w:val="000000"/>
                <w:sz w:val="24"/>
              </w:rPr>
              <w:t>0.09</w:t>
            </w:r>
          </w:p>
        </w:tc>
      </w:tr>
      <w:tr>
        <w:tc>
          <w:tcPr>
            <w:vAlign w:val="center"/>
          </w:tcPr>
          <w:p>
            <w:pPr>
              <w:jc w:val="center"/>
            </w:pPr>
            <w:r>
              <w:rPr>
                <w:color w:val="000000"/>
                <w:sz w:val="24"/>
              </w:rPr>
              <w:t>9</w:t>
            </w:r>
          </w:p>
        </w:tc>
        <w:tc>
          <w:tcPr>
            <w:vAlign w:val="center"/>
          </w:tcPr>
          <w:p>
            <w:pPr>
              <w:jc w:val="center"/>
            </w:pPr>
            <w:r>
              <w:rPr>
                <w:color w:val="000000"/>
                <w:sz w:val="24"/>
              </w:rPr>
              <w:t>002027</w:t>
            </w:r>
          </w:p>
        </w:tc>
        <w:tc>
          <w:tcPr>
            <w:vAlign w:val="center"/>
          </w:tcPr>
          <w:p>
            <w:pPr>
              <w:jc w:val="center"/>
            </w:pPr>
            <w:r>
              <w:rPr>
                <w:color w:val="000000"/>
                <w:sz w:val="24"/>
              </w:rPr>
              <w:t>分众传媒</w:t>
            </w:r>
          </w:p>
        </w:tc>
        <w:tc>
          <w:tcPr>
            <w:vAlign w:val="center"/>
          </w:tcPr>
          <w:p>
            <w:pPr>
              <w:jc w:val="right"/>
            </w:pPr>
            <w:r>
              <w:rPr>
                <w:color w:val="000000"/>
                <w:sz w:val="24"/>
              </w:rPr>
              <w:t>3,000</w:t>
            </w:r>
          </w:p>
        </w:tc>
        <w:tc>
          <w:tcPr>
            <w:vAlign w:val="center"/>
          </w:tcPr>
          <w:p>
            <w:pPr>
              <w:jc w:val="right"/>
            </w:pPr>
            <w:r>
              <w:rPr>
                <w:color w:val="000000"/>
                <w:sz w:val="24"/>
              </w:rPr>
              <w:t>42,240.00</w:t>
            </w:r>
          </w:p>
        </w:tc>
        <w:tc>
          <w:tcPr>
            <w:vAlign w:val="center"/>
          </w:tcPr>
          <w:p>
            <w:pPr>
              <w:jc w:val="right"/>
            </w:pPr>
            <w:r>
              <w:rPr>
                <w:color w:val="000000"/>
                <w:sz w:val="24"/>
              </w:rPr>
              <w:t>0.06</w:t>
            </w:r>
          </w:p>
        </w:tc>
      </w:tr>
      <w:tr>
        <w:tc>
          <w:tcPr>
            <w:vAlign w:val="center"/>
          </w:tcPr>
          <w:p>
            <w:pPr>
              <w:jc w:val="center"/>
            </w:pPr>
            <w:r>
              <w:rPr>
                <w:color w:val="000000"/>
                <w:sz w:val="24"/>
              </w:rPr>
              <w:t>10</w:t>
            </w:r>
          </w:p>
        </w:tc>
        <w:tc>
          <w:tcPr>
            <w:vAlign w:val="center"/>
          </w:tcPr>
          <w:p>
            <w:pPr>
              <w:jc w:val="center"/>
            </w:pPr>
            <w:r>
              <w:rPr>
                <w:color w:val="000000"/>
                <w:sz w:val="24"/>
              </w:rPr>
              <w:t>000776</w:t>
            </w:r>
          </w:p>
        </w:tc>
        <w:tc>
          <w:tcPr>
            <w:vAlign w:val="center"/>
          </w:tcPr>
          <w:p>
            <w:pPr>
              <w:jc w:val="center"/>
            </w:pPr>
            <w:r>
              <w:rPr>
                <w:color w:val="000000"/>
                <w:sz w:val="24"/>
              </w:rPr>
              <w:t>广发证券</w:t>
            </w:r>
          </w:p>
        </w:tc>
        <w:tc>
          <w:tcPr>
            <w:vAlign w:val="center"/>
          </w:tcPr>
          <w:p>
            <w:pPr>
              <w:jc w:val="right"/>
            </w:pPr>
            <w:r>
              <w:rPr>
                <w:color w:val="000000"/>
                <w:sz w:val="24"/>
              </w:rPr>
              <w:t>2,100</w:t>
            </w:r>
          </w:p>
        </w:tc>
        <w:tc>
          <w:tcPr>
            <w:vAlign w:val="center"/>
          </w:tcPr>
          <w:p>
            <w:pPr>
              <w:jc w:val="right"/>
            </w:pPr>
            <w:r>
              <w:rPr>
                <w:color w:val="000000"/>
                <w:sz w:val="24"/>
              </w:rPr>
              <w:t>35,028.00</w:t>
            </w:r>
          </w:p>
        </w:tc>
        <w:tc>
          <w:tcPr>
            <w:vAlign w:val="center"/>
          </w:tcPr>
          <w:p>
            <w:pPr>
              <w:jc w:val="right"/>
            </w:pPr>
            <w:r>
              <w:rPr>
                <w:color w:val="000000"/>
                <w:sz w:val="24"/>
              </w:rPr>
              <w:t>0.05</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Pr="00324C76">
        <w:rPr>
          <w:b/>
          <w:kern w:val="0"/>
          <w:sz w:val="24"/>
        </w:rPr>
        <w:t>报告期末按债券品种分类的债券投资组合</w:t>
      </w:r>
    </w:p>
    <w:p w:rsidR="00BA574A" w:rsidRPr="00324C76" w:rsidRDefault="00BA574A" w:rsidP="00B04217">
      <w:pPr>
        <w:autoSpaceDE w:val="0"/>
        <w:autoSpaceDN w:val="0"/>
        <w:adjustRightInd w:val="0"/>
        <w:spacing w:before="29" w:line="288" w:lineRule="auto"/>
        <w:jc w:val="left"/>
        <w:rPr>
          <w:sz w:val="24"/>
        </w:rPr>
      </w:pPr>
      <w:r w:rsidRPr="00324C76">
        <w:rPr>
          <w:sz w:val="24"/>
        </w:rPr>
        <w:lastRenderedPageBreak/>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5.</w:t>
      </w:r>
      <w:r w:rsidR="006003EC" w:rsidRPr="00324C76">
        <w:rPr>
          <w:b/>
          <w:kern w:val="0"/>
          <w:sz w:val="24"/>
        </w:rPr>
        <w:t/>
      </w:r>
      <w:r w:rsidR="00261468" w:rsidRPr="00324C76">
        <w:rPr>
          <w:b/>
          <w:kern w:val="0"/>
          <w:sz w:val="24"/>
        </w:rPr>
        <w:t/>
      </w:r>
      <w:r w:rsidRPr="00324C76">
        <w:rPr>
          <w:b/>
          <w:kern w:val="0"/>
          <w:sz w:val="24"/>
        </w:rPr>
        <w:t xml:space="preserve">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9F2BEF" w:rsidP="00B04217">
      <w:pPr>
        <w:adjustRightInd w:val="0"/>
        <w:snapToGrid w:val="0"/>
        <w:spacing w:before="29" w:line="288" w:lineRule="auto"/>
        <w:rPr>
          <w:b/>
          <w:sz w:val="24"/>
        </w:rPr>
      </w:pPr>
      <w:r w:rsidRPr="00324C76">
        <w:rPr>
          <w:b/>
          <w:sz w:val="24"/>
        </w:rPr>
        <w:t/>
      </w:r>
      <w:r w:rsidR="00771003" w:rsidRPr="00324C76">
        <w:rPr>
          <w:b/>
          <w:sz w:val="24"/>
        </w:rPr>
        <w:t/>
      </w:r>
      <w:r w:rsidR="006003EC" w:rsidRPr="00324C76">
        <w:rPr>
          <w:b/>
          <w:sz w:val="24"/>
        </w:rPr>
        <w:t>5.</w:t>
      </w:r>
      <w:r w:rsidR="007D10B0" w:rsidRPr="00324C76">
        <w:rPr>
          <w:b/>
          <w:sz w:val="24"/>
        </w:rPr>
        <w:t>10</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5.12.1报告期内本基金投资的前十名证券的发行主体未被监管部门立案调查，在本报告编制日前一年内本基金投资的前十名证券的发行主体未受到公开谴责和处罚。</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lastRenderedPageBreak/>
        <w:t>5.12.2本基金投资的前十名股票中，没有超出基金合同规定的备选股票库之外的股票。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220542" w:rsidRPr="00120EC8">
        <w:rPr>
          <w:kern w:val="0"/>
          <w:sz w:val="24"/>
        </w:rPr>
        <w:t>其他资产构成</w:t>
      </w:r>
    </w:p>
    <w:tbl>
      <w:tblPr>
        <w:tblStyle w:val="af7"/>
        <w:tblW w:w="8868" w:type="dxa"/>
        <w:jc w:val="center"/>
        <w:tblLook w:val="04A0"/>
      </w:tblPr>
      <w:tblGrid>
        <w:gridCol w:w="1244"/>
        <w:gridCol w:w="2781"/>
        <w:gridCol w:w="4843"/>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1,084.29</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1,128.71</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49,868.23</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52,081.23</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220542" w:rsidRPr="00324C76">
        <w:rPr>
          <w:bCs/>
          <w:sz w:val="24"/>
        </w:rPr>
        <w:t>报告期末前十名股票中存在流通受限情况的说明</w:t>
      </w:r>
    </w:p>
    <w:p w:rsidR="00220542" w:rsidRPr="00324C76" w:rsidRDefault="00A40C1C" w:rsidP="00B04217">
      <w:pPr>
        <w:autoSpaceDE w:val="0"/>
        <w:autoSpaceDN w:val="0"/>
        <w:adjustRightInd w:val="0"/>
        <w:spacing w:before="29" w:line="288" w:lineRule="auto"/>
        <w:jc w:val="left"/>
        <w:rPr>
          <w:sz w:val="24"/>
        </w:rPr>
      </w:pPr>
      <w:r w:rsidRPr="00324C76">
        <w:rPr>
          <w:sz w:val="24"/>
        </w:rPr>
        <w:t>本基金本报告期末前十名股票中不存在流通受限情况。</w:t>
      </w:r>
    </w:p>
    <w:p w:rsidR="00163AE8" w:rsidRPr="00324C76" w:rsidRDefault="00163AE8" w:rsidP="00B04217">
      <w:pPr>
        <w:spacing w:before="29" w:line="288" w:lineRule="auto"/>
        <w:rPr>
          <w:sz w:val="24"/>
        </w:rPr>
      </w:pPr>
    </w:p>
    <w:p w:rsidR="00A40C1C" w:rsidRPr="00324C76" w:rsidRDefault="00B31ADE" w:rsidP="00B04217">
      <w:pPr>
        <w:spacing w:before="29" w:line="288" w:lineRule="auto"/>
        <w:rPr>
          <w:color w:val="000000"/>
          <w:kern w:val="0"/>
          <w:sz w:val="24"/>
        </w:rPr>
      </w:pPr>
      <w:r w:rsidRPr="00324C76">
        <w:rPr>
          <w:color w:val="000000"/>
          <w:kern w:val="0"/>
          <w:sz w:val="24"/>
        </w:rPr>
        <w:t/>
      </w:r>
      <w:r w:rsidR="007D10B0" w:rsidRPr="00324C76">
        <w:rPr>
          <w:kern w:val="0"/>
          <w:sz w:val="24"/>
        </w:rPr>
        <w:t>5.12.6</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220542" w:rsidP="0047622F">
      <w:pPr>
        <w:pStyle w:val="1"/>
        <w:spacing w:beforeLines="100" w:afterLines="100" w:line="288" w:lineRule="auto"/>
        <w:jc w:val="center"/>
        <w:rPr>
          <w:kern w:val="0"/>
          <w:sz w:val="24"/>
          <w:szCs w:val="24"/>
        </w:rPr>
      </w:pPr>
      <w:r w:rsidRPr="00324C76">
        <w:rPr>
          <w:kern w:val="0"/>
          <w:sz w:val="24"/>
          <w:szCs w:val="24"/>
        </w:rPr>
        <w:t>§6</w:t>
      </w:r>
      <w:r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006B68" w:rsidP="00B04217">
            <w:pPr>
              <w:autoSpaceDE w:val="0"/>
              <w:autoSpaceDN w:val="0"/>
              <w:adjustRightInd w:val="0"/>
              <w:spacing w:before="29" w:line="288" w:lineRule="auto"/>
              <w:ind w:left="17"/>
              <w:jc w:val="right"/>
              <w:rPr>
                <w:color w:val="000000"/>
                <w:sz w:val="24"/>
              </w:rPr>
            </w:pPr>
            <w:r w:rsidRPr="00324C76">
              <w:rPr>
                <w:color w:val="000000"/>
                <w:sz w:val="24"/>
              </w:rPr>
              <w:t/>
            </w:r>
            <w:r w:rsidR="00A40C1C" w:rsidRPr="00324C76">
              <w:rPr>
                <w:color w:val="000000"/>
                <w:sz w:val="24"/>
              </w:rPr>
              <w:t>36,593,907.97</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4,536,239.89</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4,099,523.35</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37,030,624.51</w:t>
            </w:r>
          </w:p>
        </w:tc>
      </w:tr>
    </w:tbl>
    <w:p>
      <w:pPr>
        <w:autoSpaceDE w:val="0"/>
        <w:autoSpaceDN w:val="0"/>
        <w:adjustRightInd w:val="0"/>
        <w:spacing w:before="29" w:line="288" w:lineRule="auto"/>
        <w:jc w:val="left"/>
        <w:rPr>
          <w:sz w:val="24"/>
        </w:rPr>
      </w:pPr>
      <w:r>
        <w:rPr>
          <w:sz w:val="24"/>
        </w:rPr>
        <w:t>注：1、如果本报告期间发生转换入、红利再投业务，则总申购份额中包含该业务；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F229B7" w:rsidP="0047622F">
      <w:pPr>
        <w:pStyle w:val="1"/>
        <w:tabs>
          <w:tab w:val="center" w:pos="4156"/>
          <w:tab w:val="right" w:pos="8312"/>
        </w:tabs>
        <w:spacing w:beforeLines="100" w:afterLines="100" w:line="288" w:lineRule="auto"/>
        <w:jc w:val="center"/>
        <w:rPr>
          <w:sz w:val="24"/>
          <w:szCs w:val="24"/>
        </w:rPr>
      </w:pPr>
      <w:r w:rsidRPr="00F229B7">
        <w:rPr>
          <w:rFonts w:eastAsiaTheme="minorEastAsia"/>
          <w:color w:val="000000"/>
          <w:kern w:val="0"/>
          <w:sz w:val="24"/>
          <w:szCs w:val="24"/>
        </w:rPr>
        <w:t xml:space="preserve">§7  </w:t>
      </w:r>
      <w:r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rsidR="00F229B7" w:rsidRPr="00F229B7" w:rsidRDefault="00F229B7" w:rsidP="00B04217">
      <w:pPr>
        <w:autoSpaceDE w:val="0"/>
        <w:autoSpaceDN w:val="0"/>
        <w:adjustRightInd w:val="0"/>
        <w:spacing w:before="29" w:line="288" w:lineRule="auto"/>
        <w:ind w:left="15"/>
        <w:jc w:val="right"/>
        <w:rPr>
          <w:rFonts w:eastAsiaTheme="minorEastAsia"/>
          <w:color w:val="000000"/>
          <w:kern w:val="0"/>
          <w:sz w:val="24"/>
        </w:rPr>
      </w:pPr>
      <w:r w:rsidRPr="00F229B7">
        <w:rPr>
          <w:rFonts w:eastAsiaTheme="minorEastAsia"/>
          <w:sz w:val="24"/>
        </w:rPr>
        <w:t/>
      </w:r>
      <w:r w:rsidRPr="00F229B7">
        <w:rPr>
          <w:rFonts w:eastAsiaTheme="minorEastAsia" w:hAnsiTheme="minorEastAsia"/>
          <w:color w:val="000000"/>
          <w:kern w:val="0"/>
          <w:sz w:val="24"/>
        </w:rPr>
        <w:t>单位：份</w:t>
      </w:r>
    </w:p>
    <w:tbl>
      <w:tblPr>
        <w:tblW w:w="8868" w:type="dxa"/>
        <w:jc w:val="center"/>
        <w:tblLayout w:type="fixed"/>
        <w:tblLook w:val="04A0"/>
      </w:tblPr>
      <w:tblGrid>
        <w:gridCol w:w="5308"/>
        <w:gridCol w:w="3560"/>
      </w:tblGrid>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pStyle w:val="ad"/>
              <w:adjustRightInd w:val="0"/>
              <w:snapToGrid w:val="0"/>
              <w:spacing w:line="288" w:lineRule="auto"/>
              <w:rPr>
                <w:rFonts w:eastAsia="方正仿宋简体"/>
                <w:color w:val="000000"/>
                <w:szCs w:val="24"/>
              </w:rPr>
            </w:pPr>
            <w:r w:rsidRPr="00F229B7">
              <w:rPr>
                <w:color w:val="000000"/>
                <w:szCs w:val="24"/>
              </w:rPr>
              <w:t>报告期期初管理人持有的本基金份额</w:t>
            </w:r>
            <w:r w:rsidRPr="00F229B7">
              <w:rPr>
                <w:rFonts w:eastAsiaTheme="minorEastAsia"/>
                <w:szCs w:val="24"/>
              </w:rPr>
              <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
            </w:r>
            <w:r w:rsidRPr="00F229B7">
              <w:rPr>
                <w:rFonts w:eastAsiaTheme="minorEastAsia"/>
                <w:color w:val="000000"/>
                <w:sz w:val="24"/>
              </w:rPr>
              <w:lastRenderedPageBreak/>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lastRenderedPageBreak/>
              <w:t>本报告期</w:t>
            </w:r>
            <w:r w:rsidRPr="00F229B7">
              <w:rPr>
                <w:color w:val="000000"/>
                <w:sz w:val="24"/>
              </w:rPr>
              <w:t>买入</w:t>
            </w:r>
            <w:r w:rsidRPr="00F229B7">
              <w:rPr>
                <w:color w:val="000000"/>
                <w:sz w:val="24"/>
              </w:rPr>
              <w:t>/</w:t>
            </w:r>
            <w:r w:rsidRPr="00F229B7">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卖出</w:t>
            </w:r>
            <w:r w:rsidRPr="00F229B7">
              <w:rPr>
                <w:color w:val="000000"/>
                <w:sz w:val="24"/>
              </w:rPr>
              <w:t>/</w:t>
            </w:r>
            <w:r w:rsidRPr="00F229B7">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color w:val="000000"/>
                <w:sz w:val="24"/>
              </w:rPr>
              <w:t>报告期期末持有的本基金份额占基金总份额比例（</w:t>
            </w:r>
            <w:r w:rsidRPr="00F229B7">
              <w:rPr>
                <w:color w:val="000000"/>
                <w:sz w:val="24"/>
              </w:rPr>
              <w:t>%</w:t>
            </w:r>
            <w:r w:rsidRPr="00F229B7">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35.44</w:t>
            </w:r>
          </w:p>
        </w:tc>
      </w:tr>
    </w:tbl>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F229B7" w:rsidP="009744C4">
      <w:pPr>
        <w:spacing w:line="288" w:lineRule="auto"/>
        <w:jc w:val="left"/>
        <w:rPr>
          <w:rFonts w:eastAsiaTheme="minorEastAsia"/>
          <w:b/>
          <w:color w:val="000000"/>
          <w:sz w:val="24"/>
        </w:rPr>
      </w:pPr>
      <w:r w:rsidRPr="00F20F7C">
        <w:rPr>
          <w:b/>
          <w:sz w:val="24"/>
        </w:rPr>
        <w:t xml:space="preserve">7.2 </w:t>
      </w:r>
      <w:r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96A7B" w:rsidRDefault="00696A7B" w:rsidP="0047622F">
      <w:pPr>
        <w:pStyle w:val="1"/>
        <w:spacing w:beforeLines="100" w:afterLines="100"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§8影响投资者决策的其他重要信息</w:t>
      </w:r>
    </w:p>
    <w:p w:rsidR="00696A7B" w:rsidRDefault="00696A7B" w:rsidP="00696A7B">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991"/>
        <w:gridCol w:w="1843"/>
        <w:gridCol w:w="851"/>
        <w:gridCol w:w="850"/>
        <w:gridCol w:w="1134"/>
        <w:gridCol w:w="1419"/>
        <w:gridCol w:w="1130"/>
      </w:tblGrid>
      <w:tr w:rsidR="00696A7B" w:rsidTr="00696A7B">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报告期末持有基金情况</w:t>
            </w:r>
          </w:p>
        </w:tc>
      </w:tr>
      <w:tr w:rsidR="00696A7B" w:rsidTr="00696A7B">
        <w:tc>
          <w:tcPr>
            <w:tcW w:w="993" w:type="dxa"/>
            <w:vMerge/>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left"/>
              <w:rPr>
                <w:rFonts w:ascii="宋体" w:hAnsi="宋体"/>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份额占比</w:t>
            </w:r>
          </w:p>
        </w:tc>
      </w:tr>
      <w:tr>
        <w:tc>
          <w:tcPr>
            <w:vMerge w:val="restart"/>
          </w:tcPr>
          <w:p/>
          <w:p>
            <w:r>
              <w:rPr>
                <w:rFonts w:ascii="宋体" w:hAnsi="宋体" w:hint="eastAsia"/>
                <w:bCs/>
                <w:color w:val="000000"/>
                <w:kern w:val="0"/>
                <w:sz w:val="24"/>
              </w:rPr>
              <w:t>机构</w:t>
            </w:r>
          </w:p>
        </w:tc>
        <w:tc>
          <w:tcPr>
            <w:vAlign w:val="center"/>
          </w:tcPr>
          <w:p>
            <w:pPr>
              <w:jc w:val="center"/>
            </w:pPr>
            <w:r>
              <w:rPr>
                <w:rFonts w:ascii="宋体" w:hAnsi="宋体" w:hint="eastAsia"/>
                <w:color w:val="000000"/>
                <w:kern w:val="0"/>
                <w:sz w:val="24"/>
              </w:rPr>
              <w:t>1</w:t>
            </w:r>
          </w:p>
        </w:tc>
        <w:tc>
          <w:tcPr>
            <w:vAlign w:val="center"/>
          </w:tcPr>
          <w:p>
            <w:pPr>
              <w:jc w:val="center"/>
            </w:pPr>
            <w:r>
              <w:rPr>
                <w:rFonts w:ascii="宋体" w:hAnsi="宋体" w:hint="eastAsia"/>
                <w:color w:val="000000"/>
                <w:kern w:val="0"/>
                <w:sz w:val="24"/>
              </w:rPr>
              <w:t>2017/10/1-2017/12/31</w:t>
            </w:r>
          </w:p>
        </w:tc>
        <w:tc>
          <w:tcPr>
            <w:vAlign w:val="center"/>
          </w:tcPr>
          <w:p>
            <w:pPr>
              <w:jc w:val="center"/>
            </w:pPr>
            <w:r>
              <w:rPr>
                <w:rFonts w:ascii="宋体" w:hAnsi="宋体" w:hint="eastAsia"/>
                <w:color w:val="000000"/>
                <w:kern w:val="0"/>
                <w:sz w:val="24"/>
              </w:rPr>
              <w:t>13,122,703.41</w:t>
            </w:r>
          </w:p>
        </w:tc>
        <w:tc>
          <w:tcPr>
            <w:vAlign w:val="center"/>
          </w:tcPr>
          <w:p>
            <w:pPr>
              <w:jc w:val="center"/>
            </w:pPr>
            <w:r>
              <w:rPr>
                <w:rFonts w:ascii="宋体" w:hAnsi="宋体" w:hint="eastAsia"/>
                <w:color w:val="000000"/>
                <w:kern w:val="0"/>
                <w:sz w:val="24"/>
              </w:rPr>
              <w:t>-</w:t>
            </w:r>
          </w:p>
        </w:tc>
        <w:tc>
          <w:tcPr>
            <w:vAlign w:val="center"/>
          </w:tcPr>
          <w:p>
            <w:pPr>
              <w:jc w:val="center"/>
            </w:pPr>
            <w:r>
              <w:rPr>
                <w:rFonts w:ascii="宋体" w:hAnsi="宋体" w:hint="eastAsia"/>
                <w:color w:val="000000"/>
                <w:kern w:val="0"/>
                <w:sz w:val="24"/>
              </w:rPr>
              <w:t>-</w:t>
            </w:r>
          </w:p>
        </w:tc>
        <w:tc>
          <w:tcPr>
            <w:vAlign w:val="center"/>
          </w:tcPr>
          <w:p>
            <w:pPr>
              <w:jc w:val="center"/>
            </w:pPr>
            <w:r>
              <w:rPr>
                <w:rFonts w:ascii="宋体" w:hAnsi="宋体" w:hint="eastAsia"/>
                <w:color w:val="000000"/>
                <w:kern w:val="0"/>
                <w:sz w:val="24"/>
              </w:rPr>
              <w:t>13,122,703.41</w:t>
            </w:r>
          </w:p>
        </w:tc>
        <w:tc>
          <w:tcPr>
            <w:vAlign w:val="center"/>
          </w:tcPr>
          <w:p>
            <w:pPr>
              <w:jc w:val="center"/>
            </w:pPr>
            <w:r>
              <w:rPr>
                <w:rFonts w:ascii="宋体" w:hAnsi="宋体" w:hint="eastAsia"/>
                <w:color w:val="000000"/>
                <w:kern w:val="0"/>
                <w:sz w:val="24"/>
              </w:rPr>
              <w:t>35.44%</w:t>
            </w:r>
          </w:p>
        </w:tc>
      </w:tr>
    </w:tbl>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0"/>
      </w:tblGrid>
      <w:tr w:rsidR="00696A7B" w:rsidTr="00696A7B">
        <w:tc>
          <w:tcPr>
            <w:tcW w:w="9212"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kern w:val="0"/>
                <w:sz w:val="24"/>
              </w:rPr>
            </w:pPr>
            <w:r>
              <w:rPr>
                <w:rFonts w:ascii="宋体" w:hAnsi="宋体" w:hint="eastAsia"/>
                <w:color w:val="000000"/>
                <w:kern w:val="0"/>
                <w:sz w:val="24"/>
              </w:rPr>
              <w:t>产品特有风险</w:t>
            </w:r>
            <w:r>
              <w:rPr>
                <w:rFonts w:ascii="宋体" w:hAnsi="宋体" w:hint="eastAsia"/>
                <w:kern w:val="0"/>
                <w:sz w:val="24"/>
              </w:rPr>
              <w:t/>
            </w:r>
          </w:p>
        </w:tc>
      </w:tr>
      <w:tr w:rsidR="00696A7B" w:rsidTr="00696A7B">
        <w:tc>
          <w:tcPr>
            <w:tcW w:w="9212"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left"/>
              <w:rPr>
                <w:rFonts w:ascii="宋体" w:hAnsi="宋体"/>
                <w:kern w:val="0"/>
                <w:sz w:val="24"/>
              </w:rPr>
            </w:pPr>
            <w:r>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6A0A24" w:rsidRPr="00495FAB" w:rsidRDefault="00220542" w:rsidP="0047622F">
      <w:pPr>
        <w:pStyle w:val="1"/>
        <w:spacing w:beforeLines="100" w:afterLines="100" w:line="288" w:lineRule="auto"/>
        <w:jc w:val="center"/>
        <w:rPr>
          <w:kern w:val="0"/>
          <w:sz w:val="24"/>
          <w:szCs w:val="24"/>
        </w:rPr>
      </w:pPr>
      <w:r w:rsidRPr="00324C76">
        <w:rPr>
          <w:kern w:val="0"/>
          <w:sz w:val="24"/>
          <w:szCs w:val="24"/>
        </w:rPr>
        <w:t>§</w:t>
      </w:r>
      <w:r w:rsidR="00B31ADE" w:rsidRPr="00324C76">
        <w:rPr>
          <w:kern w:val="0"/>
          <w:sz w:val="24"/>
          <w:szCs w:val="24"/>
        </w:rPr>
        <w:t/>
      </w:r>
      <w:r w:rsidR="0083066D" w:rsidRPr="00324C76">
        <w:rPr>
          <w:kern w:val="0"/>
          <w:sz w:val="24"/>
          <w:szCs w:val="24"/>
        </w:rPr>
        <w:t/>
      </w:r>
      <w:r w:rsidR="00B31ADE" w:rsidRPr="00324C76">
        <w:rPr>
          <w:kern w:val="0"/>
          <w:sz w:val="24"/>
          <w:szCs w:val="24"/>
        </w:rPr>
        <w:t>9</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
      </w:r>
      <w:r w:rsidR="0083066D" w:rsidRPr="00324C76">
        <w:rPr>
          <w:b/>
          <w:sz w:val="24"/>
        </w:rPr>
        <w:t/>
      </w:r>
      <w:r w:rsidRPr="00324C76">
        <w:rPr>
          <w:b/>
          <w:sz w:val="24"/>
        </w:rPr>
        <w:t>9</w:t>
      </w:r>
      <w:r w:rsidR="00220542" w:rsidRPr="00324C76">
        <w:rPr>
          <w:b/>
          <w:sz w:val="24"/>
        </w:rPr>
        <w:t>.</w:t>
      </w:r>
      <w:r w:rsidR="0083066D" w:rsidRPr="00324C76">
        <w:rPr>
          <w:b/>
          <w:sz w:val="24"/>
        </w:rPr>
        <w:t>1</w:t>
      </w:r>
      <w:r w:rsidR="00220542" w:rsidRPr="00324C76">
        <w:rPr>
          <w:b/>
          <w:sz w:val="24"/>
        </w:rPr>
        <w:t>备查文件目录</w:t>
      </w:r>
    </w:p>
    <w:p>
      <w:pPr>
        <w:spacing w:before="29" w:line="288" w:lineRule="auto"/>
        <w:ind w:firstLineChars="200" w:firstLine="480"/>
        <w:rPr>
          <w:color w:val="000000"/>
          <w:sz w:val="24"/>
        </w:rPr>
      </w:pPr>
      <w:r>
        <w:rPr>
          <w:color w:val="000000"/>
          <w:sz w:val="24"/>
        </w:rPr>
        <w:t>1、中国证监会核准交银施罗德深证300价值交易型开放式指数证券投资基金联接基金募集的文件；</w:t>
      </w:r>
    </w:p>
    <w:p>
      <w:pPr>
        <w:spacing w:before="29" w:line="288" w:lineRule="auto"/>
        <w:ind w:firstLineChars="200" w:firstLine="480"/>
        <w:rPr>
          <w:color w:val="000000"/>
          <w:sz w:val="24"/>
        </w:rPr>
      </w:pPr>
      <w:r>
        <w:rPr>
          <w:color w:val="000000"/>
          <w:sz w:val="24"/>
        </w:rPr>
        <w:t xml:space="preserve">2、《交银施罗德深证300价值交易型开放式指数证券投资基金联接基金基金合同》； </w:t>
      </w:r>
    </w:p>
    <w:p>
      <w:pPr>
        <w:spacing w:before="29" w:line="288" w:lineRule="auto"/>
        <w:ind w:firstLineChars="200" w:firstLine="480"/>
        <w:rPr>
          <w:color w:val="000000"/>
          <w:sz w:val="24"/>
        </w:rPr>
      </w:pPr>
      <w:r>
        <w:rPr>
          <w:color w:val="000000"/>
          <w:sz w:val="24"/>
        </w:rPr>
        <w:t>3、《交银施罗德深证300价值交易型开放式指数证券投资基金联接基金招募说明书》；</w:t>
      </w:r>
    </w:p>
    <w:p>
      <w:pPr>
        <w:spacing w:before="29" w:line="288" w:lineRule="auto"/>
        <w:ind w:firstLineChars="200" w:firstLine="480"/>
        <w:rPr>
          <w:color w:val="000000"/>
          <w:sz w:val="24"/>
        </w:rPr>
      </w:pPr>
      <w:r>
        <w:rPr>
          <w:color w:val="000000"/>
          <w:sz w:val="24"/>
        </w:rPr>
        <w:t>4、《交银施罗德深证300价值交易型开放式指数证券投资基金联接基金托管协议》；</w:t>
      </w:r>
    </w:p>
    <w:p>
      <w:pPr>
        <w:spacing w:before="29" w:line="288" w:lineRule="auto"/>
        <w:ind w:firstLineChars="200" w:firstLine="480"/>
        <w:rPr>
          <w:color w:val="000000"/>
          <w:sz w:val="24"/>
        </w:rPr>
      </w:pPr>
      <w:r>
        <w:rPr>
          <w:color w:val="000000"/>
          <w:sz w:val="24"/>
        </w:rPr>
        <w:t>5、关于申请募集交银施罗德深证300价值交易型开放式指数证券投资基金联接基金之法律意见书；</w:t>
      </w:r>
    </w:p>
    <w:p>
      <w:pPr>
        <w:spacing w:before="29" w:line="288" w:lineRule="auto"/>
        <w:ind w:firstLineChars="200" w:firstLine="480"/>
        <w:rPr>
          <w:color w:val="000000"/>
          <w:sz w:val="24"/>
        </w:rPr>
      </w:pPr>
      <w:r>
        <w:rPr>
          <w:color w:val="000000"/>
          <w:sz w:val="24"/>
        </w:rPr>
        <w:t>6、基金管理人业务资格批件、营业执照；</w:t>
      </w:r>
    </w:p>
    <w:p>
      <w:pPr>
        <w:spacing w:before="29" w:line="288" w:lineRule="auto"/>
        <w:ind w:firstLineChars="200" w:firstLine="480"/>
        <w:rPr>
          <w:color w:val="000000"/>
          <w:sz w:val="24"/>
        </w:rPr>
      </w:pPr>
      <w:r>
        <w:rPr>
          <w:color w:val="000000"/>
          <w:sz w:val="24"/>
        </w:rPr>
        <w:t>7、基金托管人业务资格批件、营业执照；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8、报告期内交银施罗德深证300价值交易型开放式指数证券投资基金联接基金在指定报刊上各项公告的原稿。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9.2</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9.3</w:t>
      </w:r>
      <w:r w:rsidR="00220542" w:rsidRPr="00324C76">
        <w:rPr>
          <w:b/>
          <w:sz w:val="24"/>
        </w:rPr>
        <w:t>查阅方式</w:t>
      </w:r>
    </w:p>
    <w:p>
      <w:pPr>
        <w:spacing w:before="29" w:line="288" w:lineRule="auto"/>
        <w:ind w:firstLineChars="200" w:firstLine="480"/>
        <w:rPr>
          <w:sz w:val="24"/>
        </w:rPr>
      </w:pPr>
      <w:r>
        <w:rPr>
          <w:color w:val="000000"/>
          <w:sz w:val="24"/>
        </w:rPr>
        <w:t xml:space="preserve">投资者可在办公时间内至基金管理人的办公场所免费查阅备查文件，或者登录基金管理人的网站(www.fund001.com，www.bocomschroder.com)查阅。在支付工本费后，投资者可在合理时间内取得上述文件的复制件或复印件。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投资者对本报告书如有疑问，可咨询本基金管理人交银施罗德基金管理有限公司。本公司客户服务中心电话：400-700-5000（免长途话费），021-61055000，电子邮件：services@jysld.com。</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713" w:rsidRDefault="000D7713">
      <w:r>
        <w:separator/>
      </w:r>
    </w:p>
  </w:endnote>
  <w:endnote w:type="continuationSeparator" w:id="1">
    <w:p w:rsidR="000D7713" w:rsidRDefault="000D77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631" w:rsidRPr="001D0DB0" w:rsidRDefault="00FC3631" w:rsidP="00DB4EE7">
    <w:pPr>
      <w:pStyle w:val="a6"/>
      <w:jc w:val="center"/>
    </w:pPr>
    <w:r>
      <w:rPr>
        <w:rFonts w:hint="eastAsia"/>
        <w:kern w:val="0"/>
        <w:szCs w:val="21"/>
      </w:rPr>
      <w:t>第</w:t>
    </w:r>
    <w:r w:rsidR="00D178F5">
      <w:rPr>
        <w:kern w:val="0"/>
        <w:szCs w:val="21"/>
      </w:rPr>
      <w:fldChar w:fldCharType="begin"/>
    </w:r>
    <w:r>
      <w:rPr>
        <w:kern w:val="0"/>
        <w:szCs w:val="21"/>
      </w:rPr>
      <w:instrText xml:space="preserve"> PAGE </w:instrText>
    </w:r>
    <w:r w:rsidR="00D178F5">
      <w:rPr>
        <w:kern w:val="0"/>
        <w:szCs w:val="21"/>
      </w:rPr>
      <w:fldChar w:fldCharType="separate"/>
    </w:r>
    <w:r w:rsidR="0047622F">
      <w:rPr>
        <w:noProof/>
        <w:kern w:val="0"/>
        <w:szCs w:val="21"/>
      </w:rPr>
      <w:t>22</w:t>
    </w:r>
    <w:r w:rsidR="00D178F5">
      <w:rPr>
        <w:kern w:val="0"/>
        <w:szCs w:val="21"/>
      </w:rPr>
      <w:fldChar w:fldCharType="end"/>
    </w:r>
    <w:r>
      <w:rPr>
        <w:rFonts w:hint="eastAsia"/>
        <w:kern w:val="0"/>
        <w:szCs w:val="21"/>
      </w:rPr>
      <w:t>页共</w:t>
    </w:r>
    <w:r w:rsidR="00D178F5">
      <w:rPr>
        <w:kern w:val="0"/>
        <w:szCs w:val="21"/>
      </w:rPr>
      <w:fldChar w:fldCharType="begin"/>
    </w:r>
    <w:r>
      <w:rPr>
        <w:kern w:val="0"/>
        <w:szCs w:val="21"/>
      </w:rPr>
      <w:instrText xml:space="preserve"> NUMPAGES </w:instrText>
    </w:r>
    <w:r w:rsidR="00D178F5">
      <w:rPr>
        <w:kern w:val="0"/>
        <w:szCs w:val="21"/>
      </w:rPr>
      <w:fldChar w:fldCharType="separate"/>
    </w:r>
    <w:r w:rsidR="0047622F">
      <w:rPr>
        <w:noProof/>
        <w:kern w:val="0"/>
        <w:szCs w:val="21"/>
      </w:rPr>
      <w:t>22</w:t>
    </w:r>
    <w:r w:rsidR="00D178F5">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631" w:rsidRDefault="00D178F5">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713" w:rsidRDefault="000D7713">
      <w:r>
        <w:separator/>
      </w:r>
    </w:p>
  </w:footnote>
  <w:footnote w:type="continuationSeparator" w:id="1">
    <w:p w:rsidR="000D7713" w:rsidRDefault="000D77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631" w:rsidRPr="006B198C" w:rsidRDefault="00A54580" w:rsidP="00C6357C">
    <w:pPr>
      <w:pStyle w:val="a9"/>
      <w:pBdr>
        <w:bottom w:val="single" w:sz="6" w:space="0" w:color="auto"/>
      </w:pBdr>
      <w:ind w:right="90"/>
      <w:jc w:val="right"/>
    </w:pPr>
    <w:r>
      <w:rPr>
        <w:noProof/>
      </w:rPr>
      <w:drawing>
        <wp:anchor distT="0" distB="0" distL="114300" distR="114300" simplePos="0" relativeHeight="251658240" behindDoc="0" locked="0" layoutInCell="1" allowOverlap="1">
          <wp:simplePos x="0" y="0"/>
          <wp:positionH relativeFrom="column">
            <wp:posOffset>-52705</wp:posOffset>
          </wp:positionH>
          <wp:positionV relativeFrom="paragraph">
            <wp:posOffset>-330835</wp:posOffset>
          </wp:positionV>
          <wp:extent cx="2085975" cy="4572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1C78"/>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D7713"/>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CC8"/>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6630"/>
    <w:rsid w:val="00390B25"/>
    <w:rsid w:val="00397156"/>
    <w:rsid w:val="0039770F"/>
    <w:rsid w:val="00397960"/>
    <w:rsid w:val="003A3BC4"/>
    <w:rsid w:val="003A458A"/>
    <w:rsid w:val="003A7129"/>
    <w:rsid w:val="003B128A"/>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6BE4"/>
    <w:rsid w:val="00456CEF"/>
    <w:rsid w:val="00457804"/>
    <w:rsid w:val="004646BF"/>
    <w:rsid w:val="00464744"/>
    <w:rsid w:val="004665E3"/>
    <w:rsid w:val="004721FE"/>
    <w:rsid w:val="004731F1"/>
    <w:rsid w:val="004739A8"/>
    <w:rsid w:val="0047622F"/>
    <w:rsid w:val="00480BC8"/>
    <w:rsid w:val="00481265"/>
    <w:rsid w:val="004814BF"/>
    <w:rsid w:val="00481E6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440"/>
    <w:rsid w:val="005960E5"/>
    <w:rsid w:val="00597057"/>
    <w:rsid w:val="00597D8B"/>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350E"/>
    <w:rsid w:val="006440ED"/>
    <w:rsid w:val="00645293"/>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6A7B"/>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2D1D"/>
    <w:rsid w:val="00733D9B"/>
    <w:rsid w:val="00733FB9"/>
    <w:rsid w:val="00736034"/>
    <w:rsid w:val="0073681C"/>
    <w:rsid w:val="00736C89"/>
    <w:rsid w:val="0073709A"/>
    <w:rsid w:val="00741EBE"/>
    <w:rsid w:val="00746130"/>
    <w:rsid w:val="007469C0"/>
    <w:rsid w:val="00746A40"/>
    <w:rsid w:val="00750358"/>
    <w:rsid w:val="00750E0C"/>
    <w:rsid w:val="0075424A"/>
    <w:rsid w:val="00755CDF"/>
    <w:rsid w:val="00756731"/>
    <w:rsid w:val="00757A4C"/>
    <w:rsid w:val="00764A94"/>
    <w:rsid w:val="007651E5"/>
    <w:rsid w:val="007670DC"/>
    <w:rsid w:val="00771003"/>
    <w:rsid w:val="0077111A"/>
    <w:rsid w:val="00772272"/>
    <w:rsid w:val="0077542F"/>
    <w:rsid w:val="007756ED"/>
    <w:rsid w:val="0078047B"/>
    <w:rsid w:val="00784443"/>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6461"/>
    <w:rsid w:val="0080742F"/>
    <w:rsid w:val="0081096D"/>
    <w:rsid w:val="00810EAD"/>
    <w:rsid w:val="00811833"/>
    <w:rsid w:val="00814DCE"/>
    <w:rsid w:val="0081515B"/>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8F38A8"/>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22A8"/>
    <w:rsid w:val="00BA3689"/>
    <w:rsid w:val="00BA3E48"/>
    <w:rsid w:val="00BA4BD3"/>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7C1"/>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178F5"/>
    <w:rsid w:val="00D200BD"/>
    <w:rsid w:val="00D22399"/>
    <w:rsid w:val="00D260E1"/>
    <w:rsid w:val="00D33374"/>
    <w:rsid w:val="00D33751"/>
    <w:rsid w:val="00D33822"/>
    <w:rsid w:val="00D33A3D"/>
    <w:rsid w:val="00D36125"/>
    <w:rsid w:val="00D36F6E"/>
    <w:rsid w:val="00D37343"/>
    <w:rsid w:val="00D41291"/>
    <w:rsid w:val="00D4205E"/>
    <w:rsid w:val="00D46057"/>
    <w:rsid w:val="00D5081E"/>
    <w:rsid w:val="00D5574C"/>
    <w:rsid w:val="00D6057D"/>
    <w:rsid w:val="00D61982"/>
    <w:rsid w:val="00D62130"/>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41E4"/>
    <w:rsid w:val="00DC5116"/>
    <w:rsid w:val="00DC7C77"/>
    <w:rsid w:val="00DD7E19"/>
    <w:rsid w:val="00DD7EA2"/>
    <w:rsid w:val="00DE00F2"/>
    <w:rsid w:val="00DE117F"/>
    <w:rsid w:val="00DE401C"/>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B71"/>
    <w:rsid w:val="00F97C28"/>
    <w:rsid w:val="00FA1245"/>
    <w:rsid w:val="00FA2DDA"/>
    <w:rsid w:val="00FA34CA"/>
    <w:rsid w:val="00FA4A55"/>
    <w:rsid w:val="00FA4D4F"/>
    <w:rsid w:val="00FA54E8"/>
    <w:rsid w:val="00FB2D17"/>
    <w:rsid w:val="00FB2F69"/>
    <w:rsid w:val="00FB368B"/>
    <w:rsid w:val="00FB45FF"/>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0">
    <w:name w:val="5"/>
    <w:pPr>
      <w:numPr>
        <w:numId w:val="6"/>
      </w:numPr>
    </w:pPr>
  </w:style>
</w:styles>
</file>

<file path=word/webSettings.xml><?xml version="1.0" encoding="utf-8"?>
<w:webSettings xmlns:r="http://schemas.openxmlformats.org/officeDocument/2006/relationships" xmlns:w="http://schemas.openxmlformats.org/wordprocessingml/2006/main">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837574697">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2.jpeg" Type="http://schemas.openxmlformats.org/officeDocument/2006/relationships/image"/>
<Relationship Id="rId11" Target="footer2.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14" Target="stylesWithEffects.xml" Type="http://schemas.microsoft.com/office/2007/relationships/stylesWithEffects"/>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_rels/settings.xml.rels><?xml version="1.0" encoding="UTF-8" standalone="yes"?>
<Relationships xmlns="http://schemas.openxmlformats.org/package/2006/relationships">
<Relationship Id="rId1" Target="file:///C:/Users/Administrator/Desktop/temp/etf.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ABD08-BEA6-40A3-A6EB-29AD65E95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324</TotalTime>
  <Pages>23</Pages>
  <Words>3969</Words>
  <Characters>22626</Characters>
  <Application>Microsoft Office Word</Application>
  <DocSecurity>0</DocSecurity>
  <Lines>188</Lines>
  <Paragraphs>53</Paragraphs>
  <ScaleCrop>false</ScaleCrop>
  <Company>TRT. Ltd. Co.</Company>
  <LinksUpToDate>false</LinksUpToDate>
  <CharactersWithSpaces>26542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2012-11-13T02:08:00Z</dcterms:created>
  <cp:lastModifiedBy>China</cp:lastModifiedBy>
  <cp:lastPrinted>2007-07-19T00:46:00Z</cp:lastPrinted>
  <dcterms:modified xsi:type="dcterms:W3CDTF">2017-07-10T10:12:00Z</dcterms:modified>
  <cp:revision>394</cp:revision>
</cp:coreProperties>
</file>