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二〇一八年一月二十二日</w:t>
      </w:r>
    </w:p>
    <w:p w:rsidR="00220542" w:rsidRPr="0036023B" w:rsidRDefault="00220542" w:rsidP="00410CF9">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443A10" w:rsidRDefault="0030479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43A10" w:rsidRDefault="00304794">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43A10" w:rsidRDefault="0030479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43A10" w:rsidRDefault="0030479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43A10" w:rsidRDefault="00304794">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34,329,693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F79F0" w:rsidRPr="0036023B" w:rsidTr="009F79F0">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9F79F0" w:rsidRPr="0036023B" w:rsidTr="009F79F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585,450.81</w:t>
            </w:r>
          </w:p>
        </w:tc>
      </w:tr>
      <w:tr w:rsidR="009F79F0" w:rsidRPr="0036023B" w:rsidTr="009F79F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5,450,189.96</w:t>
            </w:r>
          </w:p>
        </w:tc>
      </w:tr>
      <w:tr w:rsidR="009F79F0" w:rsidRPr="0036023B" w:rsidTr="009F79F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0.1582</w:t>
            </w:r>
          </w:p>
        </w:tc>
      </w:tr>
      <w:tr w:rsidR="009F79F0" w:rsidRPr="0036023B" w:rsidTr="009F79F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64,996,291.28</w:t>
            </w:r>
          </w:p>
        </w:tc>
      </w:tr>
      <w:tr w:rsidR="009F79F0" w:rsidRPr="0036023B" w:rsidTr="009F79F0">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1.893</w:t>
            </w:r>
          </w:p>
        </w:tc>
      </w:tr>
    </w:tbl>
    <w:p w:rsidR="00443A10" w:rsidRDefault="0030479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443A10">
        <w:trPr>
          <w:jc w:val="center"/>
        </w:trPr>
        <w:tc>
          <w:tcPr>
            <w:tcW w:w="1469" w:type="dxa"/>
            <w:vAlign w:val="center"/>
          </w:tcPr>
          <w:p w:rsidR="00443A10" w:rsidRDefault="00304794">
            <w:pPr>
              <w:jc w:val="left"/>
            </w:pPr>
            <w:r>
              <w:rPr>
                <w:color w:val="000000"/>
                <w:sz w:val="24"/>
              </w:rPr>
              <w:t>过去三个月</w:t>
            </w:r>
          </w:p>
        </w:tc>
        <w:tc>
          <w:tcPr>
            <w:tcW w:w="1150" w:type="dxa"/>
            <w:vAlign w:val="center"/>
          </w:tcPr>
          <w:p w:rsidR="00443A10" w:rsidRDefault="00304794">
            <w:pPr>
              <w:jc w:val="center"/>
            </w:pPr>
            <w:r>
              <w:rPr>
                <w:color w:val="000000"/>
                <w:sz w:val="24"/>
              </w:rPr>
              <w:t>9.17%</w:t>
            </w:r>
          </w:p>
        </w:tc>
        <w:tc>
          <w:tcPr>
            <w:tcW w:w="1223" w:type="dxa"/>
            <w:vAlign w:val="center"/>
          </w:tcPr>
          <w:p w:rsidR="00443A10" w:rsidRDefault="00304794">
            <w:pPr>
              <w:jc w:val="center"/>
            </w:pPr>
            <w:r>
              <w:rPr>
                <w:color w:val="000000"/>
                <w:sz w:val="24"/>
              </w:rPr>
              <w:t>1.15%</w:t>
            </w:r>
          </w:p>
        </w:tc>
        <w:tc>
          <w:tcPr>
            <w:tcW w:w="1244" w:type="dxa"/>
            <w:vAlign w:val="center"/>
          </w:tcPr>
          <w:p w:rsidR="00443A10" w:rsidRDefault="00304794">
            <w:pPr>
              <w:jc w:val="center"/>
            </w:pPr>
            <w:r>
              <w:rPr>
                <w:color w:val="000000"/>
                <w:sz w:val="24"/>
              </w:rPr>
              <w:t>9.51%</w:t>
            </w:r>
          </w:p>
        </w:tc>
        <w:tc>
          <w:tcPr>
            <w:tcW w:w="1251" w:type="dxa"/>
            <w:vAlign w:val="center"/>
          </w:tcPr>
          <w:p w:rsidR="00443A10" w:rsidRDefault="00304794">
            <w:pPr>
              <w:jc w:val="center"/>
            </w:pPr>
            <w:r>
              <w:rPr>
                <w:color w:val="000000"/>
                <w:sz w:val="24"/>
              </w:rPr>
              <w:t>1.17%</w:t>
            </w:r>
          </w:p>
        </w:tc>
        <w:tc>
          <w:tcPr>
            <w:tcW w:w="1263" w:type="dxa"/>
            <w:vAlign w:val="center"/>
          </w:tcPr>
          <w:p w:rsidR="00443A10" w:rsidRDefault="00304794">
            <w:pPr>
              <w:jc w:val="center"/>
            </w:pPr>
            <w:r>
              <w:rPr>
                <w:color w:val="000000"/>
                <w:sz w:val="24"/>
              </w:rPr>
              <w:t>-0.34%</w:t>
            </w:r>
          </w:p>
        </w:tc>
        <w:tc>
          <w:tcPr>
            <w:tcW w:w="1268" w:type="dxa"/>
            <w:vAlign w:val="center"/>
          </w:tcPr>
          <w:p w:rsidR="00443A10" w:rsidRDefault="00304794">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443A10">
        <w:trPr>
          <w:jc w:val="center"/>
        </w:trPr>
        <w:tc>
          <w:tcPr>
            <w:tcW w:w="846" w:type="dxa"/>
            <w:vAlign w:val="center"/>
          </w:tcPr>
          <w:p w:rsidR="00443A10" w:rsidRDefault="00304794">
            <w:pPr>
              <w:jc w:val="center"/>
            </w:pPr>
            <w:r>
              <w:rPr>
                <w:color w:val="000000"/>
                <w:sz w:val="24"/>
              </w:rPr>
              <w:t>蔡铮</w:t>
            </w:r>
          </w:p>
        </w:tc>
        <w:tc>
          <w:tcPr>
            <w:tcW w:w="845" w:type="dxa"/>
            <w:vAlign w:val="center"/>
          </w:tcPr>
          <w:p w:rsidR="00443A10" w:rsidRDefault="00304794">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lastRenderedPageBreak/>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w:t>
            </w:r>
            <w:r>
              <w:rPr>
                <w:color w:val="000000"/>
                <w:sz w:val="24"/>
              </w:rPr>
              <w:lastRenderedPageBreak/>
              <w:t>多元资产管理副总监</w:t>
            </w:r>
          </w:p>
        </w:tc>
        <w:tc>
          <w:tcPr>
            <w:tcW w:w="1549" w:type="dxa"/>
            <w:vAlign w:val="center"/>
          </w:tcPr>
          <w:p w:rsidR="00443A10" w:rsidRDefault="00304794">
            <w:pPr>
              <w:jc w:val="center"/>
            </w:pPr>
            <w:r>
              <w:rPr>
                <w:color w:val="000000"/>
                <w:sz w:val="24"/>
              </w:rPr>
              <w:lastRenderedPageBreak/>
              <w:t>2012-12-27</w:t>
            </w:r>
          </w:p>
        </w:tc>
        <w:tc>
          <w:tcPr>
            <w:tcW w:w="1548" w:type="dxa"/>
            <w:vAlign w:val="center"/>
          </w:tcPr>
          <w:p w:rsidR="00443A10" w:rsidRDefault="00304794">
            <w:pPr>
              <w:jc w:val="center"/>
            </w:pPr>
            <w:r>
              <w:rPr>
                <w:color w:val="000000"/>
                <w:sz w:val="24"/>
              </w:rPr>
              <w:t>-</w:t>
            </w:r>
          </w:p>
        </w:tc>
        <w:tc>
          <w:tcPr>
            <w:tcW w:w="1407" w:type="dxa"/>
            <w:vAlign w:val="center"/>
          </w:tcPr>
          <w:p w:rsidR="00443A10" w:rsidRDefault="00304794">
            <w:pPr>
              <w:jc w:val="center"/>
            </w:pPr>
            <w:r>
              <w:rPr>
                <w:color w:val="000000"/>
                <w:sz w:val="24"/>
              </w:rPr>
              <w:t>8</w:t>
            </w:r>
            <w:r>
              <w:rPr>
                <w:color w:val="000000"/>
                <w:sz w:val="24"/>
              </w:rPr>
              <w:t>年</w:t>
            </w:r>
          </w:p>
        </w:tc>
        <w:tc>
          <w:tcPr>
            <w:tcW w:w="2673" w:type="dxa"/>
            <w:vAlign w:val="center"/>
          </w:tcPr>
          <w:p w:rsidR="00443A10" w:rsidRDefault="00304794">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w:t>
            </w:r>
            <w:r>
              <w:rPr>
                <w:color w:val="000000"/>
                <w:sz w:val="24"/>
              </w:rPr>
              <w:lastRenderedPageBreak/>
              <w:t>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443A10" w:rsidRDefault="0030479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43A10" w:rsidRDefault="0030479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443A10" w:rsidRDefault="0030479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lastRenderedPageBreak/>
        <w:t xml:space="preserve">4.4 </w:t>
      </w:r>
      <w:r w:rsidRPr="0036023B">
        <w:rPr>
          <w:rFonts w:hAnsi="宋体"/>
          <w:b/>
          <w:bCs/>
          <w:color w:val="000000"/>
          <w:sz w:val="24"/>
        </w:rPr>
        <w:t>报告期内基金的投资策略和运作分析</w:t>
      </w:r>
    </w:p>
    <w:p w:rsidR="00443A10" w:rsidRDefault="00304794">
      <w:pPr>
        <w:spacing w:before="29" w:line="288" w:lineRule="auto"/>
        <w:ind w:firstLineChars="200" w:firstLine="480"/>
        <w:rPr>
          <w:color w:val="000000"/>
          <w:sz w:val="24"/>
        </w:rPr>
      </w:pPr>
      <w:r>
        <w:rPr>
          <w:color w:val="000000"/>
          <w:sz w:val="24"/>
        </w:rPr>
        <w:t>2017</w:t>
      </w:r>
      <w:r>
        <w:rPr>
          <w:color w:val="000000"/>
          <w:sz w:val="24"/>
        </w:rPr>
        <w:t>年四季度全球主要经济体景气继续改善，国内方面，环保限产下经济阶段性承压，供给和需求端均现收缩，人民币汇率受益于美元疲软而持续升值。在此经济背景下，四季度</w:t>
      </w:r>
      <w:r>
        <w:rPr>
          <w:color w:val="000000"/>
          <w:sz w:val="24"/>
        </w:rPr>
        <w:t>A</w:t>
      </w:r>
      <w:r>
        <w:rPr>
          <w:color w:val="000000"/>
          <w:sz w:val="24"/>
        </w:rPr>
        <w:t>股市场宽幅震荡，作为跟踪基准指数的指数基金，四季度基金总体呈现出震荡上行的走势。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展望下一季度，我们认为通胀或成国内主要风险，成本推动型通胀压力加速显性化，</w:t>
      </w:r>
      <w:r w:rsidRPr="0036023B">
        <w:rPr>
          <w:color w:val="000000"/>
          <w:sz w:val="24"/>
        </w:rPr>
        <w:t>PPI</w:t>
      </w:r>
      <w:r w:rsidRPr="0036023B">
        <w:rPr>
          <w:color w:val="000000"/>
          <w:sz w:val="24"/>
        </w:rPr>
        <w:t>向</w:t>
      </w:r>
      <w:r w:rsidRPr="0036023B">
        <w:rPr>
          <w:color w:val="000000"/>
          <w:sz w:val="24"/>
        </w:rPr>
        <w:t>CPI</w:t>
      </w:r>
      <w:r w:rsidRPr="0036023B">
        <w:rPr>
          <w:color w:val="000000"/>
          <w:sz w:val="24"/>
        </w:rPr>
        <w:t>传导逐步显现。同时，经济数据的阶段性下滑，或将继续扰动市场对需求端的预期。总体而言，我们对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1.893</w:t>
      </w:r>
      <w:r w:rsidRPr="0036023B">
        <w:rPr>
          <w:color w:val="000000"/>
          <w:sz w:val="24"/>
        </w:rPr>
        <w:t>元，本报告期份额净值增长率为</w:t>
      </w:r>
      <w:r w:rsidRPr="0036023B">
        <w:rPr>
          <w:color w:val="000000"/>
          <w:sz w:val="24"/>
        </w:rPr>
        <w:t>9.17%</w:t>
      </w:r>
      <w:r w:rsidRPr="0036023B">
        <w:rPr>
          <w:color w:val="000000"/>
          <w:sz w:val="24"/>
        </w:rPr>
        <w:t>，同期业绩比较基准增长率为</w:t>
      </w:r>
      <w:r w:rsidRPr="0036023B">
        <w:rPr>
          <w:color w:val="000000"/>
          <w:sz w:val="24"/>
        </w:rPr>
        <w:t>9.51%</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64,540,870.67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98.48</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64,540,870.67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98.48</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106,600.00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0.16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106,600.00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0.16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890,116.36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1.36</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305.71</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65,537,892.74</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2,800,054.00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4.31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525,933.60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0.81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42,101,223.98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64.77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1,058,842.45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1.63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704,290.64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621,188.00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206,476.00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6,449,864.47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7,130,806.38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10.97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1,601,520.64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645,019.26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401,651.25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64,540,870.67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99.30</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443A10">
        <w:trPr>
          <w:jc w:val="center"/>
        </w:trPr>
        <w:tc>
          <w:tcPr>
            <w:tcW w:w="850" w:type="dxa"/>
            <w:vAlign w:val="center"/>
          </w:tcPr>
          <w:p w:rsidR="00443A10" w:rsidRDefault="00304794">
            <w:pPr>
              <w:jc w:val="center"/>
            </w:pPr>
            <w:r>
              <w:rPr>
                <w:color w:val="000000"/>
                <w:sz w:val="24"/>
              </w:rPr>
              <w:t>1</w:t>
            </w:r>
          </w:p>
        </w:tc>
        <w:tc>
          <w:tcPr>
            <w:tcW w:w="1327" w:type="dxa"/>
            <w:vAlign w:val="center"/>
          </w:tcPr>
          <w:p w:rsidR="00443A10" w:rsidRDefault="00304794">
            <w:pPr>
              <w:jc w:val="center"/>
            </w:pPr>
            <w:r>
              <w:rPr>
                <w:color w:val="000000"/>
                <w:sz w:val="24"/>
              </w:rPr>
              <w:t>000333</w:t>
            </w:r>
          </w:p>
        </w:tc>
        <w:tc>
          <w:tcPr>
            <w:tcW w:w="1769" w:type="dxa"/>
            <w:vAlign w:val="center"/>
          </w:tcPr>
          <w:p w:rsidR="00443A10" w:rsidRDefault="00304794">
            <w:pPr>
              <w:jc w:val="center"/>
            </w:pPr>
            <w:r>
              <w:rPr>
                <w:color w:val="000000"/>
                <w:sz w:val="24"/>
              </w:rPr>
              <w:t>美的集团</w:t>
            </w:r>
          </w:p>
        </w:tc>
        <w:tc>
          <w:tcPr>
            <w:tcW w:w="1327" w:type="dxa"/>
            <w:vAlign w:val="center"/>
          </w:tcPr>
          <w:p w:rsidR="00443A10" w:rsidRDefault="00304794">
            <w:pPr>
              <w:jc w:val="right"/>
            </w:pPr>
            <w:r>
              <w:rPr>
                <w:color w:val="000000"/>
                <w:sz w:val="24"/>
              </w:rPr>
              <w:t>103,087</w:t>
            </w:r>
          </w:p>
        </w:tc>
        <w:tc>
          <w:tcPr>
            <w:tcW w:w="1915" w:type="dxa"/>
            <w:vAlign w:val="center"/>
          </w:tcPr>
          <w:p w:rsidR="00443A10" w:rsidRDefault="00304794">
            <w:pPr>
              <w:jc w:val="right"/>
            </w:pPr>
            <w:r>
              <w:rPr>
                <w:color w:val="000000"/>
                <w:sz w:val="24"/>
              </w:rPr>
              <w:t>5,714,112.41</w:t>
            </w:r>
          </w:p>
        </w:tc>
        <w:tc>
          <w:tcPr>
            <w:tcW w:w="1680" w:type="dxa"/>
            <w:vAlign w:val="center"/>
          </w:tcPr>
          <w:p w:rsidR="00443A10" w:rsidRDefault="00304794">
            <w:pPr>
              <w:jc w:val="right"/>
            </w:pPr>
            <w:r>
              <w:rPr>
                <w:color w:val="000000"/>
                <w:sz w:val="24"/>
              </w:rPr>
              <w:t>8.79</w:t>
            </w:r>
          </w:p>
        </w:tc>
      </w:tr>
      <w:tr w:rsidR="00443A10">
        <w:trPr>
          <w:jc w:val="center"/>
        </w:trPr>
        <w:tc>
          <w:tcPr>
            <w:tcW w:w="850" w:type="dxa"/>
            <w:vAlign w:val="center"/>
          </w:tcPr>
          <w:p w:rsidR="00443A10" w:rsidRDefault="00304794">
            <w:pPr>
              <w:jc w:val="center"/>
            </w:pPr>
            <w:r>
              <w:rPr>
                <w:color w:val="000000"/>
                <w:sz w:val="24"/>
              </w:rPr>
              <w:t>2</w:t>
            </w:r>
          </w:p>
        </w:tc>
        <w:tc>
          <w:tcPr>
            <w:tcW w:w="1327" w:type="dxa"/>
            <w:vAlign w:val="center"/>
          </w:tcPr>
          <w:p w:rsidR="00443A10" w:rsidRDefault="00304794">
            <w:pPr>
              <w:jc w:val="center"/>
            </w:pPr>
            <w:r>
              <w:rPr>
                <w:color w:val="000000"/>
                <w:sz w:val="24"/>
              </w:rPr>
              <w:t>000651</w:t>
            </w:r>
          </w:p>
        </w:tc>
        <w:tc>
          <w:tcPr>
            <w:tcW w:w="1769" w:type="dxa"/>
            <w:vAlign w:val="center"/>
          </w:tcPr>
          <w:p w:rsidR="00443A10" w:rsidRDefault="00304794">
            <w:pPr>
              <w:jc w:val="center"/>
            </w:pPr>
            <w:r>
              <w:rPr>
                <w:color w:val="000000"/>
                <w:sz w:val="24"/>
              </w:rPr>
              <w:t>格力电器</w:t>
            </w:r>
          </w:p>
        </w:tc>
        <w:tc>
          <w:tcPr>
            <w:tcW w:w="1327" w:type="dxa"/>
            <w:vAlign w:val="center"/>
          </w:tcPr>
          <w:p w:rsidR="00443A10" w:rsidRDefault="00304794">
            <w:pPr>
              <w:jc w:val="right"/>
            </w:pPr>
            <w:r>
              <w:rPr>
                <w:color w:val="000000"/>
                <w:sz w:val="24"/>
              </w:rPr>
              <w:t>110,974</w:t>
            </w:r>
          </w:p>
        </w:tc>
        <w:tc>
          <w:tcPr>
            <w:tcW w:w="1915" w:type="dxa"/>
            <w:vAlign w:val="center"/>
          </w:tcPr>
          <w:p w:rsidR="00443A10" w:rsidRDefault="00304794">
            <w:pPr>
              <w:jc w:val="right"/>
            </w:pPr>
            <w:r>
              <w:rPr>
                <w:color w:val="000000"/>
                <w:sz w:val="24"/>
              </w:rPr>
              <w:t>4,849,563.80</w:t>
            </w:r>
          </w:p>
        </w:tc>
        <w:tc>
          <w:tcPr>
            <w:tcW w:w="1680" w:type="dxa"/>
            <w:vAlign w:val="center"/>
          </w:tcPr>
          <w:p w:rsidR="00443A10" w:rsidRDefault="00304794">
            <w:pPr>
              <w:jc w:val="right"/>
            </w:pPr>
            <w:r>
              <w:rPr>
                <w:color w:val="000000"/>
                <w:sz w:val="24"/>
              </w:rPr>
              <w:t>7.46</w:t>
            </w:r>
          </w:p>
        </w:tc>
      </w:tr>
      <w:tr w:rsidR="00443A10">
        <w:trPr>
          <w:jc w:val="center"/>
        </w:trPr>
        <w:tc>
          <w:tcPr>
            <w:tcW w:w="850" w:type="dxa"/>
            <w:vAlign w:val="center"/>
          </w:tcPr>
          <w:p w:rsidR="00443A10" w:rsidRDefault="00304794">
            <w:pPr>
              <w:jc w:val="center"/>
            </w:pPr>
            <w:r>
              <w:rPr>
                <w:color w:val="000000"/>
                <w:sz w:val="24"/>
              </w:rPr>
              <w:t>3</w:t>
            </w:r>
          </w:p>
        </w:tc>
        <w:tc>
          <w:tcPr>
            <w:tcW w:w="1327" w:type="dxa"/>
            <w:vAlign w:val="center"/>
          </w:tcPr>
          <w:p w:rsidR="00443A10" w:rsidRDefault="00304794">
            <w:pPr>
              <w:jc w:val="center"/>
            </w:pPr>
            <w:r>
              <w:rPr>
                <w:color w:val="000000"/>
                <w:sz w:val="24"/>
              </w:rPr>
              <w:t>000858</w:t>
            </w:r>
          </w:p>
        </w:tc>
        <w:tc>
          <w:tcPr>
            <w:tcW w:w="1769" w:type="dxa"/>
            <w:vAlign w:val="center"/>
          </w:tcPr>
          <w:p w:rsidR="00443A10" w:rsidRDefault="0030479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443A10" w:rsidRDefault="00304794">
            <w:pPr>
              <w:jc w:val="right"/>
            </w:pPr>
            <w:r>
              <w:rPr>
                <w:color w:val="000000"/>
                <w:sz w:val="24"/>
              </w:rPr>
              <w:t>42,726</w:t>
            </w:r>
          </w:p>
        </w:tc>
        <w:tc>
          <w:tcPr>
            <w:tcW w:w="1915" w:type="dxa"/>
            <w:vAlign w:val="center"/>
          </w:tcPr>
          <w:p w:rsidR="00443A10" w:rsidRDefault="00304794">
            <w:pPr>
              <w:jc w:val="right"/>
            </w:pPr>
            <w:r>
              <w:rPr>
                <w:color w:val="000000"/>
                <w:sz w:val="24"/>
              </w:rPr>
              <w:t>3,412,952.88</w:t>
            </w:r>
          </w:p>
        </w:tc>
        <w:tc>
          <w:tcPr>
            <w:tcW w:w="1680" w:type="dxa"/>
            <w:vAlign w:val="center"/>
          </w:tcPr>
          <w:p w:rsidR="00443A10" w:rsidRDefault="00304794">
            <w:pPr>
              <w:jc w:val="right"/>
            </w:pPr>
            <w:r>
              <w:rPr>
                <w:color w:val="000000"/>
                <w:sz w:val="24"/>
              </w:rPr>
              <w:t>5.25</w:t>
            </w:r>
          </w:p>
        </w:tc>
      </w:tr>
      <w:tr w:rsidR="00443A10">
        <w:trPr>
          <w:jc w:val="center"/>
        </w:trPr>
        <w:tc>
          <w:tcPr>
            <w:tcW w:w="850" w:type="dxa"/>
            <w:vAlign w:val="center"/>
          </w:tcPr>
          <w:p w:rsidR="00443A10" w:rsidRDefault="00304794">
            <w:pPr>
              <w:jc w:val="center"/>
            </w:pPr>
            <w:r>
              <w:rPr>
                <w:color w:val="000000"/>
                <w:sz w:val="24"/>
              </w:rPr>
              <w:t>4</w:t>
            </w:r>
          </w:p>
        </w:tc>
        <w:tc>
          <w:tcPr>
            <w:tcW w:w="1327" w:type="dxa"/>
            <w:vAlign w:val="center"/>
          </w:tcPr>
          <w:p w:rsidR="00443A10" w:rsidRDefault="00304794">
            <w:pPr>
              <w:jc w:val="center"/>
            </w:pPr>
            <w:r>
              <w:rPr>
                <w:color w:val="000000"/>
                <w:sz w:val="24"/>
              </w:rPr>
              <w:t>000725</w:t>
            </w:r>
          </w:p>
        </w:tc>
        <w:tc>
          <w:tcPr>
            <w:tcW w:w="1769" w:type="dxa"/>
            <w:vAlign w:val="center"/>
          </w:tcPr>
          <w:p w:rsidR="00443A10" w:rsidRDefault="00304794">
            <w:pPr>
              <w:jc w:val="center"/>
            </w:pPr>
            <w:r>
              <w:rPr>
                <w:color w:val="000000"/>
                <w:sz w:val="24"/>
              </w:rPr>
              <w:t>京东方Ａ</w:t>
            </w:r>
          </w:p>
        </w:tc>
        <w:tc>
          <w:tcPr>
            <w:tcW w:w="1327" w:type="dxa"/>
            <w:vAlign w:val="center"/>
          </w:tcPr>
          <w:p w:rsidR="00443A10" w:rsidRDefault="00304794">
            <w:pPr>
              <w:jc w:val="right"/>
            </w:pPr>
            <w:r>
              <w:rPr>
                <w:color w:val="000000"/>
                <w:sz w:val="24"/>
              </w:rPr>
              <w:t>585,385</w:t>
            </w:r>
          </w:p>
        </w:tc>
        <w:tc>
          <w:tcPr>
            <w:tcW w:w="1915" w:type="dxa"/>
            <w:vAlign w:val="center"/>
          </w:tcPr>
          <w:p w:rsidR="00443A10" w:rsidRDefault="00304794">
            <w:pPr>
              <w:jc w:val="right"/>
            </w:pPr>
            <w:r>
              <w:rPr>
                <w:color w:val="000000"/>
                <w:sz w:val="24"/>
              </w:rPr>
              <w:t>3,389,379.15</w:t>
            </w:r>
          </w:p>
        </w:tc>
        <w:tc>
          <w:tcPr>
            <w:tcW w:w="1680" w:type="dxa"/>
            <w:vAlign w:val="center"/>
          </w:tcPr>
          <w:p w:rsidR="00443A10" w:rsidRDefault="00304794">
            <w:pPr>
              <w:jc w:val="right"/>
            </w:pPr>
            <w:r>
              <w:rPr>
                <w:color w:val="000000"/>
                <w:sz w:val="24"/>
              </w:rPr>
              <w:t>5.21</w:t>
            </w:r>
          </w:p>
        </w:tc>
      </w:tr>
      <w:tr w:rsidR="00443A10">
        <w:trPr>
          <w:jc w:val="center"/>
        </w:trPr>
        <w:tc>
          <w:tcPr>
            <w:tcW w:w="850" w:type="dxa"/>
            <w:vAlign w:val="center"/>
          </w:tcPr>
          <w:p w:rsidR="00443A10" w:rsidRDefault="00304794">
            <w:pPr>
              <w:jc w:val="center"/>
            </w:pPr>
            <w:r>
              <w:rPr>
                <w:color w:val="000000"/>
                <w:sz w:val="24"/>
              </w:rPr>
              <w:t>5</w:t>
            </w:r>
          </w:p>
        </w:tc>
        <w:tc>
          <w:tcPr>
            <w:tcW w:w="1327" w:type="dxa"/>
            <w:vAlign w:val="center"/>
          </w:tcPr>
          <w:p w:rsidR="00443A10" w:rsidRDefault="00304794">
            <w:pPr>
              <w:jc w:val="center"/>
            </w:pPr>
            <w:r>
              <w:rPr>
                <w:color w:val="000000"/>
                <w:sz w:val="24"/>
              </w:rPr>
              <w:t>002415</w:t>
            </w:r>
          </w:p>
        </w:tc>
        <w:tc>
          <w:tcPr>
            <w:tcW w:w="1769" w:type="dxa"/>
            <w:vAlign w:val="center"/>
          </w:tcPr>
          <w:p w:rsidR="00443A10" w:rsidRDefault="00304794">
            <w:pPr>
              <w:jc w:val="center"/>
            </w:pPr>
            <w:r>
              <w:rPr>
                <w:color w:val="000000"/>
                <w:sz w:val="24"/>
              </w:rPr>
              <w:t>海康威视</w:t>
            </w:r>
          </w:p>
        </w:tc>
        <w:tc>
          <w:tcPr>
            <w:tcW w:w="1327" w:type="dxa"/>
            <w:vAlign w:val="center"/>
          </w:tcPr>
          <w:p w:rsidR="00443A10" w:rsidRDefault="00304794">
            <w:pPr>
              <w:jc w:val="right"/>
            </w:pPr>
            <w:r>
              <w:rPr>
                <w:color w:val="000000"/>
                <w:sz w:val="24"/>
              </w:rPr>
              <w:t>75,350</w:t>
            </w:r>
          </w:p>
        </w:tc>
        <w:tc>
          <w:tcPr>
            <w:tcW w:w="1915" w:type="dxa"/>
            <w:vAlign w:val="center"/>
          </w:tcPr>
          <w:p w:rsidR="00443A10" w:rsidRDefault="00304794">
            <w:pPr>
              <w:jc w:val="right"/>
            </w:pPr>
            <w:r>
              <w:rPr>
                <w:color w:val="000000"/>
                <w:sz w:val="24"/>
              </w:rPr>
              <w:t>2,938,650.00</w:t>
            </w:r>
          </w:p>
        </w:tc>
        <w:tc>
          <w:tcPr>
            <w:tcW w:w="1680" w:type="dxa"/>
            <w:vAlign w:val="center"/>
          </w:tcPr>
          <w:p w:rsidR="00443A10" w:rsidRDefault="00304794">
            <w:pPr>
              <w:jc w:val="right"/>
            </w:pPr>
            <w:r>
              <w:rPr>
                <w:color w:val="000000"/>
                <w:sz w:val="24"/>
              </w:rPr>
              <w:t>4.52</w:t>
            </w:r>
          </w:p>
        </w:tc>
      </w:tr>
      <w:tr w:rsidR="00443A10">
        <w:trPr>
          <w:jc w:val="center"/>
        </w:trPr>
        <w:tc>
          <w:tcPr>
            <w:tcW w:w="850" w:type="dxa"/>
            <w:vAlign w:val="center"/>
          </w:tcPr>
          <w:p w:rsidR="00443A10" w:rsidRDefault="00304794">
            <w:pPr>
              <w:jc w:val="center"/>
            </w:pPr>
            <w:r>
              <w:rPr>
                <w:color w:val="000000"/>
                <w:sz w:val="24"/>
              </w:rPr>
              <w:t>6</w:t>
            </w:r>
          </w:p>
        </w:tc>
        <w:tc>
          <w:tcPr>
            <w:tcW w:w="1327" w:type="dxa"/>
            <w:vAlign w:val="center"/>
          </w:tcPr>
          <w:p w:rsidR="00443A10" w:rsidRDefault="00304794">
            <w:pPr>
              <w:jc w:val="center"/>
            </w:pPr>
            <w:r>
              <w:rPr>
                <w:color w:val="000000"/>
                <w:sz w:val="24"/>
              </w:rPr>
              <w:t>000002</w:t>
            </w:r>
          </w:p>
        </w:tc>
        <w:tc>
          <w:tcPr>
            <w:tcW w:w="1769" w:type="dxa"/>
            <w:vAlign w:val="center"/>
          </w:tcPr>
          <w:p w:rsidR="00443A10" w:rsidRDefault="00304794">
            <w:pPr>
              <w:jc w:val="center"/>
            </w:pPr>
            <w:r>
              <w:rPr>
                <w:color w:val="000000"/>
                <w:sz w:val="24"/>
              </w:rPr>
              <w:t>万</w:t>
            </w:r>
            <w:r>
              <w:rPr>
                <w:color w:val="000000"/>
                <w:sz w:val="24"/>
              </w:rPr>
              <w:t xml:space="preserve">  </w:t>
            </w:r>
            <w:r>
              <w:rPr>
                <w:color w:val="000000"/>
                <w:sz w:val="24"/>
              </w:rPr>
              <w:t>科Ａ</w:t>
            </w:r>
          </w:p>
        </w:tc>
        <w:tc>
          <w:tcPr>
            <w:tcW w:w="1327" w:type="dxa"/>
            <w:vAlign w:val="center"/>
          </w:tcPr>
          <w:p w:rsidR="00443A10" w:rsidRDefault="00304794">
            <w:pPr>
              <w:jc w:val="right"/>
            </w:pPr>
            <w:r>
              <w:rPr>
                <w:color w:val="000000"/>
                <w:sz w:val="24"/>
              </w:rPr>
              <w:t>93,900</w:t>
            </w:r>
          </w:p>
        </w:tc>
        <w:tc>
          <w:tcPr>
            <w:tcW w:w="1915" w:type="dxa"/>
            <w:vAlign w:val="center"/>
          </w:tcPr>
          <w:p w:rsidR="00443A10" w:rsidRDefault="00304794">
            <w:pPr>
              <w:jc w:val="right"/>
            </w:pPr>
            <w:r>
              <w:rPr>
                <w:color w:val="000000"/>
                <w:sz w:val="24"/>
              </w:rPr>
              <w:t>2,916,534.00</w:t>
            </w:r>
          </w:p>
        </w:tc>
        <w:tc>
          <w:tcPr>
            <w:tcW w:w="1680" w:type="dxa"/>
            <w:vAlign w:val="center"/>
          </w:tcPr>
          <w:p w:rsidR="00443A10" w:rsidRDefault="00304794">
            <w:pPr>
              <w:jc w:val="right"/>
            </w:pPr>
            <w:r>
              <w:rPr>
                <w:color w:val="000000"/>
                <w:sz w:val="24"/>
              </w:rPr>
              <w:t>4.49</w:t>
            </w:r>
          </w:p>
        </w:tc>
      </w:tr>
      <w:tr w:rsidR="00443A10">
        <w:trPr>
          <w:jc w:val="center"/>
        </w:trPr>
        <w:tc>
          <w:tcPr>
            <w:tcW w:w="850" w:type="dxa"/>
            <w:vAlign w:val="center"/>
          </w:tcPr>
          <w:p w:rsidR="00443A10" w:rsidRDefault="00304794">
            <w:pPr>
              <w:jc w:val="center"/>
            </w:pPr>
            <w:r>
              <w:rPr>
                <w:color w:val="000000"/>
                <w:sz w:val="24"/>
              </w:rPr>
              <w:t>7</w:t>
            </w:r>
          </w:p>
        </w:tc>
        <w:tc>
          <w:tcPr>
            <w:tcW w:w="1327" w:type="dxa"/>
            <w:vAlign w:val="center"/>
          </w:tcPr>
          <w:p w:rsidR="00443A10" w:rsidRDefault="00304794">
            <w:pPr>
              <w:jc w:val="center"/>
            </w:pPr>
            <w:r>
              <w:rPr>
                <w:color w:val="000000"/>
                <w:sz w:val="24"/>
              </w:rPr>
              <w:t>000001</w:t>
            </w:r>
          </w:p>
        </w:tc>
        <w:tc>
          <w:tcPr>
            <w:tcW w:w="1769" w:type="dxa"/>
            <w:vAlign w:val="center"/>
          </w:tcPr>
          <w:p w:rsidR="00443A10" w:rsidRDefault="00304794">
            <w:pPr>
              <w:jc w:val="center"/>
            </w:pPr>
            <w:r>
              <w:rPr>
                <w:color w:val="000000"/>
                <w:sz w:val="24"/>
              </w:rPr>
              <w:t>平安银行</w:t>
            </w:r>
          </w:p>
        </w:tc>
        <w:tc>
          <w:tcPr>
            <w:tcW w:w="1327" w:type="dxa"/>
            <w:vAlign w:val="center"/>
          </w:tcPr>
          <w:p w:rsidR="00443A10" w:rsidRDefault="00304794">
            <w:pPr>
              <w:jc w:val="right"/>
            </w:pPr>
            <w:r>
              <w:rPr>
                <w:color w:val="000000"/>
                <w:sz w:val="24"/>
              </w:rPr>
              <w:t>195,094</w:t>
            </w:r>
          </w:p>
        </w:tc>
        <w:tc>
          <w:tcPr>
            <w:tcW w:w="1915" w:type="dxa"/>
            <w:vAlign w:val="center"/>
          </w:tcPr>
          <w:p w:rsidR="00443A10" w:rsidRDefault="00304794">
            <w:pPr>
              <w:jc w:val="right"/>
            </w:pPr>
            <w:r>
              <w:rPr>
                <w:color w:val="000000"/>
                <w:sz w:val="24"/>
              </w:rPr>
              <w:t>2,594,750.20</w:t>
            </w:r>
          </w:p>
        </w:tc>
        <w:tc>
          <w:tcPr>
            <w:tcW w:w="1680" w:type="dxa"/>
            <w:vAlign w:val="center"/>
          </w:tcPr>
          <w:p w:rsidR="00443A10" w:rsidRDefault="00304794">
            <w:pPr>
              <w:jc w:val="right"/>
            </w:pPr>
            <w:r>
              <w:rPr>
                <w:color w:val="000000"/>
                <w:sz w:val="24"/>
              </w:rPr>
              <w:t>3.99</w:t>
            </w:r>
          </w:p>
        </w:tc>
      </w:tr>
      <w:tr w:rsidR="00443A10">
        <w:trPr>
          <w:jc w:val="center"/>
        </w:trPr>
        <w:tc>
          <w:tcPr>
            <w:tcW w:w="850" w:type="dxa"/>
            <w:vAlign w:val="center"/>
          </w:tcPr>
          <w:p w:rsidR="00443A10" w:rsidRDefault="00304794">
            <w:pPr>
              <w:jc w:val="center"/>
            </w:pPr>
            <w:r>
              <w:rPr>
                <w:color w:val="000000"/>
                <w:sz w:val="24"/>
              </w:rPr>
              <w:t>8</w:t>
            </w:r>
          </w:p>
        </w:tc>
        <w:tc>
          <w:tcPr>
            <w:tcW w:w="1327" w:type="dxa"/>
            <w:vAlign w:val="center"/>
          </w:tcPr>
          <w:p w:rsidR="00443A10" w:rsidRDefault="00304794">
            <w:pPr>
              <w:jc w:val="center"/>
            </w:pPr>
            <w:r>
              <w:rPr>
                <w:color w:val="000000"/>
                <w:sz w:val="24"/>
              </w:rPr>
              <w:t>300498</w:t>
            </w:r>
          </w:p>
        </w:tc>
        <w:tc>
          <w:tcPr>
            <w:tcW w:w="1769" w:type="dxa"/>
            <w:vAlign w:val="center"/>
          </w:tcPr>
          <w:p w:rsidR="00443A10" w:rsidRDefault="00304794">
            <w:pPr>
              <w:jc w:val="center"/>
            </w:pPr>
            <w:r>
              <w:rPr>
                <w:color w:val="000000"/>
                <w:sz w:val="24"/>
              </w:rPr>
              <w:t>温氏股份</w:t>
            </w:r>
          </w:p>
        </w:tc>
        <w:tc>
          <w:tcPr>
            <w:tcW w:w="1327" w:type="dxa"/>
            <w:vAlign w:val="center"/>
          </w:tcPr>
          <w:p w:rsidR="00443A10" w:rsidRDefault="00304794">
            <w:pPr>
              <w:jc w:val="right"/>
            </w:pPr>
            <w:r>
              <w:rPr>
                <w:color w:val="000000"/>
                <w:sz w:val="24"/>
              </w:rPr>
              <w:t>86,300</w:t>
            </w:r>
          </w:p>
        </w:tc>
        <w:tc>
          <w:tcPr>
            <w:tcW w:w="1915" w:type="dxa"/>
            <w:vAlign w:val="center"/>
          </w:tcPr>
          <w:p w:rsidR="00443A10" w:rsidRDefault="00304794">
            <w:pPr>
              <w:jc w:val="right"/>
            </w:pPr>
            <w:r>
              <w:rPr>
                <w:color w:val="000000"/>
                <w:sz w:val="24"/>
              </w:rPr>
              <w:t>2,062,570.00</w:t>
            </w:r>
          </w:p>
        </w:tc>
        <w:tc>
          <w:tcPr>
            <w:tcW w:w="1680" w:type="dxa"/>
            <w:vAlign w:val="center"/>
          </w:tcPr>
          <w:p w:rsidR="00443A10" w:rsidRDefault="00304794">
            <w:pPr>
              <w:jc w:val="right"/>
            </w:pPr>
            <w:r>
              <w:rPr>
                <w:color w:val="000000"/>
                <w:sz w:val="24"/>
              </w:rPr>
              <w:t>3.17</w:t>
            </w:r>
          </w:p>
        </w:tc>
      </w:tr>
      <w:tr w:rsidR="00443A10">
        <w:trPr>
          <w:jc w:val="center"/>
        </w:trPr>
        <w:tc>
          <w:tcPr>
            <w:tcW w:w="850" w:type="dxa"/>
            <w:vAlign w:val="center"/>
          </w:tcPr>
          <w:p w:rsidR="00443A10" w:rsidRDefault="00304794">
            <w:pPr>
              <w:jc w:val="center"/>
            </w:pPr>
            <w:r>
              <w:rPr>
                <w:color w:val="000000"/>
                <w:sz w:val="24"/>
              </w:rPr>
              <w:t>9</w:t>
            </w:r>
          </w:p>
        </w:tc>
        <w:tc>
          <w:tcPr>
            <w:tcW w:w="1327" w:type="dxa"/>
            <w:vAlign w:val="center"/>
          </w:tcPr>
          <w:p w:rsidR="00443A10" w:rsidRDefault="00304794">
            <w:pPr>
              <w:jc w:val="center"/>
            </w:pPr>
            <w:r>
              <w:rPr>
                <w:color w:val="000000"/>
                <w:sz w:val="24"/>
              </w:rPr>
              <w:t>002304</w:t>
            </w:r>
          </w:p>
        </w:tc>
        <w:tc>
          <w:tcPr>
            <w:tcW w:w="1769" w:type="dxa"/>
            <w:vAlign w:val="center"/>
          </w:tcPr>
          <w:p w:rsidR="00443A10" w:rsidRDefault="00304794">
            <w:pPr>
              <w:jc w:val="center"/>
            </w:pPr>
            <w:r>
              <w:rPr>
                <w:color w:val="000000"/>
                <w:sz w:val="24"/>
              </w:rPr>
              <w:t>洋河股份</w:t>
            </w:r>
          </w:p>
        </w:tc>
        <w:tc>
          <w:tcPr>
            <w:tcW w:w="1327" w:type="dxa"/>
            <w:vAlign w:val="center"/>
          </w:tcPr>
          <w:p w:rsidR="00443A10" w:rsidRDefault="00304794">
            <w:pPr>
              <w:jc w:val="right"/>
            </w:pPr>
            <w:r>
              <w:rPr>
                <w:color w:val="000000"/>
                <w:sz w:val="24"/>
              </w:rPr>
              <w:t>13,038</w:t>
            </w:r>
          </w:p>
        </w:tc>
        <w:tc>
          <w:tcPr>
            <w:tcW w:w="1915" w:type="dxa"/>
            <w:vAlign w:val="center"/>
          </w:tcPr>
          <w:p w:rsidR="00443A10" w:rsidRDefault="00304794">
            <w:pPr>
              <w:jc w:val="right"/>
            </w:pPr>
            <w:r>
              <w:rPr>
                <w:color w:val="000000"/>
                <w:sz w:val="24"/>
              </w:rPr>
              <w:t>1,499,370.00</w:t>
            </w:r>
          </w:p>
        </w:tc>
        <w:tc>
          <w:tcPr>
            <w:tcW w:w="1680" w:type="dxa"/>
            <w:vAlign w:val="center"/>
          </w:tcPr>
          <w:p w:rsidR="00443A10" w:rsidRDefault="00304794">
            <w:pPr>
              <w:jc w:val="right"/>
            </w:pPr>
            <w:r>
              <w:rPr>
                <w:color w:val="000000"/>
                <w:sz w:val="24"/>
              </w:rPr>
              <w:t>2.31</w:t>
            </w:r>
          </w:p>
        </w:tc>
      </w:tr>
      <w:tr w:rsidR="00443A10">
        <w:trPr>
          <w:jc w:val="center"/>
        </w:trPr>
        <w:tc>
          <w:tcPr>
            <w:tcW w:w="850" w:type="dxa"/>
            <w:vAlign w:val="center"/>
          </w:tcPr>
          <w:p w:rsidR="00443A10" w:rsidRDefault="00304794">
            <w:pPr>
              <w:jc w:val="center"/>
            </w:pPr>
            <w:r>
              <w:rPr>
                <w:color w:val="000000"/>
                <w:sz w:val="24"/>
              </w:rPr>
              <w:t>10</w:t>
            </w:r>
          </w:p>
        </w:tc>
        <w:tc>
          <w:tcPr>
            <w:tcW w:w="1327" w:type="dxa"/>
            <w:vAlign w:val="center"/>
          </w:tcPr>
          <w:p w:rsidR="00443A10" w:rsidRDefault="00304794">
            <w:pPr>
              <w:jc w:val="center"/>
            </w:pPr>
            <w:r>
              <w:rPr>
                <w:color w:val="000000"/>
                <w:sz w:val="24"/>
              </w:rPr>
              <w:t>002027</w:t>
            </w:r>
          </w:p>
        </w:tc>
        <w:tc>
          <w:tcPr>
            <w:tcW w:w="1769" w:type="dxa"/>
            <w:vAlign w:val="center"/>
          </w:tcPr>
          <w:p w:rsidR="00443A10" w:rsidRDefault="00304794">
            <w:pPr>
              <w:jc w:val="center"/>
            </w:pPr>
            <w:r>
              <w:rPr>
                <w:color w:val="000000"/>
                <w:sz w:val="24"/>
              </w:rPr>
              <w:t>分众传媒</w:t>
            </w:r>
          </w:p>
        </w:tc>
        <w:tc>
          <w:tcPr>
            <w:tcW w:w="1327" w:type="dxa"/>
            <w:vAlign w:val="center"/>
          </w:tcPr>
          <w:p w:rsidR="00443A10" w:rsidRDefault="00304794">
            <w:pPr>
              <w:jc w:val="right"/>
            </w:pPr>
            <w:r>
              <w:rPr>
                <w:color w:val="000000"/>
                <w:sz w:val="24"/>
              </w:rPr>
              <w:t>96,700</w:t>
            </w:r>
          </w:p>
        </w:tc>
        <w:tc>
          <w:tcPr>
            <w:tcW w:w="1915" w:type="dxa"/>
            <w:vAlign w:val="center"/>
          </w:tcPr>
          <w:p w:rsidR="00443A10" w:rsidRDefault="00304794">
            <w:pPr>
              <w:jc w:val="right"/>
            </w:pPr>
            <w:r>
              <w:rPr>
                <w:color w:val="000000"/>
                <w:sz w:val="24"/>
              </w:rPr>
              <w:t>1,361,536.00</w:t>
            </w:r>
          </w:p>
        </w:tc>
        <w:tc>
          <w:tcPr>
            <w:tcW w:w="1680" w:type="dxa"/>
            <w:vAlign w:val="center"/>
          </w:tcPr>
          <w:p w:rsidR="00443A10" w:rsidRDefault="00304794">
            <w:pPr>
              <w:jc w:val="right"/>
            </w:pPr>
            <w:r>
              <w:rPr>
                <w:color w:val="000000"/>
                <w:sz w:val="24"/>
              </w:rPr>
              <w:t>2.09</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106,600.00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0.16</w:t>
            </w:r>
          </w:p>
        </w:tc>
      </w:tr>
      <w:tr w:rsidR="002942A1" w:rsidRPr="0036023B" w:rsidTr="00622A9C">
        <w:trPr>
          <w:jc w:val="center"/>
        </w:trPr>
        <w:tc>
          <w:tcPr>
            <w:tcW w:w="1292" w:type="dxa"/>
            <w:shd w:val="clear" w:color="auto" w:fill="auto"/>
            <w:vAlign w:val="center"/>
          </w:tcPr>
          <w:p w:rsidR="002942A1" w:rsidRPr="00CD0479" w:rsidRDefault="002942A1" w:rsidP="00622A9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rsidR="002942A1" w:rsidRPr="00CD0479" w:rsidRDefault="002942A1" w:rsidP="00622A9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lastRenderedPageBreak/>
              <w:t>10</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106,600.00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0.16</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443A10">
        <w:trPr>
          <w:jc w:val="center"/>
        </w:trPr>
        <w:tc>
          <w:tcPr>
            <w:tcW w:w="1302" w:type="dxa"/>
            <w:vAlign w:val="center"/>
          </w:tcPr>
          <w:p w:rsidR="00443A10" w:rsidRDefault="00304794">
            <w:pPr>
              <w:jc w:val="center"/>
            </w:pPr>
            <w:r>
              <w:rPr>
                <w:color w:val="000000"/>
                <w:sz w:val="24"/>
              </w:rPr>
              <w:t>1</w:t>
            </w:r>
          </w:p>
        </w:tc>
        <w:tc>
          <w:tcPr>
            <w:tcW w:w="1362" w:type="dxa"/>
            <w:vAlign w:val="center"/>
          </w:tcPr>
          <w:p w:rsidR="00443A10" w:rsidRDefault="00304794">
            <w:pPr>
              <w:jc w:val="center"/>
            </w:pPr>
            <w:r>
              <w:rPr>
                <w:color w:val="000000"/>
                <w:sz w:val="24"/>
              </w:rPr>
              <w:t>128024</w:t>
            </w:r>
          </w:p>
        </w:tc>
        <w:tc>
          <w:tcPr>
            <w:tcW w:w="1333" w:type="dxa"/>
            <w:vAlign w:val="center"/>
          </w:tcPr>
          <w:p w:rsidR="00443A10" w:rsidRDefault="00304794">
            <w:pPr>
              <w:jc w:val="center"/>
            </w:pPr>
            <w:r>
              <w:rPr>
                <w:color w:val="000000"/>
                <w:sz w:val="24"/>
              </w:rPr>
              <w:t>宁行转债</w:t>
            </w:r>
          </w:p>
        </w:tc>
        <w:tc>
          <w:tcPr>
            <w:tcW w:w="1483" w:type="dxa"/>
            <w:vAlign w:val="center"/>
          </w:tcPr>
          <w:p w:rsidR="00443A10" w:rsidRDefault="00304794">
            <w:pPr>
              <w:jc w:val="right"/>
            </w:pPr>
            <w:r>
              <w:rPr>
                <w:color w:val="000000"/>
                <w:sz w:val="24"/>
              </w:rPr>
              <w:t>1,066</w:t>
            </w:r>
          </w:p>
        </w:tc>
        <w:tc>
          <w:tcPr>
            <w:tcW w:w="1712" w:type="dxa"/>
            <w:vAlign w:val="center"/>
          </w:tcPr>
          <w:p w:rsidR="00443A10" w:rsidRDefault="00304794">
            <w:pPr>
              <w:jc w:val="right"/>
            </w:pPr>
            <w:r>
              <w:rPr>
                <w:color w:val="000000"/>
                <w:sz w:val="24"/>
              </w:rPr>
              <w:t>106,600.00</w:t>
            </w:r>
          </w:p>
        </w:tc>
        <w:tc>
          <w:tcPr>
            <w:tcW w:w="1676" w:type="dxa"/>
            <w:vAlign w:val="center"/>
          </w:tcPr>
          <w:p w:rsidR="00443A10" w:rsidRDefault="00304794">
            <w:pPr>
              <w:jc w:val="right"/>
            </w:pPr>
            <w:r>
              <w:rPr>
                <w:color w:val="000000"/>
                <w:sz w:val="24"/>
              </w:rPr>
              <w:t>0.16</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108.81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196.90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lastRenderedPageBreak/>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305.71</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34,329,693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34,329,693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410CF9">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lastRenderedPageBreak/>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410CF9">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9F79F0">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9F79F0">
        <w:tc>
          <w:tcPr>
            <w:tcW w:w="992"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F79F0" w:rsidTr="00080CAA">
        <w:tc>
          <w:tcPr>
            <w:tcW w:w="992" w:type="dxa"/>
            <w:vMerge w:val="restart"/>
          </w:tcPr>
          <w:p w:rsidR="009F79F0" w:rsidRDefault="009F79F0" w:rsidP="009F79F0">
            <w:r>
              <w:rPr>
                <w:rFonts w:ascii="宋体" w:hAnsi="宋体" w:hint="eastAsia"/>
                <w:kern w:val="0"/>
                <w:szCs w:val="21"/>
              </w:rPr>
              <w:t>交银施罗德深证300价值交易型开放式指数证券投资基金联接基金</w:t>
            </w:r>
          </w:p>
        </w:tc>
        <w:tc>
          <w:tcPr>
            <w:tcW w:w="991" w:type="dxa"/>
            <w:vAlign w:val="center"/>
          </w:tcPr>
          <w:p w:rsidR="009F79F0" w:rsidRDefault="009F79F0" w:rsidP="009F79F0">
            <w:pPr>
              <w:jc w:val="center"/>
            </w:pPr>
            <w:r>
              <w:rPr>
                <w:rFonts w:ascii="宋体" w:hAnsi="宋体" w:hint="eastAsia"/>
                <w:bCs/>
                <w:color w:val="000000"/>
                <w:kern w:val="0"/>
                <w:szCs w:val="21"/>
              </w:rPr>
              <w:t>1</w:t>
            </w:r>
          </w:p>
        </w:tc>
        <w:tc>
          <w:tcPr>
            <w:tcW w:w="1843" w:type="dxa"/>
            <w:vAlign w:val="center"/>
          </w:tcPr>
          <w:p w:rsidR="009F79F0" w:rsidRDefault="009F79F0" w:rsidP="009F79F0">
            <w:pPr>
              <w:jc w:val="center"/>
            </w:pPr>
            <w:r>
              <w:rPr>
                <w:rFonts w:ascii="宋体" w:hAnsi="宋体" w:hint="eastAsia"/>
                <w:bCs/>
                <w:color w:val="000000"/>
                <w:kern w:val="0"/>
                <w:szCs w:val="21"/>
              </w:rPr>
              <w:t>2017/10/1-2017/12/31</w:t>
            </w:r>
          </w:p>
        </w:tc>
        <w:tc>
          <w:tcPr>
            <w:tcW w:w="851" w:type="dxa"/>
          </w:tcPr>
          <w:p w:rsidR="009F79F0" w:rsidRPr="009F79F0" w:rsidRDefault="009F79F0" w:rsidP="009F79F0">
            <w:pPr>
              <w:rPr>
                <w:rFonts w:ascii="宋体" w:hAnsi="宋体"/>
                <w:bCs/>
                <w:color w:val="000000"/>
                <w:kern w:val="0"/>
                <w:szCs w:val="21"/>
              </w:rPr>
            </w:pPr>
            <w:r w:rsidRPr="009F79F0">
              <w:rPr>
                <w:rFonts w:ascii="宋体" w:hAnsi="宋体"/>
                <w:bCs/>
                <w:color w:val="000000"/>
                <w:kern w:val="0"/>
                <w:szCs w:val="21"/>
              </w:rPr>
              <w:t xml:space="preserve"> </w:t>
            </w: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r w:rsidRPr="009F79F0">
              <w:rPr>
                <w:rFonts w:ascii="宋体" w:hAnsi="宋体"/>
                <w:bCs/>
                <w:color w:val="000000"/>
                <w:kern w:val="0"/>
                <w:szCs w:val="21"/>
              </w:rPr>
              <w:t xml:space="preserve">31,802,500.00 </w:t>
            </w:r>
          </w:p>
        </w:tc>
        <w:tc>
          <w:tcPr>
            <w:tcW w:w="850" w:type="dxa"/>
          </w:tcPr>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hint="eastAsia"/>
                <w:bCs/>
                <w:color w:val="000000"/>
                <w:kern w:val="0"/>
                <w:szCs w:val="21"/>
              </w:rPr>
            </w:pPr>
          </w:p>
          <w:p w:rsidR="009F79F0" w:rsidRPr="009F79F0" w:rsidRDefault="009F79F0" w:rsidP="009F79F0">
            <w:pPr>
              <w:rPr>
                <w:rFonts w:ascii="宋体" w:hAnsi="宋体"/>
                <w:bCs/>
                <w:color w:val="000000"/>
                <w:kern w:val="0"/>
                <w:szCs w:val="21"/>
              </w:rPr>
            </w:pPr>
            <w:r w:rsidRPr="009F79F0">
              <w:rPr>
                <w:rFonts w:ascii="宋体" w:hAnsi="宋体" w:hint="eastAsia"/>
                <w:bCs/>
                <w:color w:val="000000"/>
                <w:kern w:val="0"/>
                <w:szCs w:val="21"/>
              </w:rPr>
              <w:t>-</w:t>
            </w:r>
          </w:p>
        </w:tc>
        <w:tc>
          <w:tcPr>
            <w:tcW w:w="1134" w:type="dxa"/>
          </w:tcPr>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hint="eastAsia"/>
                <w:bCs/>
                <w:color w:val="000000"/>
                <w:kern w:val="0"/>
                <w:szCs w:val="21"/>
              </w:rPr>
            </w:pPr>
            <w:bookmarkStart w:id="0" w:name="_GoBack"/>
            <w:bookmarkEnd w:id="0"/>
          </w:p>
          <w:p w:rsidR="009F79F0" w:rsidRPr="009F79F0" w:rsidRDefault="009F79F0" w:rsidP="009F79F0">
            <w:pPr>
              <w:rPr>
                <w:rFonts w:ascii="宋体" w:hAnsi="宋体"/>
                <w:bCs/>
                <w:color w:val="000000"/>
                <w:kern w:val="0"/>
                <w:szCs w:val="21"/>
              </w:rPr>
            </w:pPr>
            <w:r w:rsidRPr="009F79F0">
              <w:rPr>
                <w:rFonts w:ascii="宋体" w:hAnsi="宋体" w:hint="eastAsia"/>
                <w:bCs/>
                <w:color w:val="000000"/>
                <w:kern w:val="0"/>
                <w:szCs w:val="21"/>
              </w:rPr>
              <w:t>-</w:t>
            </w:r>
          </w:p>
        </w:tc>
        <w:tc>
          <w:tcPr>
            <w:tcW w:w="1419" w:type="dxa"/>
          </w:tcPr>
          <w:p w:rsidR="009F79F0" w:rsidRPr="009F79F0" w:rsidRDefault="009F79F0" w:rsidP="009F79F0">
            <w:pPr>
              <w:rPr>
                <w:rFonts w:ascii="宋体" w:hAnsi="宋体"/>
                <w:bCs/>
                <w:color w:val="000000"/>
                <w:kern w:val="0"/>
                <w:szCs w:val="21"/>
              </w:rPr>
            </w:pPr>
            <w:r w:rsidRPr="009F79F0">
              <w:rPr>
                <w:rFonts w:ascii="宋体" w:hAnsi="宋体"/>
                <w:bCs/>
                <w:color w:val="000000"/>
                <w:kern w:val="0"/>
                <w:szCs w:val="21"/>
              </w:rPr>
              <w:t xml:space="preserve"> </w:t>
            </w: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r w:rsidRPr="009F79F0">
              <w:rPr>
                <w:rFonts w:ascii="宋体" w:hAnsi="宋体"/>
                <w:bCs/>
                <w:color w:val="000000"/>
                <w:kern w:val="0"/>
                <w:szCs w:val="21"/>
              </w:rPr>
              <w:t xml:space="preserve">31,802,500.00 </w:t>
            </w:r>
          </w:p>
        </w:tc>
        <w:tc>
          <w:tcPr>
            <w:tcW w:w="1130" w:type="dxa"/>
          </w:tcPr>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p>
          <w:p w:rsidR="009F79F0" w:rsidRPr="009F79F0" w:rsidRDefault="009F79F0" w:rsidP="009F79F0">
            <w:pPr>
              <w:rPr>
                <w:rFonts w:ascii="宋体" w:hAnsi="宋体"/>
                <w:bCs/>
                <w:color w:val="000000"/>
                <w:kern w:val="0"/>
                <w:szCs w:val="21"/>
              </w:rPr>
            </w:pPr>
            <w:r w:rsidRPr="009F79F0">
              <w:rPr>
                <w:rFonts w:ascii="宋体" w:hAnsi="宋体"/>
                <w:bCs/>
                <w:color w:val="000000"/>
                <w:kern w:val="0"/>
                <w:szCs w:val="21"/>
              </w:rPr>
              <w:t>92.64%</w:t>
            </w:r>
          </w:p>
        </w:tc>
      </w:tr>
      <w:tr w:rsidR="00BF00F0" w:rsidTr="009F79F0">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9F79F0">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443A10" w:rsidRDefault="00304794">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443A10" w:rsidRDefault="00304794">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443A10" w:rsidRDefault="00304794">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443A10" w:rsidRDefault="00304794">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443A10" w:rsidRDefault="00304794">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443A10" w:rsidRDefault="00304794">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443A10" w:rsidRDefault="00304794">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lastRenderedPageBreak/>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443A10" w:rsidRDefault="0030479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94" w:rsidRDefault="00304794">
      <w:r>
        <w:separator/>
      </w:r>
    </w:p>
  </w:endnote>
  <w:endnote w:type="continuationSeparator" w:id="0">
    <w:p w:rsidR="00304794" w:rsidRDefault="0030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E839DB">
      <w:rPr>
        <w:kern w:val="0"/>
        <w:szCs w:val="21"/>
      </w:rPr>
      <w:fldChar w:fldCharType="begin"/>
    </w:r>
    <w:r>
      <w:rPr>
        <w:kern w:val="0"/>
        <w:szCs w:val="21"/>
      </w:rPr>
      <w:instrText xml:space="preserve"> PAGE </w:instrText>
    </w:r>
    <w:r w:rsidR="00E839DB">
      <w:rPr>
        <w:kern w:val="0"/>
        <w:szCs w:val="21"/>
      </w:rPr>
      <w:fldChar w:fldCharType="separate"/>
    </w:r>
    <w:r w:rsidR="009F79F0">
      <w:rPr>
        <w:noProof/>
        <w:kern w:val="0"/>
        <w:szCs w:val="21"/>
      </w:rPr>
      <w:t>12</w:t>
    </w:r>
    <w:r w:rsidR="00E839DB">
      <w:rPr>
        <w:kern w:val="0"/>
        <w:szCs w:val="21"/>
      </w:rPr>
      <w:fldChar w:fldCharType="end"/>
    </w:r>
    <w:r>
      <w:rPr>
        <w:rFonts w:hint="eastAsia"/>
        <w:kern w:val="0"/>
        <w:szCs w:val="21"/>
      </w:rPr>
      <w:t>页共</w:t>
    </w:r>
    <w:r w:rsidR="00E839DB">
      <w:rPr>
        <w:kern w:val="0"/>
        <w:szCs w:val="21"/>
      </w:rPr>
      <w:fldChar w:fldCharType="begin"/>
    </w:r>
    <w:r>
      <w:rPr>
        <w:kern w:val="0"/>
        <w:szCs w:val="21"/>
      </w:rPr>
      <w:instrText xml:space="preserve"> NUMPAGES </w:instrText>
    </w:r>
    <w:r w:rsidR="00E839DB">
      <w:rPr>
        <w:kern w:val="0"/>
        <w:szCs w:val="21"/>
      </w:rPr>
      <w:fldChar w:fldCharType="separate"/>
    </w:r>
    <w:r w:rsidR="009F79F0">
      <w:rPr>
        <w:noProof/>
        <w:kern w:val="0"/>
        <w:szCs w:val="21"/>
      </w:rPr>
      <w:t>13</w:t>
    </w:r>
    <w:r w:rsidR="00E839D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E839DB">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94" w:rsidRDefault="00304794">
      <w:r>
        <w:separator/>
      </w:r>
    </w:p>
  </w:footnote>
  <w:footnote w:type="continuationSeparator" w:id="0">
    <w:p w:rsidR="00304794" w:rsidRDefault="00304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794"/>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A10"/>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9F79F0"/>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FB3C88F-81EE-4EEB-B576-C0F2175C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13</Pages>
  <Words>1087</Words>
  <Characters>6200</Characters>
  <Application>Microsoft Office Word</Application>
  <DocSecurity>0</DocSecurity>
  <Lines>51</Lines>
  <Paragraphs>14</Paragraphs>
  <ScaleCrop>false</ScaleCrop>
  <Company>TRT. Ltd. Co.</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385</cp:revision>
  <cp:lastPrinted>2007-07-19T00:46:00Z</cp:lastPrinted>
  <dcterms:created xsi:type="dcterms:W3CDTF">2012-11-21T04:46:00Z</dcterms:created>
  <dcterms:modified xsi:type="dcterms:W3CDTF">2018-01-18T03:11:00Z</dcterms:modified>
</cp:coreProperties>
</file>