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216,316,464.02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201,435,471.37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14,880,992.65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104,908.04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-8,824.72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-2,094,530.31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-160,888.96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235,635,586.78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16,919,167.51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1.137</w:t>
            </w:r>
          </w:p>
        </w:tc>
      </w:tr>
    </w:tbl>
    <w:p w:rsidR="00204A5C" w:rsidRDefault="00012A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04A5C">
        <w:trPr>
          <w:jc w:val="center"/>
        </w:trPr>
        <w:tc>
          <w:tcPr>
            <w:tcW w:w="1266" w:type="dxa"/>
            <w:vAlign w:val="center"/>
          </w:tcPr>
          <w:p w:rsidR="00204A5C" w:rsidRDefault="00012AF5">
            <w:pPr>
              <w:jc w:val="left"/>
            </w:pPr>
            <w:r>
              <w:rPr>
                <w:color w:val="000000"/>
                <w:sz w:val="24"/>
              </w:rPr>
              <w:t>过去三个月</w:t>
            </w:r>
          </w:p>
        </w:tc>
        <w:tc>
          <w:tcPr>
            <w:tcW w:w="1267" w:type="dxa"/>
            <w:vAlign w:val="center"/>
          </w:tcPr>
          <w:p w:rsidR="00204A5C" w:rsidRDefault="00012AF5">
            <w:pPr>
              <w:jc w:val="center"/>
            </w:pPr>
            <w:r>
              <w:rPr>
                <w:color w:val="000000"/>
                <w:sz w:val="24"/>
              </w:rPr>
              <w:t>-0.85%</w:t>
            </w:r>
          </w:p>
        </w:tc>
        <w:tc>
          <w:tcPr>
            <w:tcW w:w="1267" w:type="dxa"/>
            <w:vAlign w:val="center"/>
          </w:tcPr>
          <w:p w:rsidR="00204A5C" w:rsidRDefault="00012AF5">
            <w:pPr>
              <w:jc w:val="center"/>
            </w:pPr>
            <w:r>
              <w:rPr>
                <w:color w:val="000000"/>
                <w:sz w:val="24"/>
              </w:rPr>
              <w:t>0.15%</w:t>
            </w:r>
          </w:p>
        </w:tc>
        <w:tc>
          <w:tcPr>
            <w:tcW w:w="1267" w:type="dxa"/>
            <w:vAlign w:val="center"/>
          </w:tcPr>
          <w:p w:rsidR="00204A5C" w:rsidRDefault="00656B3B">
            <w:pPr>
              <w:jc w:val="center"/>
            </w:pPr>
            <w:r>
              <w:rPr>
                <w:color w:val="000000"/>
                <w:sz w:val="24"/>
              </w:rPr>
              <w:t>-0.</w:t>
            </w:r>
            <w:r w:rsidR="00012AF5">
              <w:rPr>
                <w:color w:val="000000"/>
                <w:sz w:val="24"/>
              </w:rPr>
              <w:t>5</w:t>
            </w:r>
            <w:r>
              <w:rPr>
                <w:color w:val="000000"/>
                <w:sz w:val="24"/>
              </w:rPr>
              <w:t>3</w:t>
            </w:r>
            <w:r w:rsidR="00012AF5">
              <w:rPr>
                <w:color w:val="000000"/>
                <w:sz w:val="24"/>
              </w:rPr>
              <w:t>%</w:t>
            </w:r>
          </w:p>
        </w:tc>
        <w:tc>
          <w:tcPr>
            <w:tcW w:w="1267" w:type="dxa"/>
            <w:vAlign w:val="center"/>
          </w:tcPr>
          <w:p w:rsidR="00204A5C" w:rsidRDefault="00012AF5">
            <w:pPr>
              <w:jc w:val="center"/>
            </w:pPr>
            <w:r>
              <w:rPr>
                <w:color w:val="000000"/>
                <w:sz w:val="24"/>
              </w:rPr>
              <w:t>0.09%</w:t>
            </w:r>
          </w:p>
        </w:tc>
        <w:tc>
          <w:tcPr>
            <w:tcW w:w="1267" w:type="dxa"/>
            <w:vAlign w:val="center"/>
          </w:tcPr>
          <w:p w:rsidR="00204A5C" w:rsidRDefault="00656B3B">
            <w:pPr>
              <w:jc w:val="center"/>
            </w:pPr>
            <w:r>
              <w:rPr>
                <w:color w:val="000000"/>
                <w:sz w:val="24"/>
              </w:rPr>
              <w:t>-0.32</w:t>
            </w:r>
            <w:r w:rsidR="00012AF5">
              <w:rPr>
                <w:color w:val="000000"/>
                <w:sz w:val="24"/>
              </w:rPr>
              <w:t>%</w:t>
            </w:r>
          </w:p>
        </w:tc>
        <w:tc>
          <w:tcPr>
            <w:tcW w:w="1267" w:type="dxa"/>
            <w:vAlign w:val="center"/>
          </w:tcPr>
          <w:p w:rsidR="00204A5C" w:rsidRDefault="00012AF5">
            <w:pPr>
              <w:jc w:val="center"/>
            </w:pPr>
            <w:r>
              <w:rPr>
                <w:color w:val="000000"/>
                <w:sz w:val="24"/>
              </w:rPr>
              <w:t>0.06%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04A5C">
        <w:trPr>
          <w:jc w:val="center"/>
        </w:trPr>
        <w:tc>
          <w:tcPr>
            <w:tcW w:w="1266" w:type="dxa"/>
            <w:vAlign w:val="center"/>
          </w:tcPr>
          <w:p w:rsidR="00204A5C" w:rsidRDefault="00012AF5">
            <w:pPr>
              <w:jc w:val="left"/>
            </w:pPr>
            <w:r>
              <w:rPr>
                <w:color w:val="000000"/>
                <w:sz w:val="24"/>
              </w:rPr>
              <w:t>过去三个月</w:t>
            </w:r>
          </w:p>
        </w:tc>
        <w:tc>
          <w:tcPr>
            <w:tcW w:w="1267" w:type="dxa"/>
            <w:vAlign w:val="center"/>
          </w:tcPr>
          <w:p w:rsidR="00204A5C" w:rsidRDefault="00012AF5">
            <w:pPr>
              <w:jc w:val="center"/>
            </w:pPr>
            <w:r>
              <w:rPr>
                <w:color w:val="000000"/>
                <w:sz w:val="24"/>
              </w:rPr>
              <w:t>-0.96%</w:t>
            </w:r>
          </w:p>
        </w:tc>
        <w:tc>
          <w:tcPr>
            <w:tcW w:w="1267" w:type="dxa"/>
            <w:vAlign w:val="center"/>
          </w:tcPr>
          <w:p w:rsidR="00204A5C" w:rsidRDefault="00012AF5">
            <w:pPr>
              <w:jc w:val="center"/>
            </w:pPr>
            <w:r>
              <w:rPr>
                <w:color w:val="000000"/>
                <w:sz w:val="24"/>
              </w:rPr>
              <w:t>0.17%</w:t>
            </w:r>
          </w:p>
        </w:tc>
        <w:tc>
          <w:tcPr>
            <w:tcW w:w="1267" w:type="dxa"/>
            <w:vAlign w:val="center"/>
          </w:tcPr>
          <w:p w:rsidR="00204A5C" w:rsidRDefault="00C57459">
            <w:pPr>
              <w:jc w:val="center"/>
            </w:pPr>
            <w:r>
              <w:rPr>
                <w:color w:val="000000"/>
                <w:sz w:val="24"/>
              </w:rPr>
              <w:t>-0.</w:t>
            </w:r>
            <w:r w:rsidR="00012AF5">
              <w:rPr>
                <w:color w:val="000000"/>
                <w:sz w:val="24"/>
              </w:rPr>
              <w:t>5</w:t>
            </w:r>
            <w:r>
              <w:rPr>
                <w:color w:val="000000"/>
                <w:sz w:val="24"/>
              </w:rPr>
              <w:t>3</w:t>
            </w:r>
            <w:r w:rsidR="00012AF5">
              <w:rPr>
                <w:color w:val="000000"/>
                <w:sz w:val="24"/>
              </w:rPr>
              <w:t>%</w:t>
            </w:r>
          </w:p>
        </w:tc>
        <w:tc>
          <w:tcPr>
            <w:tcW w:w="1267" w:type="dxa"/>
            <w:vAlign w:val="center"/>
          </w:tcPr>
          <w:p w:rsidR="00204A5C" w:rsidRDefault="00012AF5">
            <w:pPr>
              <w:jc w:val="center"/>
            </w:pPr>
            <w:r>
              <w:rPr>
                <w:color w:val="000000"/>
                <w:sz w:val="24"/>
              </w:rPr>
              <w:t>0.09%</w:t>
            </w:r>
          </w:p>
        </w:tc>
        <w:tc>
          <w:tcPr>
            <w:tcW w:w="1267" w:type="dxa"/>
            <w:vAlign w:val="center"/>
          </w:tcPr>
          <w:p w:rsidR="00204A5C" w:rsidRDefault="00C57459">
            <w:pPr>
              <w:jc w:val="center"/>
            </w:pPr>
            <w:r>
              <w:rPr>
                <w:color w:val="000000"/>
                <w:sz w:val="24"/>
              </w:rPr>
              <w:t>-0.43</w:t>
            </w:r>
            <w:r w:rsidR="00012AF5">
              <w:rPr>
                <w:color w:val="000000"/>
                <w:sz w:val="24"/>
              </w:rPr>
              <w:t>%</w:t>
            </w:r>
          </w:p>
        </w:tc>
        <w:tc>
          <w:tcPr>
            <w:tcW w:w="1267" w:type="dxa"/>
            <w:vAlign w:val="center"/>
          </w:tcPr>
          <w:p w:rsidR="00204A5C" w:rsidRDefault="00012AF5">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D34022"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04A5C">
        <w:trPr>
          <w:jc w:val="center"/>
        </w:trPr>
        <w:tc>
          <w:tcPr>
            <w:tcW w:w="946" w:type="dxa"/>
            <w:vAlign w:val="center"/>
          </w:tcPr>
          <w:p w:rsidR="00204A5C" w:rsidRDefault="00012AF5">
            <w:pPr>
              <w:jc w:val="center"/>
            </w:pPr>
            <w:r>
              <w:rPr>
                <w:color w:val="000000"/>
                <w:sz w:val="24"/>
              </w:rPr>
              <w:t>唐赟</w:t>
            </w:r>
          </w:p>
        </w:tc>
        <w:tc>
          <w:tcPr>
            <w:tcW w:w="924" w:type="dxa"/>
            <w:vAlign w:val="center"/>
          </w:tcPr>
          <w:p w:rsidR="00204A5C" w:rsidRDefault="00012AF5">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204A5C" w:rsidRDefault="00012AF5">
            <w:pPr>
              <w:jc w:val="center"/>
            </w:pPr>
            <w:r>
              <w:rPr>
                <w:color w:val="000000"/>
                <w:sz w:val="24"/>
              </w:rPr>
              <w:t>2015-11-07</w:t>
            </w:r>
          </w:p>
        </w:tc>
        <w:tc>
          <w:tcPr>
            <w:tcW w:w="1300" w:type="dxa"/>
            <w:vAlign w:val="center"/>
          </w:tcPr>
          <w:p w:rsidR="00204A5C" w:rsidRDefault="00012AF5">
            <w:pPr>
              <w:jc w:val="center"/>
            </w:pPr>
            <w:r>
              <w:rPr>
                <w:color w:val="000000"/>
                <w:sz w:val="24"/>
              </w:rPr>
              <w:t>-</w:t>
            </w:r>
          </w:p>
        </w:tc>
        <w:tc>
          <w:tcPr>
            <w:tcW w:w="1245" w:type="dxa"/>
            <w:vAlign w:val="center"/>
          </w:tcPr>
          <w:p w:rsidR="00204A5C" w:rsidRDefault="00012AF5">
            <w:pPr>
              <w:jc w:val="center"/>
            </w:pPr>
            <w:r>
              <w:rPr>
                <w:color w:val="000000"/>
                <w:sz w:val="24"/>
              </w:rPr>
              <w:t>5</w:t>
            </w:r>
            <w:r>
              <w:rPr>
                <w:color w:val="000000"/>
                <w:sz w:val="24"/>
              </w:rPr>
              <w:t>年</w:t>
            </w:r>
          </w:p>
        </w:tc>
        <w:tc>
          <w:tcPr>
            <w:tcW w:w="3251" w:type="dxa"/>
            <w:vAlign w:val="center"/>
          </w:tcPr>
          <w:p w:rsidR="00204A5C" w:rsidRDefault="00012AF5">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04A5C" w:rsidRDefault="00012A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204A5C" w:rsidRDefault="00012AF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04A5C" w:rsidRDefault="00012A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04A5C" w:rsidRDefault="00012AF5">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04A5C" w:rsidRDefault="00012AF5">
      <w:pPr>
        <w:spacing w:before="29" w:line="288" w:lineRule="auto"/>
        <w:ind w:firstLineChars="200" w:firstLine="480"/>
        <w:rPr>
          <w:color w:val="000000"/>
          <w:sz w:val="24"/>
        </w:rPr>
      </w:pPr>
      <w:r>
        <w:rPr>
          <w:color w:val="000000"/>
          <w:sz w:val="24"/>
        </w:rPr>
        <w:t>四季度以来债券市场经历了大幅度的调整，债券收益率大幅上行后维持高位震荡。十一长假过后市场对于节前央行公告的定向降准的</w:t>
      </w:r>
      <w:r>
        <w:rPr>
          <w:color w:val="000000"/>
          <w:sz w:val="24"/>
        </w:rPr>
        <w:t>“</w:t>
      </w:r>
      <w:r>
        <w:rPr>
          <w:color w:val="000000"/>
          <w:sz w:val="24"/>
        </w:rPr>
        <w:t>利好</w:t>
      </w:r>
      <w:r>
        <w:rPr>
          <w:color w:val="000000"/>
          <w:sz w:val="24"/>
        </w:rPr>
        <w:t>”</w:t>
      </w:r>
      <w:r>
        <w:rPr>
          <w:color w:val="000000"/>
          <w:sz w:val="24"/>
        </w:rPr>
        <w:t>并无反应，收益率反而小幅上行，市场对于经济增长韧性形成强烈预期，加之资金面紧张、金融数据超预期，美联储人选不确定导致美债收益率走高，国内债券收益率同时持续走高。十月下旬开始，市场趋向谨慎，资管新规征求意见稿发布后，债券收益率冲高到近三年高点。十一月底以来随着十年期国开债停发和基本面数据走弱，债券收益率维持高位震荡。</w:t>
      </w:r>
    </w:p>
    <w:p w:rsidR="00204A5C" w:rsidRDefault="00012AF5">
      <w:pPr>
        <w:spacing w:before="29" w:line="288" w:lineRule="auto"/>
        <w:ind w:firstLineChars="200" w:firstLine="480"/>
        <w:rPr>
          <w:color w:val="000000"/>
          <w:sz w:val="24"/>
        </w:rPr>
      </w:pPr>
      <w:r>
        <w:rPr>
          <w:color w:val="000000"/>
          <w:sz w:val="24"/>
        </w:rPr>
        <w:t>报告期内，基于对债券市场偏悲观的判断，本基金始终维持短融和存单为主的短久期债券底仓组合，在市场收益率大幅上行的过程中获取了稳定的票息收入。组合配置了一定的转债仓位，选择正股基本面稳健，转债估值合理的个券，为组合提供弹性。组合在权益仓位上保持中性。</w:t>
      </w:r>
    </w:p>
    <w:p w:rsidR="00204A5C" w:rsidRDefault="00012AF5">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预计将带动经济增速逐步下行，对债市形成一定支撑，而收益率上行到高位之后具有一定的配置价值。但一季度通胀回升压力加大，监管政策落地的力度和节奏以及金融机构的应对行为不甚明朗，超储率低位及银行流动性监管指标强化将导致资金利率波动加大等负面因素仍然存在，债</w:t>
      </w:r>
      <w:r>
        <w:rPr>
          <w:color w:val="000000"/>
          <w:sz w:val="24"/>
        </w:rPr>
        <w:lastRenderedPageBreak/>
        <w:t>券收益率或将继续维持高位震荡。</w:t>
      </w:r>
    </w:p>
    <w:p w:rsidR="00204A5C" w:rsidRDefault="00012AF5">
      <w:pPr>
        <w:spacing w:before="29" w:line="288" w:lineRule="auto"/>
        <w:ind w:firstLineChars="200" w:firstLine="480"/>
        <w:rPr>
          <w:color w:val="000000"/>
          <w:sz w:val="24"/>
        </w:rPr>
      </w:pPr>
      <w:r>
        <w:rPr>
          <w:color w:val="000000"/>
          <w:sz w:val="24"/>
        </w:rPr>
        <w:t>信用债方面，</w:t>
      </w:r>
      <w:r>
        <w:rPr>
          <w:color w:val="000000"/>
          <w:sz w:val="24"/>
        </w:rPr>
        <w:t>2017</w:t>
      </w:r>
      <w:r>
        <w:rPr>
          <w:color w:val="000000"/>
          <w:sz w:val="24"/>
        </w:rPr>
        <w:t>年以来信用利差有所走阔，信用债投资模式的改变是否会导致信用利差中枢抬高值得关注。此外，低等级信用债利差未能充分反映未来的信用风险，我们将一如既往地规避中低评级信用债，在利率曲线平坦的情况下，或将维持目前的债券偏短的久期配置，并择机谨慎进行利率债的波段操作。</w:t>
      </w:r>
    </w:p>
    <w:p w:rsidR="00204A5C" w:rsidRDefault="00012AF5">
      <w:pPr>
        <w:spacing w:before="29" w:line="288" w:lineRule="auto"/>
        <w:ind w:firstLineChars="200" w:firstLine="480"/>
        <w:rPr>
          <w:color w:val="000000"/>
          <w:sz w:val="24"/>
        </w:rPr>
      </w:pPr>
      <w:r>
        <w:rPr>
          <w:color w:val="000000"/>
          <w:sz w:val="24"/>
        </w:rPr>
        <w:t>可转债方面，</w:t>
      </w:r>
      <w:r>
        <w:rPr>
          <w:color w:val="000000"/>
          <w:sz w:val="24"/>
        </w:rPr>
        <w:t>2017</w:t>
      </w:r>
      <w:r>
        <w:rPr>
          <w:color w:val="000000"/>
          <w:sz w:val="24"/>
        </w:rPr>
        <w:t>年以来随着转债发行的提速，转债估值趋于合理。转债市场扩容后行业分布更加均衡，标的选择空间加大，估值合理转债弹性增强，我们将密切关注</w:t>
      </w:r>
      <w:r>
        <w:rPr>
          <w:color w:val="000000"/>
          <w:sz w:val="24"/>
        </w:rPr>
        <w:t>2018</w:t>
      </w:r>
      <w:r>
        <w:rPr>
          <w:color w:val="000000"/>
          <w:sz w:val="24"/>
        </w:rPr>
        <w:t>年转债市场机会。</w:t>
      </w:r>
    </w:p>
    <w:p w:rsidR="00952A72" w:rsidRPr="007F52FA" w:rsidRDefault="00323F25" w:rsidP="007C14DF">
      <w:pPr>
        <w:spacing w:before="29" w:line="288" w:lineRule="auto"/>
        <w:ind w:firstLineChars="200" w:firstLine="480"/>
        <w:rPr>
          <w:color w:val="000000"/>
          <w:sz w:val="24"/>
        </w:rPr>
      </w:pPr>
      <w:r w:rsidRPr="007F52FA">
        <w:rPr>
          <w:color w:val="000000"/>
          <w:sz w:val="24"/>
        </w:rPr>
        <w:t>权益市场方面，我们对</w:t>
      </w:r>
      <w:r w:rsidRPr="007F52FA">
        <w:rPr>
          <w:color w:val="000000"/>
          <w:sz w:val="24"/>
        </w:rPr>
        <w:t>2018</w:t>
      </w:r>
      <w:r w:rsidRPr="007F52FA">
        <w:rPr>
          <w:color w:val="000000"/>
          <w:sz w:val="24"/>
        </w:rPr>
        <w:t>年权益类资产持谨慎乐观态度，并将持续关注风格是否切换，权益类资产将继续保持中性仓位上下，尽力在控制回撤的前提下争取增强组合的收益。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日，交银双利</w:t>
      </w:r>
      <w:r w:rsidRPr="00012AF5">
        <w:rPr>
          <w:color w:val="000000"/>
          <w:sz w:val="24"/>
        </w:rPr>
        <w:t>债券</w:t>
      </w:r>
      <w:r w:rsidRPr="00012AF5">
        <w:rPr>
          <w:color w:val="000000"/>
          <w:sz w:val="24"/>
        </w:rPr>
        <w:t>A/B</w:t>
      </w:r>
      <w:r w:rsidRPr="00012AF5">
        <w:rPr>
          <w:color w:val="000000"/>
          <w:sz w:val="24"/>
        </w:rPr>
        <w:t>份额净值为</w:t>
      </w:r>
      <w:r w:rsidRPr="00012AF5">
        <w:rPr>
          <w:color w:val="000000"/>
          <w:sz w:val="24"/>
        </w:rPr>
        <w:t>1.170</w:t>
      </w:r>
      <w:r w:rsidRPr="00012AF5">
        <w:rPr>
          <w:color w:val="000000"/>
          <w:sz w:val="24"/>
        </w:rPr>
        <w:t>元，本报告期份额净值增长率为</w:t>
      </w:r>
      <w:r w:rsidRPr="00012AF5">
        <w:rPr>
          <w:color w:val="000000"/>
          <w:sz w:val="24"/>
        </w:rPr>
        <w:t>-0.85%</w:t>
      </w:r>
      <w:r w:rsidRPr="00012AF5">
        <w:rPr>
          <w:color w:val="000000"/>
          <w:sz w:val="24"/>
        </w:rPr>
        <w:t>，同期业绩比较基准增长率为</w:t>
      </w:r>
      <w:r w:rsidR="00A045FA" w:rsidRPr="00012AF5">
        <w:rPr>
          <w:color w:val="000000"/>
          <w:sz w:val="24"/>
        </w:rPr>
        <w:t>-0.53</w:t>
      </w:r>
      <w:r w:rsidRPr="00012AF5">
        <w:rPr>
          <w:color w:val="000000"/>
          <w:sz w:val="24"/>
        </w:rPr>
        <w:t>%</w:t>
      </w:r>
      <w:r w:rsidRPr="00012AF5">
        <w:rPr>
          <w:color w:val="000000"/>
          <w:sz w:val="24"/>
        </w:rPr>
        <w:t>；交银双利债券</w:t>
      </w:r>
      <w:r w:rsidRPr="00012AF5">
        <w:rPr>
          <w:color w:val="000000"/>
          <w:sz w:val="24"/>
        </w:rPr>
        <w:t>C</w:t>
      </w:r>
      <w:r w:rsidRPr="00012AF5">
        <w:rPr>
          <w:color w:val="000000"/>
          <w:sz w:val="24"/>
        </w:rPr>
        <w:t>份额净值为</w:t>
      </w:r>
      <w:r w:rsidRPr="00012AF5">
        <w:rPr>
          <w:color w:val="000000"/>
          <w:sz w:val="24"/>
        </w:rPr>
        <w:t>1.137</w:t>
      </w:r>
      <w:r w:rsidRPr="00012AF5">
        <w:rPr>
          <w:color w:val="000000"/>
          <w:sz w:val="24"/>
        </w:rPr>
        <w:t>元，本报告期份额净值增长率为</w:t>
      </w:r>
      <w:r w:rsidR="00E4265C">
        <w:rPr>
          <w:color w:val="000000"/>
          <w:sz w:val="24"/>
        </w:rPr>
        <w:t>-0.96%</w:t>
      </w:r>
      <w:r w:rsidRPr="00012AF5">
        <w:rPr>
          <w:color w:val="000000"/>
          <w:sz w:val="24"/>
        </w:rPr>
        <w:t>，同期业绩比较基准增长率为</w:t>
      </w:r>
      <w:r w:rsidR="00E4265C" w:rsidRPr="00012AF5">
        <w:rPr>
          <w:color w:val="000000"/>
          <w:sz w:val="24"/>
        </w:rPr>
        <w:t>-0.53%</w:t>
      </w:r>
      <w:r w:rsidRPr="00012AF5">
        <w:rPr>
          <w:color w:val="000000"/>
          <w:sz w:val="24"/>
        </w:rPr>
        <w:t>。</w:t>
      </w:r>
    </w:p>
    <w:p w:rsidR="00400FA6" w:rsidRPr="00E4265C"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11,284,635.96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11,284,635.96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255,262,720.10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255,262,720.10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w:t>
            </w:r>
            <w:r w:rsidRPr="007F52FA">
              <w:rPr>
                <w:color w:val="000000"/>
                <w:sz w:val="24"/>
              </w:rPr>
              <w:lastRenderedPageBreak/>
              <w:t>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lastRenderedPageBreak/>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3,836,700.19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11,405,970.06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4.05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281,790,026.31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7,008,676.00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4,275,959.96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11,284,635.96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04A5C">
        <w:trPr>
          <w:jc w:val="center"/>
        </w:trPr>
        <w:tc>
          <w:tcPr>
            <w:tcW w:w="850" w:type="dxa"/>
            <w:vAlign w:val="center"/>
          </w:tcPr>
          <w:p w:rsidR="00204A5C" w:rsidRDefault="00012AF5">
            <w:pPr>
              <w:jc w:val="center"/>
            </w:pPr>
            <w:r>
              <w:rPr>
                <w:color w:val="000000"/>
                <w:sz w:val="24"/>
              </w:rPr>
              <w:t>1</w:t>
            </w:r>
          </w:p>
        </w:tc>
        <w:tc>
          <w:tcPr>
            <w:tcW w:w="1327" w:type="dxa"/>
            <w:vAlign w:val="center"/>
          </w:tcPr>
          <w:p w:rsidR="00204A5C" w:rsidRDefault="00012AF5">
            <w:pPr>
              <w:jc w:val="center"/>
            </w:pPr>
            <w:r>
              <w:rPr>
                <w:color w:val="000000"/>
                <w:sz w:val="24"/>
              </w:rPr>
              <w:t>600309</w:t>
            </w:r>
          </w:p>
        </w:tc>
        <w:tc>
          <w:tcPr>
            <w:tcW w:w="1769" w:type="dxa"/>
            <w:vAlign w:val="center"/>
          </w:tcPr>
          <w:p w:rsidR="00204A5C" w:rsidRDefault="00012AF5">
            <w:pPr>
              <w:jc w:val="center"/>
            </w:pPr>
            <w:r>
              <w:rPr>
                <w:color w:val="000000"/>
                <w:sz w:val="24"/>
              </w:rPr>
              <w:t>万华化学</w:t>
            </w:r>
          </w:p>
        </w:tc>
        <w:tc>
          <w:tcPr>
            <w:tcW w:w="1327" w:type="dxa"/>
            <w:vAlign w:val="center"/>
          </w:tcPr>
          <w:p w:rsidR="00204A5C" w:rsidRDefault="00012AF5">
            <w:pPr>
              <w:jc w:val="right"/>
            </w:pPr>
            <w:r>
              <w:rPr>
                <w:color w:val="000000"/>
                <w:sz w:val="24"/>
              </w:rPr>
              <w:t>70,000</w:t>
            </w:r>
          </w:p>
        </w:tc>
        <w:tc>
          <w:tcPr>
            <w:tcW w:w="1915" w:type="dxa"/>
            <w:vAlign w:val="center"/>
          </w:tcPr>
          <w:p w:rsidR="00204A5C" w:rsidRDefault="00012AF5">
            <w:pPr>
              <w:jc w:val="right"/>
            </w:pPr>
            <w:r>
              <w:rPr>
                <w:color w:val="000000"/>
                <w:sz w:val="24"/>
              </w:rPr>
              <w:t>2,655,800.00</w:t>
            </w:r>
          </w:p>
        </w:tc>
        <w:tc>
          <w:tcPr>
            <w:tcW w:w="1680" w:type="dxa"/>
            <w:vAlign w:val="center"/>
          </w:tcPr>
          <w:p w:rsidR="00204A5C" w:rsidRDefault="00012AF5">
            <w:pPr>
              <w:jc w:val="right"/>
            </w:pPr>
            <w:r>
              <w:rPr>
                <w:color w:val="000000"/>
                <w:sz w:val="24"/>
              </w:rPr>
              <w:t>1.05</w:t>
            </w:r>
          </w:p>
        </w:tc>
      </w:tr>
      <w:tr w:rsidR="00204A5C">
        <w:trPr>
          <w:jc w:val="center"/>
        </w:trPr>
        <w:tc>
          <w:tcPr>
            <w:tcW w:w="850" w:type="dxa"/>
            <w:vAlign w:val="center"/>
          </w:tcPr>
          <w:p w:rsidR="00204A5C" w:rsidRDefault="00012AF5">
            <w:pPr>
              <w:jc w:val="center"/>
            </w:pPr>
            <w:r>
              <w:rPr>
                <w:color w:val="000000"/>
                <w:sz w:val="24"/>
              </w:rPr>
              <w:t>2</w:t>
            </w:r>
          </w:p>
        </w:tc>
        <w:tc>
          <w:tcPr>
            <w:tcW w:w="1327" w:type="dxa"/>
            <w:vAlign w:val="center"/>
          </w:tcPr>
          <w:p w:rsidR="00204A5C" w:rsidRDefault="00012AF5">
            <w:pPr>
              <w:jc w:val="center"/>
            </w:pPr>
            <w:r>
              <w:rPr>
                <w:color w:val="000000"/>
                <w:sz w:val="24"/>
              </w:rPr>
              <w:t>600332</w:t>
            </w:r>
          </w:p>
        </w:tc>
        <w:tc>
          <w:tcPr>
            <w:tcW w:w="1769" w:type="dxa"/>
            <w:vAlign w:val="center"/>
          </w:tcPr>
          <w:p w:rsidR="00204A5C" w:rsidRDefault="00012AF5">
            <w:pPr>
              <w:jc w:val="center"/>
            </w:pPr>
            <w:r>
              <w:rPr>
                <w:color w:val="000000"/>
                <w:sz w:val="24"/>
              </w:rPr>
              <w:t>白云山</w:t>
            </w:r>
          </w:p>
        </w:tc>
        <w:tc>
          <w:tcPr>
            <w:tcW w:w="1327" w:type="dxa"/>
            <w:vAlign w:val="center"/>
          </w:tcPr>
          <w:p w:rsidR="00204A5C" w:rsidRDefault="00012AF5">
            <w:pPr>
              <w:jc w:val="right"/>
            </w:pPr>
            <w:r>
              <w:rPr>
                <w:color w:val="000000"/>
                <w:sz w:val="24"/>
              </w:rPr>
              <w:t>80,000</w:t>
            </w:r>
          </w:p>
        </w:tc>
        <w:tc>
          <w:tcPr>
            <w:tcW w:w="1915" w:type="dxa"/>
            <w:vAlign w:val="center"/>
          </w:tcPr>
          <w:p w:rsidR="00204A5C" w:rsidRDefault="00012AF5">
            <w:pPr>
              <w:jc w:val="right"/>
            </w:pPr>
            <w:r>
              <w:rPr>
                <w:color w:val="000000"/>
                <w:sz w:val="24"/>
              </w:rPr>
              <w:t>2,571,200.00</w:t>
            </w:r>
          </w:p>
        </w:tc>
        <w:tc>
          <w:tcPr>
            <w:tcW w:w="1680" w:type="dxa"/>
            <w:vAlign w:val="center"/>
          </w:tcPr>
          <w:p w:rsidR="00204A5C" w:rsidRDefault="00012AF5">
            <w:pPr>
              <w:jc w:val="right"/>
            </w:pPr>
            <w:r>
              <w:rPr>
                <w:color w:val="000000"/>
                <w:sz w:val="24"/>
              </w:rPr>
              <w:t>1.02</w:t>
            </w:r>
          </w:p>
        </w:tc>
      </w:tr>
      <w:tr w:rsidR="00204A5C">
        <w:trPr>
          <w:jc w:val="center"/>
        </w:trPr>
        <w:tc>
          <w:tcPr>
            <w:tcW w:w="850" w:type="dxa"/>
            <w:vAlign w:val="center"/>
          </w:tcPr>
          <w:p w:rsidR="00204A5C" w:rsidRDefault="00012AF5">
            <w:pPr>
              <w:jc w:val="center"/>
            </w:pPr>
            <w:r>
              <w:rPr>
                <w:color w:val="000000"/>
                <w:sz w:val="24"/>
              </w:rPr>
              <w:t>3</w:t>
            </w:r>
          </w:p>
        </w:tc>
        <w:tc>
          <w:tcPr>
            <w:tcW w:w="1327" w:type="dxa"/>
            <w:vAlign w:val="center"/>
          </w:tcPr>
          <w:p w:rsidR="00204A5C" w:rsidRDefault="00012AF5">
            <w:pPr>
              <w:jc w:val="center"/>
            </w:pPr>
            <w:r>
              <w:rPr>
                <w:color w:val="000000"/>
                <w:sz w:val="24"/>
              </w:rPr>
              <w:t>603939</w:t>
            </w:r>
          </w:p>
        </w:tc>
        <w:tc>
          <w:tcPr>
            <w:tcW w:w="1769" w:type="dxa"/>
            <w:vAlign w:val="center"/>
          </w:tcPr>
          <w:p w:rsidR="00204A5C" w:rsidRDefault="00012AF5">
            <w:pPr>
              <w:jc w:val="center"/>
            </w:pPr>
            <w:r>
              <w:rPr>
                <w:color w:val="000000"/>
                <w:sz w:val="24"/>
              </w:rPr>
              <w:t>益丰药房</w:t>
            </w:r>
          </w:p>
        </w:tc>
        <w:tc>
          <w:tcPr>
            <w:tcW w:w="1327" w:type="dxa"/>
            <w:vAlign w:val="center"/>
          </w:tcPr>
          <w:p w:rsidR="00204A5C" w:rsidRDefault="00012AF5">
            <w:pPr>
              <w:jc w:val="right"/>
            </w:pPr>
            <w:r>
              <w:rPr>
                <w:color w:val="000000"/>
                <w:sz w:val="24"/>
              </w:rPr>
              <w:t>50,000</w:t>
            </w:r>
          </w:p>
        </w:tc>
        <w:tc>
          <w:tcPr>
            <w:tcW w:w="1915" w:type="dxa"/>
            <w:vAlign w:val="center"/>
          </w:tcPr>
          <w:p w:rsidR="00204A5C" w:rsidRDefault="00012AF5">
            <w:pPr>
              <w:jc w:val="right"/>
            </w:pPr>
            <w:r>
              <w:rPr>
                <w:color w:val="000000"/>
                <w:sz w:val="24"/>
              </w:rPr>
              <w:t>2,274,000.00</w:t>
            </w:r>
          </w:p>
        </w:tc>
        <w:tc>
          <w:tcPr>
            <w:tcW w:w="1680" w:type="dxa"/>
            <w:vAlign w:val="center"/>
          </w:tcPr>
          <w:p w:rsidR="00204A5C" w:rsidRDefault="00012AF5">
            <w:pPr>
              <w:jc w:val="right"/>
            </w:pPr>
            <w:r>
              <w:rPr>
                <w:color w:val="000000"/>
                <w:sz w:val="24"/>
              </w:rPr>
              <w:t>0.90</w:t>
            </w:r>
          </w:p>
        </w:tc>
      </w:tr>
      <w:tr w:rsidR="00204A5C">
        <w:trPr>
          <w:jc w:val="center"/>
        </w:trPr>
        <w:tc>
          <w:tcPr>
            <w:tcW w:w="850" w:type="dxa"/>
            <w:vAlign w:val="center"/>
          </w:tcPr>
          <w:p w:rsidR="00204A5C" w:rsidRDefault="00012AF5">
            <w:pPr>
              <w:jc w:val="center"/>
            </w:pPr>
            <w:r>
              <w:rPr>
                <w:color w:val="000000"/>
                <w:sz w:val="24"/>
              </w:rPr>
              <w:t>4</w:t>
            </w:r>
          </w:p>
        </w:tc>
        <w:tc>
          <w:tcPr>
            <w:tcW w:w="1327" w:type="dxa"/>
            <w:vAlign w:val="center"/>
          </w:tcPr>
          <w:p w:rsidR="00204A5C" w:rsidRDefault="00012AF5">
            <w:pPr>
              <w:jc w:val="center"/>
            </w:pPr>
            <w:r>
              <w:rPr>
                <w:color w:val="000000"/>
                <w:sz w:val="24"/>
              </w:rPr>
              <w:t>603708</w:t>
            </w:r>
          </w:p>
        </w:tc>
        <w:tc>
          <w:tcPr>
            <w:tcW w:w="1769" w:type="dxa"/>
            <w:vAlign w:val="center"/>
          </w:tcPr>
          <w:p w:rsidR="00204A5C" w:rsidRDefault="00012AF5">
            <w:pPr>
              <w:jc w:val="center"/>
            </w:pPr>
            <w:r>
              <w:rPr>
                <w:color w:val="000000"/>
                <w:sz w:val="24"/>
              </w:rPr>
              <w:t>家家悦</w:t>
            </w:r>
          </w:p>
        </w:tc>
        <w:tc>
          <w:tcPr>
            <w:tcW w:w="1327" w:type="dxa"/>
            <w:vAlign w:val="center"/>
          </w:tcPr>
          <w:p w:rsidR="00204A5C" w:rsidRDefault="00012AF5">
            <w:pPr>
              <w:jc w:val="right"/>
            </w:pPr>
            <w:r>
              <w:rPr>
                <w:color w:val="000000"/>
                <w:sz w:val="24"/>
              </w:rPr>
              <w:t>99,998</w:t>
            </w:r>
          </w:p>
        </w:tc>
        <w:tc>
          <w:tcPr>
            <w:tcW w:w="1915" w:type="dxa"/>
            <w:vAlign w:val="center"/>
          </w:tcPr>
          <w:p w:rsidR="00204A5C" w:rsidRDefault="00012AF5">
            <w:pPr>
              <w:jc w:val="right"/>
            </w:pPr>
            <w:r>
              <w:rPr>
                <w:color w:val="000000"/>
                <w:sz w:val="24"/>
              </w:rPr>
              <w:t>2,001,959.96</w:t>
            </w:r>
          </w:p>
        </w:tc>
        <w:tc>
          <w:tcPr>
            <w:tcW w:w="1680" w:type="dxa"/>
            <w:vAlign w:val="center"/>
          </w:tcPr>
          <w:p w:rsidR="00204A5C" w:rsidRDefault="00012AF5">
            <w:pPr>
              <w:jc w:val="right"/>
            </w:pPr>
            <w:r>
              <w:rPr>
                <w:color w:val="000000"/>
                <w:sz w:val="24"/>
              </w:rPr>
              <w:t>0.79</w:t>
            </w:r>
          </w:p>
        </w:tc>
      </w:tr>
      <w:tr w:rsidR="00204A5C">
        <w:trPr>
          <w:jc w:val="center"/>
        </w:trPr>
        <w:tc>
          <w:tcPr>
            <w:tcW w:w="850" w:type="dxa"/>
            <w:vAlign w:val="center"/>
          </w:tcPr>
          <w:p w:rsidR="00204A5C" w:rsidRDefault="00012AF5">
            <w:pPr>
              <w:jc w:val="center"/>
            </w:pPr>
            <w:r>
              <w:rPr>
                <w:color w:val="000000"/>
                <w:sz w:val="24"/>
              </w:rPr>
              <w:t>5</w:t>
            </w:r>
          </w:p>
        </w:tc>
        <w:tc>
          <w:tcPr>
            <w:tcW w:w="1327" w:type="dxa"/>
            <w:vAlign w:val="center"/>
          </w:tcPr>
          <w:p w:rsidR="00204A5C" w:rsidRDefault="00012AF5">
            <w:pPr>
              <w:jc w:val="center"/>
            </w:pPr>
            <w:r>
              <w:rPr>
                <w:color w:val="000000"/>
                <w:sz w:val="24"/>
              </w:rPr>
              <w:t>002531</w:t>
            </w:r>
          </w:p>
        </w:tc>
        <w:tc>
          <w:tcPr>
            <w:tcW w:w="1769" w:type="dxa"/>
            <w:vAlign w:val="center"/>
          </w:tcPr>
          <w:p w:rsidR="00204A5C" w:rsidRDefault="00012AF5">
            <w:pPr>
              <w:jc w:val="center"/>
            </w:pPr>
            <w:r>
              <w:rPr>
                <w:color w:val="000000"/>
                <w:sz w:val="24"/>
              </w:rPr>
              <w:t>天顺风能</w:t>
            </w:r>
          </w:p>
        </w:tc>
        <w:tc>
          <w:tcPr>
            <w:tcW w:w="1327" w:type="dxa"/>
            <w:vAlign w:val="center"/>
          </w:tcPr>
          <w:p w:rsidR="00204A5C" w:rsidRDefault="00012AF5">
            <w:pPr>
              <w:jc w:val="right"/>
            </w:pPr>
            <w:r>
              <w:rPr>
                <w:color w:val="000000"/>
                <w:sz w:val="24"/>
              </w:rPr>
              <w:t>219,960</w:t>
            </w:r>
          </w:p>
        </w:tc>
        <w:tc>
          <w:tcPr>
            <w:tcW w:w="1915" w:type="dxa"/>
            <w:vAlign w:val="center"/>
          </w:tcPr>
          <w:p w:rsidR="00204A5C" w:rsidRDefault="00012AF5">
            <w:pPr>
              <w:jc w:val="right"/>
            </w:pPr>
            <w:r>
              <w:rPr>
                <w:color w:val="000000"/>
                <w:sz w:val="24"/>
              </w:rPr>
              <w:t>1,781,676.00</w:t>
            </w:r>
          </w:p>
        </w:tc>
        <w:tc>
          <w:tcPr>
            <w:tcW w:w="1680" w:type="dxa"/>
            <w:vAlign w:val="center"/>
          </w:tcPr>
          <w:p w:rsidR="00204A5C" w:rsidRDefault="00012AF5">
            <w:pPr>
              <w:jc w:val="right"/>
            </w:pPr>
            <w:r>
              <w:rPr>
                <w:color w:val="000000"/>
                <w:sz w:val="24"/>
              </w:rPr>
              <w:t>0.71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7026CC" w:rsidP="007C14DF">
            <w:pPr>
              <w:spacing w:before="29" w:line="288" w:lineRule="auto"/>
              <w:ind w:left="17"/>
              <w:jc w:val="right"/>
              <w:rPr>
                <w:color w:val="000000"/>
                <w:sz w:val="24"/>
              </w:rPr>
            </w:pPr>
            <w:r>
              <w:rPr>
                <w:color w:val="000000"/>
                <w:sz w:val="24"/>
              </w:rPr>
              <w:t>32,791,620</w:t>
            </w:r>
            <w:r w:rsidR="00296E4A" w:rsidRPr="007F52FA">
              <w:rPr>
                <w:color w:val="000000"/>
                <w:sz w:val="24"/>
              </w:rPr>
              <w:t>.00</w:t>
            </w:r>
          </w:p>
        </w:tc>
        <w:tc>
          <w:tcPr>
            <w:tcW w:w="1616" w:type="dxa"/>
            <w:vAlign w:val="center"/>
          </w:tcPr>
          <w:p w:rsidR="00296E4A" w:rsidRPr="007F52FA" w:rsidRDefault="007026CC" w:rsidP="007C14DF">
            <w:pPr>
              <w:spacing w:before="29" w:line="288" w:lineRule="auto"/>
              <w:ind w:left="17"/>
              <w:jc w:val="right"/>
              <w:rPr>
                <w:color w:val="000000"/>
                <w:sz w:val="24"/>
              </w:rPr>
            </w:pPr>
            <w:r>
              <w:rPr>
                <w:color w:val="000000"/>
                <w:sz w:val="24"/>
              </w:rPr>
              <w:t>12.98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12,871,620.00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026CC">
            <w:pPr>
              <w:spacing w:before="29" w:line="288" w:lineRule="auto"/>
              <w:ind w:left="17"/>
              <w:jc w:val="right"/>
              <w:rPr>
                <w:color w:val="000000"/>
                <w:sz w:val="24"/>
              </w:rPr>
            </w:pPr>
            <w:r w:rsidRPr="007F52FA">
              <w:rPr>
                <w:color w:val="000000"/>
                <w:sz w:val="24"/>
              </w:rPr>
              <w:t>1</w:t>
            </w:r>
            <w:r w:rsidR="007026CC">
              <w:rPr>
                <w:color w:val="000000"/>
                <w:sz w:val="24"/>
              </w:rPr>
              <w:t>41,992,096</w:t>
            </w:r>
            <w:r w:rsidRPr="007F52FA">
              <w:rPr>
                <w:color w:val="000000"/>
                <w:sz w:val="24"/>
              </w:rPr>
              <w:t>.00</w:t>
            </w:r>
          </w:p>
        </w:tc>
        <w:tc>
          <w:tcPr>
            <w:tcW w:w="1616" w:type="dxa"/>
            <w:vAlign w:val="center"/>
          </w:tcPr>
          <w:p w:rsidR="00296E4A" w:rsidRPr="007F52FA" w:rsidRDefault="007026CC" w:rsidP="007C14DF">
            <w:pPr>
              <w:spacing w:before="29" w:line="288" w:lineRule="auto"/>
              <w:ind w:left="17"/>
              <w:jc w:val="right"/>
              <w:rPr>
                <w:color w:val="000000"/>
                <w:sz w:val="24"/>
              </w:rPr>
            </w:pPr>
            <w:r>
              <w:rPr>
                <w:color w:val="000000"/>
                <w:sz w:val="24"/>
              </w:rPr>
              <w:t>56.22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50,203,000.00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19,920,000.00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10,356,004.10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255,262,720.10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04A5C">
        <w:trPr>
          <w:jc w:val="center"/>
        </w:trPr>
        <w:tc>
          <w:tcPr>
            <w:tcW w:w="1075" w:type="dxa"/>
            <w:vAlign w:val="center"/>
          </w:tcPr>
          <w:p w:rsidR="00204A5C" w:rsidRDefault="00012AF5">
            <w:pPr>
              <w:jc w:val="center"/>
            </w:pPr>
            <w:r>
              <w:rPr>
                <w:color w:val="000000"/>
                <w:sz w:val="24"/>
              </w:rPr>
              <w:t>1</w:t>
            </w:r>
          </w:p>
        </w:tc>
        <w:tc>
          <w:tcPr>
            <w:tcW w:w="1533" w:type="dxa"/>
            <w:vAlign w:val="center"/>
          </w:tcPr>
          <w:p w:rsidR="00204A5C" w:rsidRDefault="00012AF5">
            <w:pPr>
              <w:jc w:val="center"/>
            </w:pPr>
            <w:r>
              <w:rPr>
                <w:color w:val="000000"/>
                <w:sz w:val="24"/>
              </w:rPr>
              <w:t>122411</w:t>
            </w:r>
          </w:p>
        </w:tc>
        <w:tc>
          <w:tcPr>
            <w:tcW w:w="1533" w:type="dxa"/>
            <w:vAlign w:val="center"/>
          </w:tcPr>
          <w:p w:rsidR="00204A5C" w:rsidRDefault="00012AF5">
            <w:pPr>
              <w:jc w:val="center"/>
            </w:pPr>
            <w:r>
              <w:rPr>
                <w:color w:val="000000"/>
                <w:sz w:val="24"/>
              </w:rPr>
              <w:t>14</w:t>
            </w:r>
            <w:r>
              <w:rPr>
                <w:color w:val="000000"/>
                <w:sz w:val="24"/>
              </w:rPr>
              <w:t>招金债</w:t>
            </w:r>
          </w:p>
        </w:tc>
        <w:tc>
          <w:tcPr>
            <w:tcW w:w="1394" w:type="dxa"/>
            <w:vAlign w:val="center"/>
          </w:tcPr>
          <w:p w:rsidR="00204A5C" w:rsidRDefault="00012AF5">
            <w:pPr>
              <w:jc w:val="right"/>
            </w:pPr>
            <w:r>
              <w:rPr>
                <w:color w:val="000000"/>
                <w:sz w:val="24"/>
              </w:rPr>
              <w:t>250,000</w:t>
            </w:r>
          </w:p>
        </w:tc>
        <w:tc>
          <w:tcPr>
            <w:tcW w:w="1944" w:type="dxa"/>
            <w:vAlign w:val="center"/>
          </w:tcPr>
          <w:p w:rsidR="00204A5C" w:rsidRDefault="00012AF5">
            <w:pPr>
              <w:jc w:val="right"/>
            </w:pPr>
            <w:r>
              <w:rPr>
                <w:color w:val="000000"/>
                <w:sz w:val="24"/>
              </w:rPr>
              <w:t>24,687,500.00</w:t>
            </w:r>
          </w:p>
        </w:tc>
        <w:tc>
          <w:tcPr>
            <w:tcW w:w="1389" w:type="dxa"/>
            <w:vAlign w:val="center"/>
          </w:tcPr>
          <w:p w:rsidR="00204A5C" w:rsidRDefault="00012AF5">
            <w:pPr>
              <w:jc w:val="right"/>
            </w:pPr>
            <w:r>
              <w:rPr>
                <w:color w:val="000000"/>
                <w:sz w:val="24"/>
              </w:rPr>
              <w:t>9.78</w:t>
            </w:r>
          </w:p>
        </w:tc>
      </w:tr>
      <w:tr w:rsidR="00204A5C">
        <w:trPr>
          <w:jc w:val="center"/>
        </w:trPr>
        <w:tc>
          <w:tcPr>
            <w:tcW w:w="1075" w:type="dxa"/>
            <w:vAlign w:val="center"/>
          </w:tcPr>
          <w:p w:rsidR="00204A5C" w:rsidRDefault="00012AF5">
            <w:pPr>
              <w:jc w:val="center"/>
            </w:pPr>
            <w:r>
              <w:rPr>
                <w:color w:val="000000"/>
                <w:sz w:val="24"/>
              </w:rPr>
              <w:t>2</w:t>
            </w:r>
          </w:p>
        </w:tc>
        <w:tc>
          <w:tcPr>
            <w:tcW w:w="1533" w:type="dxa"/>
            <w:vAlign w:val="center"/>
          </w:tcPr>
          <w:p w:rsidR="00204A5C" w:rsidRDefault="00012AF5">
            <w:pPr>
              <w:jc w:val="center"/>
            </w:pPr>
            <w:r>
              <w:rPr>
                <w:color w:val="000000"/>
                <w:sz w:val="24"/>
              </w:rPr>
              <w:t>041760015</w:t>
            </w:r>
          </w:p>
        </w:tc>
        <w:tc>
          <w:tcPr>
            <w:tcW w:w="1533" w:type="dxa"/>
            <w:vAlign w:val="center"/>
          </w:tcPr>
          <w:p w:rsidR="00204A5C" w:rsidRDefault="00012AF5">
            <w:pPr>
              <w:jc w:val="center"/>
            </w:pPr>
            <w:r>
              <w:rPr>
                <w:color w:val="000000"/>
                <w:sz w:val="24"/>
              </w:rPr>
              <w:t>17</w:t>
            </w:r>
            <w:r>
              <w:rPr>
                <w:color w:val="000000"/>
                <w:sz w:val="24"/>
              </w:rPr>
              <w:t>蓉经开</w:t>
            </w:r>
            <w:r>
              <w:rPr>
                <w:color w:val="000000"/>
                <w:sz w:val="24"/>
              </w:rPr>
              <w:t>CP002</w:t>
            </w:r>
          </w:p>
        </w:tc>
        <w:tc>
          <w:tcPr>
            <w:tcW w:w="1394" w:type="dxa"/>
            <w:vAlign w:val="center"/>
          </w:tcPr>
          <w:p w:rsidR="00204A5C" w:rsidRDefault="00012AF5">
            <w:pPr>
              <w:jc w:val="right"/>
            </w:pPr>
            <w:r>
              <w:rPr>
                <w:color w:val="000000"/>
                <w:sz w:val="24"/>
              </w:rPr>
              <w:t>200,000</w:t>
            </w:r>
          </w:p>
        </w:tc>
        <w:tc>
          <w:tcPr>
            <w:tcW w:w="1944" w:type="dxa"/>
            <w:vAlign w:val="center"/>
          </w:tcPr>
          <w:p w:rsidR="00204A5C" w:rsidRDefault="00012AF5">
            <w:pPr>
              <w:jc w:val="right"/>
            </w:pPr>
            <w:r>
              <w:rPr>
                <w:color w:val="000000"/>
                <w:sz w:val="24"/>
              </w:rPr>
              <w:t>20,086,000.00</w:t>
            </w:r>
          </w:p>
        </w:tc>
        <w:tc>
          <w:tcPr>
            <w:tcW w:w="1389" w:type="dxa"/>
            <w:vAlign w:val="center"/>
          </w:tcPr>
          <w:p w:rsidR="00204A5C" w:rsidRDefault="00012AF5">
            <w:pPr>
              <w:jc w:val="right"/>
            </w:pPr>
            <w:r>
              <w:rPr>
                <w:color w:val="000000"/>
                <w:sz w:val="24"/>
              </w:rPr>
              <w:t>7.95</w:t>
            </w:r>
          </w:p>
        </w:tc>
      </w:tr>
      <w:tr w:rsidR="00204A5C">
        <w:trPr>
          <w:jc w:val="center"/>
        </w:trPr>
        <w:tc>
          <w:tcPr>
            <w:tcW w:w="1075" w:type="dxa"/>
            <w:vAlign w:val="center"/>
          </w:tcPr>
          <w:p w:rsidR="00204A5C" w:rsidRDefault="00012AF5">
            <w:pPr>
              <w:jc w:val="center"/>
            </w:pPr>
            <w:r>
              <w:rPr>
                <w:color w:val="000000"/>
                <w:sz w:val="24"/>
              </w:rPr>
              <w:t>3</w:t>
            </w:r>
          </w:p>
        </w:tc>
        <w:tc>
          <w:tcPr>
            <w:tcW w:w="1533" w:type="dxa"/>
            <w:vAlign w:val="center"/>
          </w:tcPr>
          <w:p w:rsidR="00204A5C" w:rsidRDefault="00012AF5">
            <w:pPr>
              <w:jc w:val="center"/>
            </w:pPr>
            <w:r>
              <w:rPr>
                <w:color w:val="000000"/>
                <w:sz w:val="24"/>
              </w:rPr>
              <w:t>011752034</w:t>
            </w:r>
          </w:p>
        </w:tc>
        <w:tc>
          <w:tcPr>
            <w:tcW w:w="1533" w:type="dxa"/>
            <w:vAlign w:val="center"/>
          </w:tcPr>
          <w:p w:rsidR="00204A5C" w:rsidRDefault="00012AF5">
            <w:pPr>
              <w:jc w:val="center"/>
            </w:pPr>
            <w:r>
              <w:rPr>
                <w:color w:val="000000"/>
                <w:sz w:val="24"/>
              </w:rPr>
              <w:t>17</w:t>
            </w:r>
            <w:r>
              <w:rPr>
                <w:color w:val="000000"/>
                <w:sz w:val="24"/>
              </w:rPr>
              <w:t>云投</w:t>
            </w:r>
            <w:r>
              <w:rPr>
                <w:color w:val="000000"/>
                <w:sz w:val="24"/>
              </w:rPr>
              <w:lastRenderedPageBreak/>
              <w:t>SCP001</w:t>
            </w:r>
          </w:p>
        </w:tc>
        <w:tc>
          <w:tcPr>
            <w:tcW w:w="1394" w:type="dxa"/>
            <w:vAlign w:val="center"/>
          </w:tcPr>
          <w:p w:rsidR="00204A5C" w:rsidRDefault="00012AF5">
            <w:pPr>
              <w:jc w:val="right"/>
            </w:pPr>
            <w:r>
              <w:rPr>
                <w:color w:val="000000"/>
                <w:sz w:val="24"/>
              </w:rPr>
              <w:lastRenderedPageBreak/>
              <w:t>200,000</w:t>
            </w:r>
          </w:p>
        </w:tc>
        <w:tc>
          <w:tcPr>
            <w:tcW w:w="1944" w:type="dxa"/>
            <w:vAlign w:val="center"/>
          </w:tcPr>
          <w:p w:rsidR="00204A5C" w:rsidRDefault="00012AF5">
            <w:pPr>
              <w:jc w:val="right"/>
            </w:pPr>
            <w:r>
              <w:rPr>
                <w:color w:val="000000"/>
                <w:sz w:val="24"/>
              </w:rPr>
              <w:t>20,056,000.00</w:t>
            </w:r>
          </w:p>
        </w:tc>
        <w:tc>
          <w:tcPr>
            <w:tcW w:w="1389" w:type="dxa"/>
            <w:vAlign w:val="center"/>
          </w:tcPr>
          <w:p w:rsidR="00204A5C" w:rsidRDefault="00012AF5">
            <w:pPr>
              <w:jc w:val="right"/>
            </w:pPr>
            <w:r>
              <w:rPr>
                <w:color w:val="000000"/>
                <w:sz w:val="24"/>
              </w:rPr>
              <w:t>7.94</w:t>
            </w:r>
          </w:p>
        </w:tc>
      </w:tr>
      <w:tr w:rsidR="00204A5C" w:rsidTr="00F51860">
        <w:trPr>
          <w:jc w:val="center"/>
        </w:trPr>
        <w:tc>
          <w:tcPr>
            <w:tcW w:w="1075" w:type="dxa"/>
            <w:tcBorders>
              <w:bottom w:val="single" w:sz="4" w:space="0" w:color="auto"/>
            </w:tcBorders>
            <w:vAlign w:val="center"/>
          </w:tcPr>
          <w:p w:rsidR="00204A5C" w:rsidRDefault="00012AF5">
            <w:pPr>
              <w:jc w:val="center"/>
            </w:pPr>
            <w:r>
              <w:rPr>
                <w:color w:val="000000"/>
                <w:sz w:val="24"/>
              </w:rPr>
              <w:t>4</w:t>
            </w:r>
          </w:p>
        </w:tc>
        <w:tc>
          <w:tcPr>
            <w:tcW w:w="1533" w:type="dxa"/>
            <w:tcBorders>
              <w:bottom w:val="single" w:sz="4" w:space="0" w:color="auto"/>
            </w:tcBorders>
            <w:vAlign w:val="center"/>
          </w:tcPr>
          <w:p w:rsidR="00204A5C" w:rsidRDefault="00012AF5">
            <w:pPr>
              <w:jc w:val="center"/>
            </w:pPr>
            <w:r>
              <w:rPr>
                <w:color w:val="000000"/>
                <w:sz w:val="24"/>
              </w:rPr>
              <w:t>122514</w:t>
            </w:r>
          </w:p>
        </w:tc>
        <w:tc>
          <w:tcPr>
            <w:tcW w:w="1533" w:type="dxa"/>
            <w:tcBorders>
              <w:bottom w:val="single" w:sz="4" w:space="0" w:color="auto"/>
            </w:tcBorders>
            <w:vAlign w:val="center"/>
          </w:tcPr>
          <w:p w:rsidR="00204A5C" w:rsidRDefault="00012AF5">
            <w:pPr>
              <w:jc w:val="center"/>
            </w:pPr>
            <w:r>
              <w:rPr>
                <w:color w:val="000000"/>
                <w:sz w:val="24"/>
              </w:rPr>
              <w:t>12</w:t>
            </w:r>
            <w:r>
              <w:rPr>
                <w:color w:val="000000"/>
                <w:sz w:val="24"/>
              </w:rPr>
              <w:t>金融街</w:t>
            </w:r>
          </w:p>
        </w:tc>
        <w:tc>
          <w:tcPr>
            <w:tcW w:w="1394" w:type="dxa"/>
            <w:tcBorders>
              <w:bottom w:val="single" w:sz="4" w:space="0" w:color="auto"/>
            </w:tcBorders>
            <w:vAlign w:val="center"/>
          </w:tcPr>
          <w:p w:rsidR="00204A5C" w:rsidRDefault="00012AF5">
            <w:pPr>
              <w:jc w:val="right"/>
            </w:pPr>
            <w:r>
              <w:rPr>
                <w:color w:val="000000"/>
                <w:sz w:val="24"/>
              </w:rPr>
              <w:t>200,000</w:t>
            </w:r>
          </w:p>
        </w:tc>
        <w:tc>
          <w:tcPr>
            <w:tcW w:w="1944" w:type="dxa"/>
            <w:tcBorders>
              <w:bottom w:val="single" w:sz="4" w:space="0" w:color="auto"/>
            </w:tcBorders>
            <w:vAlign w:val="center"/>
          </w:tcPr>
          <w:p w:rsidR="00204A5C" w:rsidRDefault="00012AF5">
            <w:pPr>
              <w:jc w:val="right"/>
            </w:pPr>
            <w:r>
              <w:rPr>
                <w:color w:val="000000"/>
                <w:sz w:val="24"/>
              </w:rPr>
              <w:t>20,006,000.00</w:t>
            </w:r>
          </w:p>
        </w:tc>
        <w:tc>
          <w:tcPr>
            <w:tcW w:w="1389" w:type="dxa"/>
            <w:tcBorders>
              <w:bottom w:val="single" w:sz="4" w:space="0" w:color="auto"/>
            </w:tcBorders>
            <w:vAlign w:val="center"/>
          </w:tcPr>
          <w:p w:rsidR="00204A5C" w:rsidRDefault="00012AF5">
            <w:pPr>
              <w:jc w:val="right"/>
            </w:pPr>
            <w:r>
              <w:rPr>
                <w:color w:val="000000"/>
                <w:sz w:val="24"/>
              </w:rPr>
              <w:t>7.92</w:t>
            </w:r>
          </w:p>
        </w:tc>
      </w:tr>
      <w:tr w:rsidR="00204A5C" w:rsidTr="00F51860">
        <w:trPr>
          <w:jc w:val="center"/>
        </w:trPr>
        <w:tc>
          <w:tcPr>
            <w:tcW w:w="1075" w:type="dxa"/>
            <w:tcBorders>
              <w:bottom w:val="single" w:sz="4" w:space="0" w:color="auto"/>
            </w:tcBorders>
            <w:vAlign w:val="center"/>
          </w:tcPr>
          <w:p w:rsidR="00204A5C" w:rsidRDefault="00012AF5">
            <w:pPr>
              <w:jc w:val="center"/>
            </w:pPr>
            <w:bookmarkStart w:id="0" w:name="_GoBack"/>
            <w:r>
              <w:rPr>
                <w:color w:val="000000"/>
                <w:sz w:val="24"/>
              </w:rPr>
              <w:t>5</w:t>
            </w:r>
          </w:p>
        </w:tc>
        <w:tc>
          <w:tcPr>
            <w:tcW w:w="1533" w:type="dxa"/>
            <w:tcBorders>
              <w:bottom w:val="single" w:sz="4" w:space="0" w:color="auto"/>
            </w:tcBorders>
            <w:vAlign w:val="center"/>
          </w:tcPr>
          <w:p w:rsidR="00204A5C" w:rsidRDefault="00012AF5">
            <w:pPr>
              <w:jc w:val="center"/>
            </w:pPr>
            <w:r>
              <w:rPr>
                <w:color w:val="000000"/>
                <w:sz w:val="24"/>
              </w:rPr>
              <w:t>136015</w:t>
            </w:r>
          </w:p>
        </w:tc>
        <w:tc>
          <w:tcPr>
            <w:tcW w:w="1533" w:type="dxa"/>
            <w:tcBorders>
              <w:bottom w:val="single" w:sz="4" w:space="0" w:color="auto"/>
            </w:tcBorders>
            <w:vAlign w:val="center"/>
          </w:tcPr>
          <w:p w:rsidR="00204A5C" w:rsidRDefault="00012AF5">
            <w:pPr>
              <w:jc w:val="center"/>
            </w:pPr>
            <w:r>
              <w:rPr>
                <w:color w:val="000000"/>
                <w:sz w:val="24"/>
              </w:rPr>
              <w:t>15</w:t>
            </w:r>
            <w:r>
              <w:rPr>
                <w:color w:val="000000"/>
                <w:sz w:val="24"/>
              </w:rPr>
              <w:t>华安</w:t>
            </w:r>
            <w:r>
              <w:rPr>
                <w:color w:val="000000"/>
                <w:sz w:val="24"/>
              </w:rPr>
              <w:t>01</w:t>
            </w:r>
          </w:p>
        </w:tc>
        <w:tc>
          <w:tcPr>
            <w:tcW w:w="1394" w:type="dxa"/>
            <w:tcBorders>
              <w:bottom w:val="single" w:sz="4" w:space="0" w:color="auto"/>
            </w:tcBorders>
            <w:vAlign w:val="center"/>
          </w:tcPr>
          <w:p w:rsidR="00204A5C" w:rsidRDefault="00012AF5">
            <w:pPr>
              <w:jc w:val="right"/>
            </w:pPr>
            <w:r>
              <w:rPr>
                <w:color w:val="000000"/>
                <w:sz w:val="24"/>
              </w:rPr>
              <w:t>200,000</w:t>
            </w:r>
          </w:p>
        </w:tc>
        <w:tc>
          <w:tcPr>
            <w:tcW w:w="1944" w:type="dxa"/>
            <w:tcBorders>
              <w:bottom w:val="single" w:sz="4" w:space="0" w:color="auto"/>
            </w:tcBorders>
            <w:vAlign w:val="center"/>
          </w:tcPr>
          <w:p w:rsidR="00204A5C" w:rsidRDefault="00012AF5">
            <w:pPr>
              <w:jc w:val="right"/>
            </w:pPr>
            <w:r>
              <w:rPr>
                <w:color w:val="000000"/>
                <w:sz w:val="24"/>
              </w:rPr>
              <w:t>19,920,000.00</w:t>
            </w:r>
          </w:p>
        </w:tc>
        <w:tc>
          <w:tcPr>
            <w:tcW w:w="1389" w:type="dxa"/>
            <w:tcBorders>
              <w:bottom w:val="single" w:sz="4" w:space="0" w:color="auto"/>
            </w:tcBorders>
            <w:vAlign w:val="center"/>
          </w:tcPr>
          <w:p w:rsidR="00204A5C" w:rsidRDefault="00012AF5">
            <w:pPr>
              <w:jc w:val="right"/>
            </w:pPr>
            <w:r>
              <w:rPr>
                <w:color w:val="000000"/>
                <w:sz w:val="24"/>
              </w:rPr>
              <w:t>7.89</w:t>
            </w:r>
          </w:p>
        </w:tc>
      </w:tr>
      <w:bookmarkEnd w:id="0"/>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205,354.27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6,930,000.00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4,254,949.96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15,665.83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11,405,970.06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8D0EB6" w:rsidRPr="007F52FA" w:rsidTr="00AD4617">
        <w:trPr>
          <w:jc w:val="center"/>
        </w:trPr>
        <w:tc>
          <w:tcPr>
            <w:tcW w:w="944" w:type="dxa"/>
            <w:vAlign w:val="center"/>
          </w:tcPr>
          <w:p w:rsidR="008D0EB6" w:rsidRPr="007F52FA" w:rsidRDefault="008D0EB6" w:rsidP="00AD4617">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8D0EB6" w:rsidRPr="007F52FA" w:rsidRDefault="008D0EB6" w:rsidP="00AD4617">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8D0EB6" w:rsidRPr="007F52FA" w:rsidRDefault="008D0EB6" w:rsidP="00AD4617">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8D0EB6" w:rsidRPr="007F52FA" w:rsidRDefault="008D0EB6" w:rsidP="00AD4617">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09" w:type="dxa"/>
            <w:vAlign w:val="center"/>
          </w:tcPr>
          <w:p w:rsidR="008D0EB6" w:rsidRPr="007F52FA" w:rsidRDefault="008D0EB6" w:rsidP="00AD4617">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r>
      <w:tr w:rsidR="008D0EB6" w:rsidTr="00AD4617">
        <w:trPr>
          <w:jc w:val="center"/>
        </w:trPr>
        <w:tc>
          <w:tcPr>
            <w:tcW w:w="0" w:type="auto"/>
            <w:vAlign w:val="center"/>
          </w:tcPr>
          <w:p w:rsidR="008D0EB6" w:rsidRDefault="008D0EB6" w:rsidP="00AD4617">
            <w:pPr>
              <w:jc w:val="center"/>
            </w:pPr>
            <w:r>
              <w:rPr>
                <w:rFonts w:eastAsiaTheme="minorEastAsia"/>
                <w:color w:val="000000"/>
                <w:sz w:val="24"/>
              </w:rPr>
              <w:t>1</w:t>
            </w:r>
          </w:p>
        </w:tc>
        <w:tc>
          <w:tcPr>
            <w:tcW w:w="0" w:type="auto"/>
            <w:vAlign w:val="center"/>
          </w:tcPr>
          <w:p w:rsidR="008D0EB6" w:rsidRDefault="008D0EB6" w:rsidP="00AD4617">
            <w:pPr>
              <w:jc w:val="center"/>
            </w:pPr>
            <w:r>
              <w:rPr>
                <w:rFonts w:eastAsiaTheme="minorEastAsia"/>
                <w:color w:val="000000"/>
                <w:sz w:val="24"/>
              </w:rPr>
              <w:t>132004</w:t>
            </w:r>
          </w:p>
        </w:tc>
        <w:tc>
          <w:tcPr>
            <w:tcW w:w="0" w:type="auto"/>
            <w:vAlign w:val="center"/>
          </w:tcPr>
          <w:p w:rsidR="008D0EB6" w:rsidRDefault="008D0EB6" w:rsidP="00AD4617">
            <w:pPr>
              <w:jc w:val="center"/>
            </w:pPr>
            <w:r>
              <w:rPr>
                <w:rFonts w:eastAsiaTheme="minorEastAsia"/>
                <w:color w:val="000000"/>
                <w:sz w:val="24"/>
              </w:rPr>
              <w:t>15</w:t>
            </w:r>
            <w:r>
              <w:rPr>
                <w:rFonts w:eastAsiaTheme="minorEastAsia"/>
                <w:color w:val="000000"/>
                <w:sz w:val="24"/>
              </w:rPr>
              <w:t>国盛</w:t>
            </w:r>
            <w:r>
              <w:rPr>
                <w:rFonts w:eastAsiaTheme="minorEastAsia"/>
                <w:color w:val="000000"/>
                <w:sz w:val="24"/>
              </w:rPr>
              <w:t>EB</w:t>
            </w:r>
          </w:p>
        </w:tc>
        <w:tc>
          <w:tcPr>
            <w:tcW w:w="0" w:type="auto"/>
            <w:vAlign w:val="center"/>
          </w:tcPr>
          <w:p w:rsidR="008D0EB6" w:rsidRDefault="008D0EB6" w:rsidP="00AD4617">
            <w:pPr>
              <w:jc w:val="right"/>
            </w:pPr>
            <w:r>
              <w:rPr>
                <w:rFonts w:eastAsiaTheme="minorEastAsia"/>
                <w:color w:val="000000"/>
                <w:sz w:val="24"/>
              </w:rPr>
              <w:t>10,181,759.90</w:t>
            </w:r>
          </w:p>
        </w:tc>
        <w:tc>
          <w:tcPr>
            <w:tcW w:w="0" w:type="auto"/>
            <w:vAlign w:val="center"/>
          </w:tcPr>
          <w:p w:rsidR="008D0EB6" w:rsidRDefault="008D0EB6" w:rsidP="00AD4617">
            <w:pPr>
              <w:jc w:val="right"/>
            </w:pPr>
            <w:r>
              <w:rPr>
                <w:rFonts w:eastAsiaTheme="minorEastAsia"/>
                <w:color w:val="000000"/>
                <w:sz w:val="24"/>
              </w:rPr>
              <w:t>4.03</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204A5C">
        <w:trPr>
          <w:jc w:val="center"/>
        </w:trPr>
        <w:tc>
          <w:tcPr>
            <w:tcW w:w="1129" w:type="dxa"/>
            <w:vAlign w:val="center"/>
          </w:tcPr>
          <w:p w:rsidR="00204A5C" w:rsidRDefault="00012AF5">
            <w:pPr>
              <w:jc w:val="center"/>
            </w:pPr>
            <w:r>
              <w:rPr>
                <w:rFonts w:eastAsiaTheme="minorEastAsia"/>
                <w:color w:val="000000"/>
                <w:sz w:val="24"/>
              </w:rPr>
              <w:t>1</w:t>
            </w:r>
          </w:p>
        </w:tc>
        <w:tc>
          <w:tcPr>
            <w:tcW w:w="1356" w:type="dxa"/>
            <w:vAlign w:val="center"/>
          </w:tcPr>
          <w:p w:rsidR="00204A5C" w:rsidRDefault="00012AF5">
            <w:pPr>
              <w:jc w:val="center"/>
            </w:pPr>
            <w:r>
              <w:rPr>
                <w:rFonts w:eastAsiaTheme="minorEastAsia"/>
                <w:color w:val="000000"/>
                <w:sz w:val="24"/>
              </w:rPr>
              <w:t>600332</w:t>
            </w:r>
          </w:p>
        </w:tc>
        <w:tc>
          <w:tcPr>
            <w:tcW w:w="1355" w:type="dxa"/>
            <w:vAlign w:val="center"/>
          </w:tcPr>
          <w:p w:rsidR="00204A5C" w:rsidRDefault="00012AF5">
            <w:pPr>
              <w:jc w:val="center"/>
            </w:pPr>
            <w:r>
              <w:rPr>
                <w:rFonts w:eastAsiaTheme="minorEastAsia"/>
                <w:color w:val="000000"/>
                <w:sz w:val="24"/>
              </w:rPr>
              <w:t>白云山</w:t>
            </w:r>
          </w:p>
        </w:tc>
        <w:tc>
          <w:tcPr>
            <w:tcW w:w="1880" w:type="dxa"/>
            <w:vAlign w:val="center"/>
          </w:tcPr>
          <w:p w:rsidR="00204A5C" w:rsidRDefault="00012AF5">
            <w:pPr>
              <w:jc w:val="right"/>
            </w:pPr>
            <w:r>
              <w:rPr>
                <w:rFonts w:eastAsiaTheme="minorEastAsia"/>
                <w:color w:val="000000"/>
                <w:sz w:val="24"/>
              </w:rPr>
              <w:t>2,571,200.00</w:t>
            </w:r>
          </w:p>
        </w:tc>
        <w:tc>
          <w:tcPr>
            <w:tcW w:w="1724" w:type="dxa"/>
            <w:vAlign w:val="center"/>
          </w:tcPr>
          <w:p w:rsidR="00204A5C" w:rsidRDefault="00012AF5">
            <w:pPr>
              <w:jc w:val="right"/>
            </w:pPr>
            <w:r>
              <w:rPr>
                <w:rFonts w:eastAsiaTheme="minorEastAsia"/>
                <w:color w:val="000000"/>
                <w:sz w:val="24"/>
              </w:rPr>
              <w:t>1.02</w:t>
            </w:r>
          </w:p>
        </w:tc>
        <w:tc>
          <w:tcPr>
            <w:tcW w:w="1424" w:type="dxa"/>
            <w:vAlign w:val="center"/>
          </w:tcPr>
          <w:p w:rsidR="00204A5C" w:rsidRDefault="00012AF5" w:rsidP="00566669">
            <w:pPr>
              <w:jc w:val="right"/>
            </w:pPr>
            <w:r>
              <w:rPr>
                <w:rFonts w:eastAsiaTheme="minorEastAsia"/>
                <w:color w:val="000000"/>
                <w:sz w:val="24"/>
              </w:rPr>
              <w:t>重大</w:t>
            </w:r>
            <w:r w:rsidR="00566669">
              <w:rPr>
                <w:rFonts w:eastAsiaTheme="minorEastAsia" w:hint="eastAsia"/>
                <w:color w:val="000000"/>
                <w:sz w:val="24"/>
              </w:rPr>
              <w:t>事项</w:t>
            </w:r>
          </w:p>
        </w:tc>
      </w:tr>
      <w:tr w:rsidR="00204A5C">
        <w:trPr>
          <w:jc w:val="center"/>
        </w:trPr>
        <w:tc>
          <w:tcPr>
            <w:tcW w:w="1129" w:type="dxa"/>
            <w:vAlign w:val="center"/>
          </w:tcPr>
          <w:p w:rsidR="00204A5C" w:rsidRDefault="00012AF5">
            <w:pPr>
              <w:jc w:val="center"/>
            </w:pPr>
            <w:r>
              <w:rPr>
                <w:rFonts w:eastAsiaTheme="minorEastAsia"/>
                <w:color w:val="000000"/>
                <w:sz w:val="24"/>
              </w:rPr>
              <w:t>2</w:t>
            </w:r>
          </w:p>
        </w:tc>
        <w:tc>
          <w:tcPr>
            <w:tcW w:w="1356" w:type="dxa"/>
            <w:vAlign w:val="center"/>
          </w:tcPr>
          <w:p w:rsidR="00204A5C" w:rsidRDefault="00012AF5">
            <w:pPr>
              <w:jc w:val="center"/>
            </w:pPr>
            <w:r>
              <w:rPr>
                <w:rFonts w:eastAsiaTheme="minorEastAsia"/>
                <w:color w:val="000000"/>
                <w:sz w:val="24"/>
              </w:rPr>
              <w:t>600309</w:t>
            </w:r>
          </w:p>
        </w:tc>
        <w:tc>
          <w:tcPr>
            <w:tcW w:w="1355" w:type="dxa"/>
            <w:vAlign w:val="center"/>
          </w:tcPr>
          <w:p w:rsidR="00204A5C" w:rsidRDefault="00012AF5">
            <w:pPr>
              <w:jc w:val="center"/>
            </w:pPr>
            <w:r>
              <w:rPr>
                <w:rFonts w:eastAsiaTheme="minorEastAsia"/>
                <w:color w:val="000000"/>
                <w:sz w:val="24"/>
              </w:rPr>
              <w:t>万华化学</w:t>
            </w:r>
          </w:p>
        </w:tc>
        <w:tc>
          <w:tcPr>
            <w:tcW w:w="1880" w:type="dxa"/>
            <w:vAlign w:val="center"/>
          </w:tcPr>
          <w:p w:rsidR="00204A5C" w:rsidRDefault="00012AF5">
            <w:pPr>
              <w:jc w:val="right"/>
            </w:pPr>
            <w:r>
              <w:rPr>
                <w:rFonts w:eastAsiaTheme="minorEastAsia"/>
                <w:color w:val="000000"/>
                <w:sz w:val="24"/>
              </w:rPr>
              <w:t>2,655,800.00</w:t>
            </w:r>
          </w:p>
        </w:tc>
        <w:tc>
          <w:tcPr>
            <w:tcW w:w="1724" w:type="dxa"/>
            <w:vAlign w:val="center"/>
          </w:tcPr>
          <w:p w:rsidR="00204A5C" w:rsidRDefault="00012AF5">
            <w:pPr>
              <w:jc w:val="right"/>
            </w:pPr>
            <w:r>
              <w:rPr>
                <w:rFonts w:eastAsiaTheme="minorEastAsia"/>
                <w:color w:val="000000"/>
                <w:sz w:val="24"/>
              </w:rPr>
              <w:t>1.05</w:t>
            </w:r>
          </w:p>
        </w:tc>
        <w:tc>
          <w:tcPr>
            <w:tcW w:w="1424" w:type="dxa"/>
            <w:vAlign w:val="center"/>
          </w:tcPr>
          <w:p w:rsidR="00204A5C" w:rsidRDefault="00012AF5" w:rsidP="00566669">
            <w:pPr>
              <w:jc w:val="right"/>
            </w:pPr>
            <w:r>
              <w:rPr>
                <w:rFonts w:eastAsiaTheme="minorEastAsia"/>
                <w:color w:val="000000"/>
                <w:sz w:val="24"/>
              </w:rPr>
              <w:t>重大</w:t>
            </w:r>
            <w:r w:rsidR="00566669">
              <w:rPr>
                <w:rFonts w:eastAsiaTheme="minorEastAsia" w:hint="eastAsia"/>
                <w:color w:val="000000"/>
                <w:sz w:val="24"/>
              </w:rPr>
              <w:t>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D3402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D3402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240,021,145.83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17,562,084.05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886,588.39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525,276.01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39,472,262.85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3,206,367.41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201,435,471.37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14,880,992.65</w:t>
            </w:r>
          </w:p>
        </w:tc>
      </w:tr>
    </w:tbl>
    <w:p w:rsidR="00204A5C" w:rsidRDefault="00012A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204A5C" w:rsidRDefault="00012AF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85" w:rsidRDefault="000F6885">
      <w:r>
        <w:separator/>
      </w:r>
    </w:p>
  </w:endnote>
  <w:endnote w:type="continuationSeparator" w:id="0">
    <w:p w:rsidR="000F6885" w:rsidRDefault="000F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F51860">
      <w:rPr>
        <w:noProof/>
        <w:kern w:val="0"/>
        <w:szCs w:val="21"/>
      </w:rPr>
      <w:t>10</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F51860">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85" w:rsidRDefault="000F6885">
      <w:r>
        <w:separator/>
      </w:r>
    </w:p>
  </w:footnote>
  <w:footnote w:type="continuationSeparator" w:id="0">
    <w:p w:rsidR="000F6885" w:rsidRDefault="000F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0F688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2AF5"/>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5CBD"/>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885"/>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4A5C"/>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13F"/>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669"/>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6B3B"/>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26CC"/>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7F768B"/>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09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0EB6"/>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45FA"/>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A08"/>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67"/>
    <w:rsid w:val="00C563BF"/>
    <w:rsid w:val="00C56EF8"/>
    <w:rsid w:val="00C57459"/>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022"/>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0E51"/>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265C"/>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3364"/>
    <w:rsid w:val="00F3477D"/>
    <w:rsid w:val="00F347FE"/>
    <w:rsid w:val="00F34859"/>
    <w:rsid w:val="00F356F7"/>
    <w:rsid w:val="00F37EA9"/>
    <w:rsid w:val="00F40055"/>
    <w:rsid w:val="00F40868"/>
    <w:rsid w:val="00F40E14"/>
    <w:rsid w:val="00F44FDE"/>
    <w:rsid w:val="00F46467"/>
    <w:rsid w:val="00F4715C"/>
    <w:rsid w:val="00F47BA9"/>
    <w:rsid w:val="00F47FF8"/>
    <w:rsid w:val="00F51860"/>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6F629CD-E789-484D-BADB-7A206BF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A8E8-DD99-4392-A0EC-B98CD6AD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225</TotalTime>
  <Pages>13</Pages>
  <Words>1163</Words>
  <Characters>6635</Characters>
  <Application>Microsoft Office Word</Application>
  <DocSecurity>0</DocSecurity>
  <Lines>55</Lines>
  <Paragraphs>15</Paragraphs>
  <ScaleCrop>false</ScaleCrop>
  <Company>TRT. Ltd. Co.</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384</cp:revision>
  <cp:lastPrinted>2007-07-19T00:46:00Z</cp:lastPrinted>
  <dcterms:created xsi:type="dcterms:W3CDTF">2014-01-17T06:19:00Z</dcterms:created>
  <dcterms:modified xsi:type="dcterms:W3CDTF">2018-01-18T03:23:00Z</dcterms:modified>
</cp:coreProperties>
</file>