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2017年第4季度报告</w:t>
      </w:r>
    </w:p>
    <w:p w:rsidR="004061AC" w:rsidRPr="0081286B" w:rsidRDefault="00655CD8" w:rsidP="00C15CAC">
      <w:pPr>
        <w:spacing w:before="29" w:line="288" w:lineRule="auto"/>
        <w:jc w:val="center"/>
        <w:rPr>
          <w:b/>
          <w:sz w:val="36"/>
          <w:szCs w:val="36"/>
        </w:rPr>
      </w:pPr>
      <w:r w:rsidRPr="0081286B">
        <w:rPr>
          <w:b/>
          <w:sz w:val="36"/>
          <w:szCs w:val="36"/>
        </w:rPr>
        <w:t>2017年12月31日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二〇一八年一月二十二日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基金托管人中国农业银行股份有限公司根据本基金合同规定，于2018年1月19日复核了本报告中的财务指标、净值表现和投资组合报告等内容，保证复核内容不存在虚假记载、误导性陈述或者重大遗漏。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本报告期自2017年10月1日起至12月31日止。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2011年6月22日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1,363,020,411.24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75%×申银万国装备制造指数收益率+25%×中证综合债券指数收益率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(2017年10月1日-2017年12月31日)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167,474,187.13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70,901,025.66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0.0533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2,960,224,577.32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2.172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2.28%</w:t>
            </w:r>
          </w:p>
        </w:tc>
        <w:tc>
          <w:tcPr>
            <w:vAlign w:val="center"/>
          </w:tcPr>
          <w:p>
            <w:pPr>
              <w:jc w:val="center"/>
            </w:pPr>
            <w:r>
              <w:rPr>
                <w:color w:val="000000"/>
                <w:sz w:val="24"/>
                <w:szCs w:val="24"/>
              </w:rPr>
              <w:t>0.86%</w:t>
            </w:r>
          </w:p>
        </w:tc>
        <w:tc>
          <w:tcPr>
            <w:vAlign w:val="center"/>
          </w:tcPr>
          <w:p>
            <w:pPr>
              <w:jc w:val="center"/>
            </w:pPr>
            <w:r>
              <w:rPr>
                <w:color w:val="000000"/>
                <w:sz w:val="24"/>
                <w:szCs w:val="24"/>
              </w:rPr>
              <w:t>-4.81%</w:t>
            </w:r>
          </w:p>
        </w:tc>
        <w:tc>
          <w:tcPr>
            <w:vAlign w:val="center"/>
          </w:tcPr>
          <w:p>
            <w:pPr>
              <w:jc w:val="center"/>
            </w:pPr>
            <w:r>
              <w:rPr>
                <w:color w:val="000000"/>
                <w:sz w:val="24"/>
                <w:szCs w:val="24"/>
              </w:rPr>
              <w:t>0.78%</w:t>
            </w:r>
          </w:p>
        </w:tc>
        <w:tc>
          <w:tcPr>
            <w:vAlign w:val="center"/>
          </w:tcPr>
          <w:p>
            <w:pPr>
              <w:jc w:val="center"/>
            </w:pPr>
            <w:r>
              <w:rPr>
                <w:color w:val="000000"/>
                <w:sz w:val="24"/>
                <w:szCs w:val="24"/>
              </w:rPr>
              <w:t>7.09%</w:t>
            </w:r>
          </w:p>
        </w:tc>
        <w:tc>
          <w:tcPr>
            <w:vAlign w:val="center"/>
          </w:tcPr>
          <w:p>
            <w:pPr>
              <w:jc w:val="center"/>
            </w:pPr>
            <w:r>
              <w:rPr>
                <w:color w:val="000000"/>
                <w:sz w:val="24"/>
                <w:szCs w:val="24"/>
              </w:rPr>
              <w:t>0.08%</w:t>
            </w:r>
          </w:p>
        </w:tc>
      </w:tr>
    </w:tbl>
    <w:p w:rsidR="004061AC" w:rsidRPr="00414345" w:rsidRDefault="003F39DF"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2011年6月22日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2017年12月31日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任相栋</w:t>
            </w:r>
          </w:p>
        </w:tc>
        <w:tc>
          <w:tcPr>
            <w:vAlign w:val="center"/>
          </w:tcPr>
          <w:p>
            <w:pPr>
              <w:jc w:val="center"/>
            </w:pPr>
            <w:r>
              <w:rPr>
                <w:color w:val="000000"/>
                <w:sz w:val="24"/>
                <w:szCs w:val="24"/>
              </w:rPr>
              <w:t>交银先进制造混合、交银经济新动力混合的基金经理</w:t>
            </w:r>
          </w:p>
        </w:tc>
        <w:tc>
          <w:tcPr>
            <w:vAlign w:val="center"/>
          </w:tcPr>
          <w:p>
            <w:pPr>
              <w:jc w:val="center"/>
            </w:pPr>
            <w:r>
              <w:rPr>
                <w:color w:val="000000"/>
                <w:sz w:val="24"/>
                <w:szCs w:val="24"/>
              </w:rPr>
              <w:t>2015-01-21</w:t>
            </w:r>
          </w:p>
        </w:tc>
        <w:tc>
          <w:tcPr>
            <w:vAlign w:val="center"/>
          </w:tcPr>
          <w:p>
            <w:pPr>
              <w:jc w:val="center"/>
            </w:pPr>
            <w:r>
              <w:rPr>
                <w:color w:val="000000"/>
                <w:sz w:val="24"/>
                <w:szCs w:val="24"/>
              </w:rPr>
              <w:t>-</w:t>
            </w:r>
          </w:p>
        </w:tc>
        <w:tc>
          <w:tcPr>
            <w:vAlign w:val="center"/>
          </w:tcPr>
          <w:p>
            <w:pPr>
              <w:jc w:val="center"/>
            </w:pPr>
            <w:r>
              <w:rPr>
                <w:color w:val="000000"/>
                <w:sz w:val="24"/>
                <w:szCs w:val="24"/>
              </w:rPr>
              <w:t>7年</w:t>
            </w:r>
          </w:p>
        </w:tc>
        <w:tc>
          <w:tcPr>
            <w:vAlign w:val="center"/>
          </w:tcPr>
          <w:p>
            <w:pPr>
              <w:jc w:val="both"/>
            </w:pPr>
            <w:r>
              <w:rPr>
                <w:color w:val="000000"/>
                <w:sz w:val="24"/>
                <w:szCs w:val="24"/>
              </w:rPr>
              <w:t>任相栋先生，上海交通大学金融学硕士。2010年加入交银施罗德基金管理有限公司，历任行业分析师。</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四季度市场总体保持平稳，上证综指表现强于创业板，市场依然维持以白酒、家电为代表的白马股行情。</w:t>
      </w:r>
    </w:p>
    <w:p>
      <w:pPr>
        <w:spacing w:before="29" w:line="288" w:lineRule="auto"/>
        <w:ind w:firstLineChars="200" w:firstLine="480"/>
        <w:rPr>
          <w:color w:val="000000"/>
          <w:sz w:val="24"/>
          <w:szCs w:val="24"/>
        </w:rPr>
      </w:pPr>
      <w:r>
        <w:rPr>
          <w:color w:val="000000"/>
          <w:sz w:val="24"/>
          <w:szCs w:val="24"/>
        </w:rPr>
        <w:t>本基金四季度跑赢业绩比较基准，主要是把握了相关个股的投资机会。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市场仍有望维持业绩为王的主基调，业绩、估值和行业景气度依然为股价上涨的核心动量。但随着经济增速回落，市场结构可能出现较大变化，这表现在板块上主要是过去两年高收益率板块的回落，和某些过去两年低收益板块随着出现行业拐点板块而崛起。在市值上，过去一年的价值投资呈现一定“市值投资”倾向，未来市场中市值对个股表现的影响或将弱化，个股表现在市值上会更加均衡。从长期看，我们看好“中国复兴”大背景下股票市场的投资机会，A股从长期看具有一定战略配置价值。本基金预计未来仍将维持中性仓位，力求控制好业绩回撤，努力为持有人取得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截至2017年12月31日，本基金份额净值为2.172元，本报告期份额净值增长率为2.28%，同期业绩比较基准增长率-4.81%。</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2,528,760,547.30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2,528,760,547.30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142,425,400.00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142,425,400.00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186,200,503.10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184,341,976.51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20,918,084.28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0.68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3,062,646,511.19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1,837,908,362.99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25,926,722.90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55,825,470.00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1.89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205,303,412.45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177,343,539.44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101,661,113.60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37,217,382.00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87,524,277.96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2,528,760,547.30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85.42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300129</w:t>
            </w:r>
          </w:p>
        </w:tc>
        <w:tc>
          <w:tcPr>
            <w:vAlign w:val="center"/>
          </w:tcPr>
          <w:p>
            <w:pPr>
              <w:jc w:val="center"/>
            </w:pPr>
            <w:r>
              <w:rPr>
                <w:color w:val="000000"/>
                <w:sz w:val="24"/>
                <w:szCs w:val="24"/>
              </w:rPr>
              <w:t>泰胜风能</w:t>
            </w:r>
          </w:p>
        </w:tc>
        <w:tc>
          <w:tcPr>
            <w:vAlign w:val="center"/>
          </w:tcPr>
          <w:p>
            <w:pPr>
              <w:jc w:val="right"/>
            </w:pPr>
            <w:r>
              <w:rPr>
                <w:color w:val="000000"/>
                <w:sz w:val="24"/>
                <w:szCs w:val="24"/>
              </w:rPr>
              <w:t>33,807,770</w:t>
            </w:r>
          </w:p>
        </w:tc>
        <w:tc>
          <w:tcPr>
            <w:vAlign w:val="center"/>
          </w:tcPr>
          <w:p>
            <w:pPr>
              <w:jc w:val="right"/>
            </w:pPr>
            <w:r>
              <w:rPr>
                <w:color w:val="000000"/>
                <w:sz w:val="24"/>
                <w:szCs w:val="24"/>
              </w:rPr>
              <w:t>272,152,548.50</w:t>
            </w:r>
          </w:p>
        </w:tc>
        <w:tc>
          <w:tcPr>
            <w:vAlign w:val="center"/>
          </w:tcPr>
          <w:p>
            <w:pPr>
              <w:jc w:val="right"/>
            </w:pPr>
            <w:r>
              <w:rPr>
                <w:color w:val="000000"/>
                <w:sz w:val="24"/>
                <w:szCs w:val="24"/>
              </w:rPr>
              <w:t>9.19</w:t>
            </w:r>
          </w:p>
        </w:tc>
      </w:tr>
      <w:tr>
        <w:tc>
          <w:tcPr>
            <w:vAlign w:val="center"/>
          </w:tcPr>
          <w:p>
            <w:pPr>
              <w:jc w:val="center"/>
            </w:pPr>
            <w:r>
              <w:rPr>
                <w:color w:val="000000"/>
                <w:sz w:val="24"/>
                <w:szCs w:val="24"/>
              </w:rPr>
              <w:t>2</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18,360,549</w:t>
            </w:r>
          </w:p>
        </w:tc>
        <w:tc>
          <w:tcPr>
            <w:vAlign w:val="center"/>
          </w:tcPr>
          <w:p>
            <w:pPr>
              <w:jc w:val="right"/>
            </w:pPr>
            <w:r>
              <w:rPr>
                <w:color w:val="000000"/>
                <w:sz w:val="24"/>
                <w:szCs w:val="24"/>
              </w:rPr>
              <w:t>221,244,615.45</w:t>
            </w:r>
          </w:p>
        </w:tc>
        <w:tc>
          <w:tcPr>
            <w:vAlign w:val="center"/>
          </w:tcPr>
          <w:p>
            <w:pPr>
              <w:jc w:val="right"/>
            </w:pPr>
            <w:r>
              <w:rPr>
                <w:color w:val="000000"/>
                <w:sz w:val="24"/>
                <w:szCs w:val="24"/>
              </w:rPr>
              <w:t>7.47</w:t>
            </w:r>
          </w:p>
        </w:tc>
      </w:tr>
      <w:tr>
        <w:tc>
          <w:tcPr>
            <w:vAlign w:val="center"/>
          </w:tcPr>
          <w:p>
            <w:pPr>
              <w:jc w:val="center"/>
            </w:pPr>
            <w:r>
              <w:rPr>
                <w:color w:val="000000"/>
                <w:sz w:val="24"/>
                <w:szCs w:val="24"/>
              </w:rPr>
              <w:t>3</w:t>
            </w:r>
          </w:p>
        </w:tc>
        <w:tc>
          <w:tcPr>
            <w:vAlign w:val="center"/>
          </w:tcPr>
          <w:p>
            <w:pPr>
              <w:jc w:val="center"/>
            </w:pPr>
            <w:r>
              <w:rPr>
                <w:color w:val="000000"/>
                <w:sz w:val="24"/>
                <w:szCs w:val="24"/>
              </w:rPr>
              <w:t>002624</w:t>
            </w:r>
          </w:p>
        </w:tc>
        <w:tc>
          <w:tcPr>
            <w:vAlign w:val="center"/>
          </w:tcPr>
          <w:p>
            <w:pPr>
              <w:jc w:val="center"/>
            </w:pPr>
            <w:r>
              <w:rPr>
                <w:color w:val="000000"/>
                <w:sz w:val="24"/>
                <w:szCs w:val="24"/>
              </w:rPr>
              <w:t>完美世界</w:t>
            </w:r>
          </w:p>
        </w:tc>
        <w:tc>
          <w:tcPr>
            <w:vAlign w:val="center"/>
          </w:tcPr>
          <w:p>
            <w:pPr>
              <w:jc w:val="right"/>
            </w:pPr>
            <w:r>
              <w:rPr>
                <w:color w:val="000000"/>
                <w:sz w:val="24"/>
                <w:szCs w:val="24"/>
              </w:rPr>
              <w:t>5,163,055</w:t>
            </w:r>
          </w:p>
        </w:tc>
        <w:tc>
          <w:tcPr>
            <w:vAlign w:val="center"/>
          </w:tcPr>
          <w:p>
            <w:pPr>
              <w:jc w:val="right"/>
            </w:pPr>
            <w:r>
              <w:rPr>
                <w:color w:val="000000"/>
                <w:sz w:val="24"/>
                <w:szCs w:val="24"/>
              </w:rPr>
              <w:t>172,755,820.30</w:t>
            </w:r>
          </w:p>
        </w:tc>
        <w:tc>
          <w:tcPr>
            <w:vAlign w:val="center"/>
          </w:tcPr>
          <w:p>
            <w:pPr>
              <w:jc w:val="right"/>
            </w:pPr>
            <w:r>
              <w:rPr>
                <w:color w:val="000000"/>
                <w:sz w:val="24"/>
                <w:szCs w:val="24"/>
              </w:rPr>
              <w:t>5.84</w:t>
            </w:r>
          </w:p>
        </w:tc>
      </w:tr>
      <w:tr>
        <w:tc>
          <w:tcPr>
            <w:vAlign w:val="center"/>
          </w:tcPr>
          <w:p>
            <w:pPr>
              <w:jc w:val="center"/>
            </w:pPr>
            <w:r>
              <w:rPr>
                <w:color w:val="000000"/>
                <w:sz w:val="24"/>
                <w:szCs w:val="24"/>
              </w:rPr>
              <w:t>4</w:t>
            </w:r>
          </w:p>
        </w:tc>
        <w:tc>
          <w:tcPr>
            <w:vAlign w:val="center"/>
          </w:tcPr>
          <w:p>
            <w:pPr>
              <w:jc w:val="center"/>
            </w:pPr>
            <w:r>
              <w:rPr>
                <w:color w:val="000000"/>
                <w:sz w:val="24"/>
                <w:szCs w:val="24"/>
              </w:rPr>
              <w:t>600066</w:t>
            </w:r>
          </w:p>
        </w:tc>
        <w:tc>
          <w:tcPr>
            <w:vAlign w:val="center"/>
          </w:tcPr>
          <w:p>
            <w:pPr>
              <w:jc w:val="center"/>
            </w:pPr>
            <w:r>
              <w:rPr>
                <w:color w:val="000000"/>
                <w:sz w:val="24"/>
                <w:szCs w:val="24"/>
              </w:rPr>
              <w:t>宇通客车</w:t>
            </w:r>
          </w:p>
        </w:tc>
        <w:tc>
          <w:tcPr>
            <w:vAlign w:val="center"/>
          </w:tcPr>
          <w:p>
            <w:pPr>
              <w:jc w:val="right"/>
            </w:pPr>
            <w:r>
              <w:rPr>
                <w:color w:val="000000"/>
                <w:sz w:val="24"/>
                <w:szCs w:val="24"/>
              </w:rPr>
              <w:t>6,264,714</w:t>
            </w:r>
          </w:p>
        </w:tc>
        <w:tc>
          <w:tcPr>
            <w:vAlign w:val="center"/>
          </w:tcPr>
          <w:p>
            <w:pPr>
              <w:jc w:val="right"/>
            </w:pPr>
            <w:r>
              <w:rPr>
                <w:color w:val="000000"/>
                <w:sz w:val="24"/>
                <w:szCs w:val="24"/>
              </w:rPr>
              <w:t>150,791,665.98</w:t>
            </w:r>
          </w:p>
        </w:tc>
        <w:tc>
          <w:tcPr>
            <w:vAlign w:val="center"/>
          </w:tcPr>
          <w:p>
            <w:pPr>
              <w:jc w:val="right"/>
            </w:pPr>
            <w:r>
              <w:rPr>
                <w:color w:val="000000"/>
                <w:sz w:val="24"/>
                <w:szCs w:val="24"/>
              </w:rPr>
              <w:t>5.09</w:t>
            </w:r>
          </w:p>
        </w:tc>
      </w:tr>
      <w:tr>
        <w:tc>
          <w:tcPr>
            <w:vAlign w:val="center"/>
          </w:tcPr>
          <w:p>
            <w:pPr>
              <w:jc w:val="center"/>
            </w:pPr>
            <w:r>
              <w:rPr>
                <w:color w:val="000000"/>
                <w:sz w:val="24"/>
                <w:szCs w:val="24"/>
              </w:rPr>
              <w:t>5</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4,832,812</w:t>
            </w:r>
          </w:p>
        </w:tc>
        <w:tc>
          <w:tcPr>
            <w:vAlign w:val="center"/>
          </w:tcPr>
          <w:p>
            <w:pPr>
              <w:jc w:val="right"/>
            </w:pPr>
            <w:r>
              <w:rPr>
                <w:color w:val="000000"/>
                <w:sz w:val="24"/>
                <w:szCs w:val="24"/>
              </w:rPr>
              <w:t>132,612,361.28</w:t>
            </w:r>
          </w:p>
        </w:tc>
        <w:tc>
          <w:tcPr>
            <w:vAlign w:val="center"/>
          </w:tcPr>
          <w:p>
            <w:pPr>
              <w:jc w:val="right"/>
            </w:pPr>
            <w:r>
              <w:rPr>
                <w:color w:val="000000"/>
                <w:sz w:val="24"/>
                <w:szCs w:val="24"/>
              </w:rPr>
              <w:t>4.48</w:t>
            </w:r>
          </w:p>
        </w:tc>
      </w:tr>
      <w:tr>
        <w:tc>
          <w:tcPr>
            <w:vAlign w:val="center"/>
          </w:tcPr>
          <w:p>
            <w:pPr>
              <w:jc w:val="center"/>
            </w:pPr>
            <w:r>
              <w:rPr>
                <w:color w:val="000000"/>
                <w:sz w:val="24"/>
                <w:szCs w:val="24"/>
              </w:rPr>
              <w:t>6</w:t>
            </w:r>
          </w:p>
        </w:tc>
        <w:tc>
          <w:tcPr>
            <w:vAlign w:val="center"/>
          </w:tcPr>
          <w:p>
            <w:pPr>
              <w:jc w:val="center"/>
            </w:pPr>
            <w:r>
              <w:rPr>
                <w:color w:val="000000"/>
                <w:sz w:val="24"/>
                <w:szCs w:val="24"/>
              </w:rPr>
              <w:t>600705</w:t>
            </w:r>
          </w:p>
        </w:tc>
        <w:tc>
          <w:tcPr>
            <w:vAlign w:val="center"/>
          </w:tcPr>
          <w:p>
            <w:pPr>
              <w:jc w:val="center"/>
            </w:pPr>
            <w:r>
              <w:rPr>
                <w:color w:val="000000"/>
                <w:sz w:val="24"/>
                <w:szCs w:val="24"/>
              </w:rPr>
              <w:t>中航资本</w:t>
            </w:r>
          </w:p>
        </w:tc>
        <w:tc>
          <w:tcPr>
            <w:vAlign w:val="center"/>
          </w:tcPr>
          <w:p>
            <w:pPr>
              <w:jc w:val="right"/>
            </w:pPr>
            <w:r>
              <w:rPr>
                <w:color w:val="000000"/>
                <w:sz w:val="24"/>
                <w:szCs w:val="24"/>
              </w:rPr>
              <w:t>23,665,047</w:t>
            </w:r>
          </w:p>
        </w:tc>
        <w:tc>
          <w:tcPr>
            <w:vAlign w:val="center"/>
          </w:tcPr>
          <w:p>
            <w:pPr>
              <w:jc w:val="right"/>
            </w:pPr>
            <w:r>
              <w:rPr>
                <w:color w:val="000000"/>
                <w:sz w:val="24"/>
                <w:szCs w:val="24"/>
              </w:rPr>
              <w:t>130,631,059.44</w:t>
            </w:r>
          </w:p>
        </w:tc>
        <w:tc>
          <w:tcPr>
            <w:vAlign w:val="center"/>
          </w:tcPr>
          <w:p>
            <w:pPr>
              <w:jc w:val="right"/>
            </w:pPr>
            <w:r>
              <w:rPr>
                <w:color w:val="000000"/>
                <w:sz w:val="24"/>
                <w:szCs w:val="24"/>
              </w:rPr>
              <w:t>4.41</w:t>
            </w:r>
          </w:p>
        </w:tc>
      </w:tr>
      <w:tr>
        <w:tc>
          <w:tcPr>
            <w:vAlign w:val="center"/>
          </w:tcPr>
          <w:p>
            <w:pPr>
              <w:jc w:val="center"/>
            </w:pPr>
            <w:r>
              <w:rPr>
                <w:color w:val="000000"/>
                <w:sz w:val="24"/>
                <w:szCs w:val="24"/>
              </w:rPr>
              <w:t>7</w:t>
            </w:r>
          </w:p>
        </w:tc>
        <w:tc>
          <w:tcPr>
            <w:vAlign w:val="center"/>
          </w:tcPr>
          <w:p>
            <w:pPr>
              <w:jc w:val="center"/>
            </w:pPr>
            <w:r>
              <w:rPr>
                <w:color w:val="000000"/>
                <w:sz w:val="24"/>
                <w:szCs w:val="24"/>
              </w:rPr>
              <w:t>002027</w:t>
            </w:r>
          </w:p>
        </w:tc>
        <w:tc>
          <w:tcPr>
            <w:vAlign w:val="center"/>
          </w:tcPr>
          <w:p>
            <w:pPr>
              <w:jc w:val="center"/>
            </w:pPr>
            <w:r>
              <w:rPr>
                <w:color w:val="000000"/>
                <w:sz w:val="24"/>
                <w:szCs w:val="24"/>
              </w:rPr>
              <w:t>分众传媒</w:t>
            </w:r>
          </w:p>
        </w:tc>
        <w:tc>
          <w:tcPr>
            <w:vAlign w:val="center"/>
          </w:tcPr>
          <w:p>
            <w:pPr>
              <w:jc w:val="right"/>
            </w:pPr>
            <w:r>
              <w:rPr>
                <w:color w:val="000000"/>
                <w:sz w:val="24"/>
                <w:szCs w:val="24"/>
              </w:rPr>
              <w:t>7,385,420</w:t>
            </w:r>
          </w:p>
        </w:tc>
        <w:tc>
          <w:tcPr>
            <w:vAlign w:val="center"/>
          </w:tcPr>
          <w:p>
            <w:pPr>
              <w:jc w:val="right"/>
            </w:pPr>
            <w:r>
              <w:rPr>
                <w:color w:val="000000"/>
                <w:sz w:val="24"/>
                <w:szCs w:val="24"/>
              </w:rPr>
              <w:t>101,661,113.60</w:t>
            </w:r>
          </w:p>
        </w:tc>
        <w:tc>
          <w:tcPr>
            <w:vAlign w:val="center"/>
          </w:tcPr>
          <w:p>
            <w:pPr>
              <w:jc w:val="right"/>
            </w:pPr>
            <w:r>
              <w:rPr>
                <w:color w:val="000000"/>
                <w:sz w:val="24"/>
                <w:szCs w:val="24"/>
              </w:rPr>
              <w:t>3.43</w:t>
            </w:r>
          </w:p>
        </w:tc>
      </w:tr>
      <w:tr>
        <w:tc>
          <w:tcPr>
            <w:vAlign w:val="center"/>
          </w:tcPr>
          <w:p>
            <w:pPr>
              <w:jc w:val="center"/>
            </w:pPr>
            <w:r>
              <w:rPr>
                <w:color w:val="000000"/>
                <w:sz w:val="24"/>
                <w:szCs w:val="24"/>
              </w:rPr>
              <w:t>8</w:t>
            </w:r>
          </w:p>
        </w:tc>
        <w:tc>
          <w:tcPr>
            <w:vAlign w:val="center"/>
          </w:tcPr>
          <w:p>
            <w:pPr>
              <w:jc w:val="center"/>
            </w:pPr>
            <w:r>
              <w:rPr>
                <w:color w:val="000000"/>
                <w:sz w:val="24"/>
                <w:szCs w:val="24"/>
              </w:rPr>
              <w:t>002025</w:t>
            </w:r>
          </w:p>
        </w:tc>
        <w:tc>
          <w:tcPr>
            <w:vAlign w:val="center"/>
          </w:tcPr>
          <w:p>
            <w:pPr>
              <w:jc w:val="center"/>
            </w:pPr>
            <w:r>
              <w:rPr>
                <w:color w:val="000000"/>
                <w:sz w:val="24"/>
                <w:szCs w:val="24"/>
              </w:rPr>
              <w:t>航天电器</w:t>
            </w:r>
          </w:p>
        </w:tc>
        <w:tc>
          <w:tcPr>
            <w:vAlign w:val="center"/>
          </w:tcPr>
          <w:p>
            <w:pPr>
              <w:jc w:val="right"/>
            </w:pPr>
            <w:r>
              <w:rPr>
                <w:color w:val="000000"/>
                <w:sz w:val="24"/>
                <w:szCs w:val="24"/>
              </w:rPr>
              <w:t>3,830,430</w:t>
            </w:r>
          </w:p>
        </w:tc>
        <w:tc>
          <w:tcPr>
            <w:vAlign w:val="center"/>
          </w:tcPr>
          <w:p>
            <w:pPr>
              <w:jc w:val="right"/>
            </w:pPr>
            <w:r>
              <w:rPr>
                <w:color w:val="000000"/>
                <w:sz w:val="24"/>
                <w:szCs w:val="24"/>
              </w:rPr>
              <w:t>86,452,805.10</w:t>
            </w:r>
          </w:p>
        </w:tc>
        <w:tc>
          <w:tcPr>
            <w:vAlign w:val="center"/>
          </w:tcPr>
          <w:p>
            <w:pPr>
              <w:jc w:val="right"/>
            </w:pPr>
            <w:r>
              <w:rPr>
                <w:color w:val="000000"/>
                <w:sz w:val="24"/>
                <w:szCs w:val="24"/>
              </w:rPr>
              <w:t>2.92</w:t>
            </w:r>
          </w:p>
        </w:tc>
      </w:tr>
      <w:tr>
        <w:tc>
          <w:tcPr>
            <w:vAlign w:val="center"/>
          </w:tcPr>
          <w:p>
            <w:pPr>
              <w:jc w:val="center"/>
            </w:pPr>
            <w:r>
              <w:rPr>
                <w:color w:val="000000"/>
                <w:sz w:val="24"/>
                <w:szCs w:val="24"/>
              </w:rPr>
              <w:t>9</w:t>
            </w:r>
          </w:p>
        </w:tc>
        <w:tc>
          <w:tcPr>
            <w:vAlign w:val="center"/>
          </w:tcPr>
          <w:p>
            <w:pPr>
              <w:jc w:val="center"/>
            </w:pPr>
            <w:r>
              <w:rPr>
                <w:color w:val="000000"/>
                <w:sz w:val="24"/>
                <w:szCs w:val="24"/>
              </w:rPr>
              <w:t>002709</w:t>
            </w:r>
          </w:p>
        </w:tc>
        <w:tc>
          <w:tcPr>
            <w:vAlign w:val="center"/>
          </w:tcPr>
          <w:p>
            <w:pPr>
              <w:jc w:val="center"/>
            </w:pPr>
            <w:r>
              <w:rPr>
                <w:color w:val="000000"/>
                <w:sz w:val="24"/>
                <w:szCs w:val="24"/>
              </w:rPr>
              <w:t>天赐材料</w:t>
            </w:r>
          </w:p>
        </w:tc>
        <w:tc>
          <w:tcPr>
            <w:vAlign w:val="center"/>
          </w:tcPr>
          <w:p>
            <w:pPr>
              <w:jc w:val="right"/>
            </w:pPr>
            <w:r>
              <w:rPr>
                <w:color w:val="000000"/>
                <w:sz w:val="24"/>
                <w:szCs w:val="24"/>
              </w:rPr>
              <w:t>1,715,604</w:t>
            </w:r>
          </w:p>
        </w:tc>
        <w:tc>
          <w:tcPr>
            <w:vAlign w:val="center"/>
          </w:tcPr>
          <w:p>
            <w:pPr>
              <w:jc w:val="right"/>
            </w:pPr>
            <w:r>
              <w:rPr>
                <w:color w:val="000000"/>
                <w:sz w:val="24"/>
                <w:szCs w:val="24"/>
              </w:rPr>
              <w:t>78,900,627.96</w:t>
            </w:r>
          </w:p>
        </w:tc>
        <w:tc>
          <w:tcPr>
            <w:vAlign w:val="center"/>
          </w:tcPr>
          <w:p>
            <w:pPr>
              <w:jc w:val="right"/>
            </w:pPr>
            <w:r>
              <w:rPr>
                <w:color w:val="000000"/>
                <w:sz w:val="24"/>
                <w:szCs w:val="24"/>
              </w:rPr>
              <w:t>2.67</w:t>
            </w:r>
          </w:p>
        </w:tc>
      </w:tr>
      <w:tr>
        <w:tc>
          <w:tcPr>
            <w:vAlign w:val="center"/>
          </w:tcPr>
          <w:p>
            <w:pPr>
              <w:jc w:val="center"/>
            </w:pPr>
            <w:r>
              <w:rPr>
                <w:color w:val="000000"/>
                <w:sz w:val="24"/>
                <w:szCs w:val="24"/>
              </w:rPr>
              <w:t>10</w:t>
            </w:r>
          </w:p>
        </w:tc>
        <w:tc>
          <w:tcPr>
            <w:vAlign w:val="center"/>
          </w:tcPr>
          <w:p>
            <w:pPr>
              <w:jc w:val="center"/>
            </w:pPr>
            <w:r>
              <w:rPr>
                <w:color w:val="000000"/>
                <w:sz w:val="24"/>
                <w:szCs w:val="24"/>
              </w:rPr>
              <w:t>600183</w:t>
            </w:r>
          </w:p>
        </w:tc>
        <w:tc>
          <w:tcPr>
            <w:vAlign w:val="center"/>
          </w:tcPr>
          <w:p>
            <w:pPr>
              <w:jc w:val="center"/>
            </w:pPr>
            <w:r>
              <w:rPr>
                <w:color w:val="000000"/>
                <w:sz w:val="24"/>
                <w:szCs w:val="24"/>
              </w:rPr>
              <w:t>生益科技</w:t>
            </w:r>
          </w:p>
        </w:tc>
        <w:tc>
          <w:tcPr>
            <w:vAlign w:val="center"/>
          </w:tcPr>
          <w:p>
            <w:pPr>
              <w:jc w:val="right"/>
            </w:pPr>
            <w:r>
              <w:rPr>
                <w:color w:val="000000"/>
                <w:sz w:val="24"/>
                <w:szCs w:val="24"/>
              </w:rPr>
              <w:t>4,059,410</w:t>
            </w:r>
          </w:p>
        </w:tc>
        <w:tc>
          <w:tcPr>
            <w:vAlign w:val="center"/>
          </w:tcPr>
          <w:p>
            <w:pPr>
              <w:jc w:val="right"/>
            </w:pPr>
            <w:r>
              <w:rPr>
                <w:color w:val="000000"/>
                <w:sz w:val="24"/>
                <w:szCs w:val="24"/>
              </w:rPr>
              <w:t>70,065,416.60</w:t>
            </w:r>
          </w:p>
        </w:tc>
        <w:tc>
          <w:tcPr>
            <w:vAlign w:val="center"/>
          </w:tcPr>
          <w:p>
            <w:pPr>
              <w:jc w:val="right"/>
            </w:pPr>
            <w:r>
              <w:rPr>
                <w:color w:val="000000"/>
                <w:sz w:val="24"/>
                <w:szCs w:val="24"/>
              </w:rPr>
              <w:t>2.37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142,425,400.00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142,425,400.00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142,425,400.00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170207</w:t>
            </w:r>
          </w:p>
        </w:tc>
        <w:tc>
          <w:tcPr>
            <w:vAlign w:val="center"/>
          </w:tcPr>
          <w:p>
            <w:pPr>
              <w:jc w:val="center"/>
            </w:pPr>
            <w:r>
              <w:rPr>
                <w:color w:val="000000"/>
                <w:sz w:val="24"/>
                <w:szCs w:val="24"/>
              </w:rPr>
              <w:t>17国开07</w:t>
            </w:r>
          </w:p>
        </w:tc>
        <w:tc>
          <w:tcPr>
            <w:vAlign w:val="center"/>
          </w:tcPr>
          <w:p>
            <w:pPr>
              <w:jc w:val="right"/>
            </w:pPr>
            <w:r>
              <w:rPr>
                <w:color w:val="000000"/>
                <w:sz w:val="24"/>
                <w:szCs w:val="24"/>
              </w:rPr>
              <w:t>1,000,000</w:t>
            </w:r>
          </w:p>
        </w:tc>
        <w:tc>
          <w:tcPr>
            <w:vAlign w:val="center"/>
          </w:tcPr>
          <w:p>
            <w:pPr>
              <w:jc w:val="right"/>
            </w:pPr>
            <w:r>
              <w:rPr>
                <w:color w:val="000000"/>
                <w:sz w:val="24"/>
                <w:szCs w:val="24"/>
              </w:rPr>
              <w:t>99,520,000.00</w:t>
            </w:r>
          </w:p>
        </w:tc>
        <w:tc>
          <w:tcPr>
            <w:vAlign w:val="center"/>
          </w:tcPr>
          <w:p>
            <w:pPr>
              <w:jc w:val="right"/>
            </w:pPr>
            <w:r>
              <w:rPr>
                <w:color w:val="000000"/>
                <w:sz w:val="24"/>
                <w:szCs w:val="24"/>
              </w:rPr>
              <w:t>3.36</w:t>
            </w:r>
          </w:p>
        </w:tc>
      </w:tr>
      <w:tr>
        <w:tc>
          <w:tcPr>
            <w:vAlign w:val="center"/>
          </w:tcPr>
          <w:p>
            <w:pPr>
              <w:jc w:val="center"/>
            </w:pPr>
            <w:r>
              <w:rPr>
                <w:color w:val="000000"/>
                <w:sz w:val="24"/>
                <w:szCs w:val="24"/>
              </w:rPr>
              <w:t>2</w:t>
            </w:r>
          </w:p>
        </w:tc>
        <w:tc>
          <w:tcPr>
            <w:vAlign w:val="center"/>
          </w:tcPr>
          <w:p>
            <w:pPr>
              <w:jc w:val="center"/>
            </w:pPr>
            <w:r>
              <w:rPr>
                <w:color w:val="000000"/>
                <w:sz w:val="24"/>
                <w:szCs w:val="24"/>
              </w:rPr>
              <w:t>108601</w:t>
            </w:r>
          </w:p>
        </w:tc>
        <w:tc>
          <w:tcPr>
            <w:vAlign w:val="center"/>
          </w:tcPr>
          <w:p>
            <w:pPr>
              <w:jc w:val="center"/>
            </w:pPr>
            <w:r>
              <w:rPr>
                <w:color w:val="000000"/>
                <w:sz w:val="24"/>
                <w:szCs w:val="24"/>
              </w:rPr>
              <w:t>国开1703</w:t>
            </w:r>
          </w:p>
        </w:tc>
        <w:tc>
          <w:tcPr>
            <w:vAlign w:val="center"/>
          </w:tcPr>
          <w:p>
            <w:pPr>
              <w:jc w:val="right"/>
            </w:pPr>
            <w:r>
              <w:rPr>
                <w:color w:val="000000"/>
                <w:sz w:val="24"/>
                <w:szCs w:val="24"/>
              </w:rPr>
              <w:t>430,000</w:t>
            </w:r>
          </w:p>
        </w:tc>
        <w:tc>
          <w:tcPr>
            <w:vAlign w:val="center"/>
          </w:tcPr>
          <w:p>
            <w:pPr>
              <w:jc w:val="right"/>
            </w:pPr>
            <w:r>
              <w:rPr>
                <w:color w:val="000000"/>
                <w:sz w:val="24"/>
                <w:szCs w:val="24"/>
              </w:rPr>
              <w:t>42,905,400.00</w:t>
            </w:r>
          </w:p>
        </w:tc>
        <w:tc>
          <w:tcPr>
            <w:vAlign w:val="center"/>
          </w:tcPr>
          <w:p>
            <w:pPr>
              <w:jc w:val="right"/>
            </w:pPr>
            <w:r>
              <w:rPr>
                <w:color w:val="000000"/>
                <w:sz w:val="24"/>
                <w:szCs w:val="24"/>
              </w:rPr>
              <w:t>1.45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5.11.1报告期内本基金投资的前十名证券的发行主体除中航资本（证券代码：600705）外，未出现被监管部门立案调查，或在报告编制日前一年内受到公开谴责、处罚的情形。</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航资本（证券代码:600705）于2017年12月13日公告，2017年12月11日公司子公司中航财务收到北京银监局的行政处罚决定书（京银监罚决字[2017]27号），北京银监局决定对中航财务做出如下行政处罚：责令中航财务改正，并给予50万元罚款的行政处罚。公司于2017年12月13日公告，近日公司控股子公司中航信托收到江西银监局出具的《行政处罚决定书》（赣银监罚决字[2017]48号），江西银监局决定对中航信托处以20万元罚款。</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3,587,001.36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2,875,796.30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14,455,286.62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20,918,084.28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002027</w:t>
            </w:r>
          </w:p>
        </w:tc>
        <w:tc>
          <w:tcPr>
            <w:vAlign w:val="center"/>
          </w:tcPr>
          <w:p>
            <w:pPr>
              <w:jc w:val="center"/>
            </w:pPr>
            <w:r>
              <w:rPr>
                <w:color w:val="000000"/>
                <w:sz w:val="24"/>
                <w:szCs w:val="24"/>
              </w:rPr>
              <w:t>分众传媒</w:t>
            </w:r>
          </w:p>
        </w:tc>
        <w:tc>
          <w:tcPr>
            <w:vAlign w:val="center"/>
          </w:tcPr>
          <w:p>
            <w:pPr>
              <w:jc w:val="right"/>
            </w:pPr>
            <w:r>
              <w:rPr>
                <w:color w:val="000000"/>
                <w:sz w:val="24"/>
                <w:szCs w:val="24"/>
              </w:rPr>
              <w:t>43,152,800.00</w:t>
            </w:r>
          </w:p>
        </w:tc>
        <w:tc>
          <w:tcPr>
            <w:vAlign w:val="center"/>
          </w:tcPr>
          <w:p>
            <w:pPr>
              <w:jc w:val="right"/>
            </w:pPr>
            <w:r>
              <w:rPr>
                <w:color w:val="000000"/>
                <w:sz w:val="24"/>
                <w:szCs w:val="24"/>
              </w:rPr>
              <w:t>1.46</w:t>
            </w:r>
          </w:p>
        </w:tc>
        <w:tc>
          <w:tcPr>
            <w:vAlign w:val="center"/>
          </w:tcPr>
          <w:p>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1,317,601,550.99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330,072,162.48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284,653,302.23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1,363,020,411.24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1、中国证监会核准交银施罗德先进制造股票证券投资基金募集的文件； </w:t>
      </w:r>
    </w:p>
    <w:p>
      <w:pPr>
        <w:spacing w:before="29" w:line="288" w:lineRule="auto"/>
        <w:ind w:firstLineChars="200" w:firstLine="480"/>
        <w:rPr>
          <w:color w:val="000000"/>
          <w:sz w:val="24"/>
          <w:szCs w:val="24"/>
        </w:rPr>
      </w:pPr>
      <w:r>
        <w:rPr>
          <w:color w:val="000000"/>
          <w:sz w:val="24"/>
          <w:szCs w:val="24"/>
        </w:rPr>
        <w:t xml:space="preserve">2、《交银施罗德先进制造混合型证券投资基金基金合同》；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3、《交银施罗德先进制造混合型证券投资基金招募说明书》； </w:t>
      </w:r>
    </w:p>
    <w:p>
      <w:pPr>
        <w:spacing w:before="29" w:line="288" w:lineRule="auto"/>
        <w:ind w:firstLineChars="200" w:firstLine="480"/>
        <w:rPr>
          <w:color w:val="000000"/>
          <w:sz w:val="24"/>
          <w:szCs w:val="24"/>
        </w:rPr>
      </w:pPr>
      <w:r>
        <w:rPr>
          <w:color w:val="000000"/>
          <w:sz w:val="24"/>
          <w:szCs w:val="24"/>
        </w:rPr>
        <w:t>4、《交银施罗德先进制造混合型证券投资基金托管协议》；</w:t>
      </w:r>
    </w:p>
    <w:p>
      <w:pPr>
        <w:spacing w:before="29" w:line="288" w:lineRule="auto"/>
        <w:ind w:firstLineChars="200" w:firstLine="480"/>
        <w:rPr>
          <w:color w:val="000000"/>
          <w:sz w:val="24"/>
          <w:szCs w:val="24"/>
        </w:rPr>
      </w:pPr>
      <w:r>
        <w:rPr>
          <w:color w:val="000000"/>
          <w:sz w:val="24"/>
          <w:szCs w:val="24"/>
        </w:rPr>
        <w:t>5、关于募集交银施罗德先进制造股票证券投资基金之法律意见书；</w:t>
      </w:r>
    </w:p>
    <w:p>
      <w:pPr>
        <w:spacing w:before="29" w:line="288" w:lineRule="auto"/>
        <w:ind w:firstLineChars="200" w:firstLine="480"/>
        <w:rPr>
          <w:color w:val="000000"/>
          <w:sz w:val="24"/>
          <w:szCs w:val="24"/>
        </w:rPr>
      </w:pPr>
      <w:r>
        <w:rPr>
          <w:color w:val="000000"/>
          <w:sz w:val="24"/>
          <w:szCs w:val="24"/>
        </w:rPr>
        <w:t>6、基金管理人业务资格批件、营业执照；</w:t>
      </w:r>
    </w:p>
    <w:p>
      <w:pPr>
        <w:spacing w:before="29" w:line="288" w:lineRule="auto"/>
        <w:ind w:firstLineChars="200" w:firstLine="480"/>
        <w:rPr>
          <w:color w:val="000000"/>
          <w:sz w:val="24"/>
          <w:szCs w:val="24"/>
        </w:rPr>
      </w:pPr>
      <w:r>
        <w:rPr>
          <w:color w:val="000000"/>
          <w:sz w:val="24"/>
          <w:szCs w:val="24"/>
        </w:rPr>
        <w:t>7、基金托管人业务资格批件、营业执照；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