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bookmarkStart w:id="0" w:name="_GoBack"/>
      <w:bookmarkEnd w:id="0"/>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B6200" w:rsidRDefault="00233C5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B6200" w:rsidRDefault="00233C5C">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B6200" w:rsidRDefault="00233C5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7B6200" w:rsidRDefault="00233C5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B6200" w:rsidRDefault="00233C5C">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255,196,785.71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B2D64" w:rsidRPr="00414345" w:rsidTr="007B2D6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B2D64" w:rsidRPr="00414345" w:rsidTr="007B2D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25,846,371.69</w:t>
            </w:r>
          </w:p>
        </w:tc>
      </w:tr>
      <w:tr w:rsidR="007B2D64" w:rsidRPr="00414345" w:rsidTr="007B2D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33,693,953.14</w:t>
            </w:r>
          </w:p>
        </w:tc>
      </w:tr>
      <w:tr w:rsidR="007B2D64" w:rsidRPr="00414345" w:rsidTr="007B2D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0.1346</w:t>
            </w:r>
          </w:p>
        </w:tc>
      </w:tr>
      <w:tr w:rsidR="007B2D64" w:rsidRPr="00414345" w:rsidTr="007B2D6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371,390,287.24</w:t>
            </w:r>
          </w:p>
        </w:tc>
      </w:tr>
      <w:tr w:rsidR="007B2D64" w:rsidRPr="00414345" w:rsidTr="007B2D6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1.455</w:t>
            </w:r>
          </w:p>
        </w:tc>
      </w:tr>
    </w:tbl>
    <w:p w:rsidR="007B6200" w:rsidRDefault="00233C5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B6200">
        <w:trPr>
          <w:jc w:val="center"/>
        </w:trPr>
        <w:tc>
          <w:tcPr>
            <w:tcW w:w="1701" w:type="dxa"/>
            <w:vAlign w:val="center"/>
          </w:tcPr>
          <w:p w:rsidR="007B6200" w:rsidRDefault="00233C5C">
            <w:pPr>
              <w:jc w:val="left"/>
            </w:pPr>
            <w:r>
              <w:rPr>
                <w:color w:val="000000"/>
                <w:sz w:val="24"/>
                <w:szCs w:val="24"/>
              </w:rPr>
              <w:t>过去三个月</w:t>
            </w:r>
          </w:p>
        </w:tc>
        <w:tc>
          <w:tcPr>
            <w:tcW w:w="1045" w:type="dxa"/>
            <w:vAlign w:val="center"/>
          </w:tcPr>
          <w:p w:rsidR="007B6200" w:rsidRDefault="00233C5C">
            <w:pPr>
              <w:jc w:val="center"/>
            </w:pPr>
            <w:r>
              <w:rPr>
                <w:color w:val="000000"/>
                <w:sz w:val="24"/>
                <w:szCs w:val="24"/>
              </w:rPr>
              <w:t>10.73%</w:t>
            </w:r>
          </w:p>
        </w:tc>
        <w:tc>
          <w:tcPr>
            <w:tcW w:w="1344" w:type="dxa"/>
            <w:vAlign w:val="center"/>
          </w:tcPr>
          <w:p w:rsidR="007B6200" w:rsidRDefault="00233C5C" w:rsidP="001770B0">
            <w:pPr>
              <w:jc w:val="center"/>
            </w:pPr>
            <w:r>
              <w:rPr>
                <w:color w:val="000000"/>
                <w:sz w:val="24"/>
                <w:szCs w:val="24"/>
              </w:rPr>
              <w:t>1.</w:t>
            </w:r>
            <w:r w:rsidR="001770B0">
              <w:rPr>
                <w:color w:val="000000"/>
                <w:sz w:val="24"/>
                <w:szCs w:val="24"/>
              </w:rPr>
              <w:t>02</w:t>
            </w:r>
            <w:r>
              <w:rPr>
                <w:color w:val="000000"/>
                <w:sz w:val="24"/>
                <w:szCs w:val="24"/>
              </w:rPr>
              <w:t>%</w:t>
            </w:r>
          </w:p>
        </w:tc>
        <w:tc>
          <w:tcPr>
            <w:tcW w:w="1194" w:type="dxa"/>
            <w:vAlign w:val="center"/>
          </w:tcPr>
          <w:p w:rsidR="007B6200" w:rsidRDefault="00233C5C">
            <w:pPr>
              <w:jc w:val="center"/>
            </w:pPr>
            <w:r>
              <w:rPr>
                <w:color w:val="000000"/>
                <w:sz w:val="24"/>
                <w:szCs w:val="24"/>
              </w:rPr>
              <w:t>3.69%</w:t>
            </w:r>
          </w:p>
        </w:tc>
        <w:tc>
          <w:tcPr>
            <w:tcW w:w="1492" w:type="dxa"/>
            <w:vAlign w:val="center"/>
          </w:tcPr>
          <w:p w:rsidR="007B6200" w:rsidRDefault="00233C5C" w:rsidP="001770B0">
            <w:pPr>
              <w:jc w:val="center"/>
            </w:pPr>
            <w:r>
              <w:rPr>
                <w:color w:val="000000"/>
                <w:sz w:val="24"/>
                <w:szCs w:val="24"/>
              </w:rPr>
              <w:t>0.</w:t>
            </w:r>
            <w:r w:rsidR="001770B0">
              <w:rPr>
                <w:color w:val="000000"/>
                <w:sz w:val="24"/>
                <w:szCs w:val="24"/>
              </w:rPr>
              <w:t>60</w:t>
            </w:r>
            <w:r>
              <w:rPr>
                <w:color w:val="000000"/>
                <w:sz w:val="24"/>
                <w:szCs w:val="24"/>
              </w:rPr>
              <w:t>%</w:t>
            </w:r>
          </w:p>
        </w:tc>
        <w:tc>
          <w:tcPr>
            <w:tcW w:w="1194" w:type="dxa"/>
            <w:vAlign w:val="center"/>
          </w:tcPr>
          <w:p w:rsidR="007B6200" w:rsidRDefault="00233C5C">
            <w:pPr>
              <w:jc w:val="center"/>
            </w:pPr>
            <w:r>
              <w:rPr>
                <w:color w:val="000000"/>
                <w:sz w:val="24"/>
                <w:szCs w:val="24"/>
              </w:rPr>
              <w:t>7.04%</w:t>
            </w:r>
          </w:p>
        </w:tc>
        <w:tc>
          <w:tcPr>
            <w:tcW w:w="898" w:type="dxa"/>
            <w:vAlign w:val="center"/>
          </w:tcPr>
          <w:p w:rsidR="007B6200" w:rsidRDefault="00233C5C">
            <w:pPr>
              <w:jc w:val="center"/>
            </w:pPr>
            <w:r>
              <w:rPr>
                <w:color w:val="000000"/>
                <w:sz w:val="24"/>
                <w:szCs w:val="24"/>
              </w:rPr>
              <w:t>0.42%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1770B0" w:rsidRDefault="001770B0" w:rsidP="001770B0">
      <w:pPr>
        <w:spacing w:line="0" w:lineRule="atLeast"/>
        <w:rPr>
          <w:rFonts w:ascii="华文楷体" w:eastAsia="华文楷体" w:hAnsi="华文楷体"/>
          <w:b/>
          <w:bCs/>
          <w:color w:val="575961"/>
          <w:sz w:val="28"/>
          <w:szCs w:val="28"/>
        </w:rPr>
      </w:pPr>
      <w:r>
        <w:rPr>
          <w:noProof/>
        </w:rPr>
        <w:drawing>
          <wp:inline distT="0" distB="0" distL="0" distR="0" wp14:anchorId="7D5B7732" wp14:editId="38F8A882">
            <wp:extent cx="5734050" cy="3365500"/>
            <wp:effectExtent l="0" t="0" r="0" b="6350"/>
            <wp:docPr id="1" name="图片 1"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走势图1.jp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5734050" cy="3365500"/>
                    </a:xfrm>
                    <a:prstGeom prst="rect">
                      <a:avLst/>
                    </a:prstGeom>
                    <a:noFill/>
                    <a:ln>
                      <a:noFill/>
                    </a:ln>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B6200">
        <w:trPr>
          <w:jc w:val="center"/>
        </w:trPr>
        <w:tc>
          <w:tcPr>
            <w:tcW w:w="846" w:type="dxa"/>
            <w:vAlign w:val="center"/>
          </w:tcPr>
          <w:p w:rsidR="007B6200" w:rsidRDefault="00233C5C">
            <w:pPr>
              <w:jc w:val="center"/>
            </w:pPr>
            <w:r>
              <w:rPr>
                <w:color w:val="000000"/>
                <w:sz w:val="24"/>
                <w:szCs w:val="24"/>
              </w:rPr>
              <w:t>韩威俊</w:t>
            </w:r>
          </w:p>
        </w:tc>
        <w:tc>
          <w:tcPr>
            <w:tcW w:w="845" w:type="dxa"/>
            <w:vAlign w:val="center"/>
          </w:tcPr>
          <w:p w:rsidR="007B6200" w:rsidRDefault="00233C5C">
            <w:pPr>
              <w:jc w:val="center"/>
            </w:pPr>
            <w:r>
              <w:rPr>
                <w:color w:val="000000"/>
                <w:sz w:val="24"/>
                <w:szCs w:val="24"/>
              </w:rPr>
              <w:t>交银趋势混合、交银策略回报灵活配置混合、</w:t>
            </w:r>
            <w:r>
              <w:rPr>
                <w:color w:val="000000"/>
                <w:sz w:val="24"/>
                <w:szCs w:val="24"/>
              </w:rPr>
              <w:lastRenderedPageBreak/>
              <w:t>交银股息优化混合的基金经理</w:t>
            </w:r>
          </w:p>
        </w:tc>
        <w:tc>
          <w:tcPr>
            <w:tcW w:w="1549" w:type="dxa"/>
            <w:vAlign w:val="center"/>
          </w:tcPr>
          <w:p w:rsidR="007B6200" w:rsidRDefault="00233C5C">
            <w:pPr>
              <w:jc w:val="center"/>
            </w:pPr>
            <w:r>
              <w:rPr>
                <w:color w:val="000000"/>
                <w:sz w:val="24"/>
                <w:szCs w:val="24"/>
              </w:rPr>
              <w:lastRenderedPageBreak/>
              <w:t>2017-06-03</w:t>
            </w:r>
          </w:p>
        </w:tc>
        <w:tc>
          <w:tcPr>
            <w:tcW w:w="1548" w:type="dxa"/>
            <w:vAlign w:val="center"/>
          </w:tcPr>
          <w:p w:rsidR="007B6200" w:rsidRDefault="00233C5C">
            <w:pPr>
              <w:jc w:val="center"/>
            </w:pPr>
            <w:r>
              <w:rPr>
                <w:color w:val="000000"/>
                <w:sz w:val="24"/>
                <w:szCs w:val="24"/>
              </w:rPr>
              <w:t>-</w:t>
            </w:r>
          </w:p>
        </w:tc>
        <w:tc>
          <w:tcPr>
            <w:tcW w:w="1407" w:type="dxa"/>
            <w:vAlign w:val="center"/>
          </w:tcPr>
          <w:p w:rsidR="007B6200" w:rsidRDefault="00233C5C">
            <w:pPr>
              <w:jc w:val="center"/>
            </w:pPr>
            <w:r>
              <w:rPr>
                <w:color w:val="000000"/>
                <w:sz w:val="24"/>
                <w:szCs w:val="24"/>
              </w:rPr>
              <w:t>11</w:t>
            </w:r>
            <w:r>
              <w:rPr>
                <w:color w:val="000000"/>
                <w:sz w:val="24"/>
                <w:szCs w:val="24"/>
              </w:rPr>
              <w:t>年</w:t>
            </w:r>
          </w:p>
        </w:tc>
        <w:tc>
          <w:tcPr>
            <w:tcW w:w="2673" w:type="dxa"/>
            <w:vAlign w:val="center"/>
          </w:tcPr>
          <w:p w:rsidR="007B6200" w:rsidRDefault="00233C5C">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w:t>
            </w:r>
            <w:r>
              <w:rPr>
                <w:color w:val="000000"/>
                <w:sz w:val="24"/>
                <w:szCs w:val="24"/>
              </w:rPr>
              <w:lastRenderedPageBreak/>
              <w:t>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B6200" w:rsidRDefault="00233C5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B6200" w:rsidRDefault="00233C5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B6200" w:rsidRDefault="00233C5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7B6200" w:rsidRDefault="00233C5C">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日内、</w:t>
      </w:r>
      <w:r>
        <w:rPr>
          <w:color w:val="000000"/>
          <w:sz w:val="24"/>
          <w:szCs w:val="24"/>
        </w:rPr>
        <w:t>5</w:t>
      </w:r>
      <w:r>
        <w:rPr>
          <w:color w:val="000000"/>
          <w:sz w:val="24"/>
          <w:szCs w:val="24"/>
        </w:rPr>
        <w:t>日内）同向交易的交易价差未出现异常。</w:t>
      </w:r>
    </w:p>
    <w:p w:rsidR="007B6200" w:rsidRDefault="007B6200">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B6200" w:rsidRDefault="00233C5C">
      <w:pPr>
        <w:spacing w:before="29" w:line="288" w:lineRule="auto"/>
        <w:ind w:firstLineChars="200" w:firstLine="480"/>
        <w:rPr>
          <w:color w:val="000000"/>
          <w:sz w:val="24"/>
          <w:szCs w:val="24"/>
        </w:rPr>
      </w:pPr>
      <w:r>
        <w:rPr>
          <w:color w:val="000000"/>
          <w:sz w:val="24"/>
          <w:szCs w:val="24"/>
        </w:rPr>
        <w:t>回顾</w:t>
      </w:r>
      <w:r>
        <w:rPr>
          <w:color w:val="000000"/>
          <w:sz w:val="24"/>
          <w:szCs w:val="24"/>
        </w:rPr>
        <w:t>2017</w:t>
      </w:r>
      <w:r>
        <w:rPr>
          <w:color w:val="000000"/>
          <w:sz w:val="24"/>
          <w:szCs w:val="24"/>
        </w:rPr>
        <w:t>年四季度，流动性压力逐步体现，整个市场仍然处于存量博弈阶段，白马股整体的绝对收益和相对收益都要明显优于整个市场。受到资管新政导致预期变化以及流动性压力的调整，流动性较差的股票相对跌幅较为明显，整体市场风险偏好也处于相对较低的位置。</w:t>
      </w:r>
    </w:p>
    <w:p w:rsidR="007B6200" w:rsidRDefault="00233C5C">
      <w:pPr>
        <w:spacing w:before="29" w:line="288" w:lineRule="auto"/>
        <w:ind w:firstLineChars="200" w:firstLine="480"/>
        <w:rPr>
          <w:color w:val="000000"/>
          <w:sz w:val="24"/>
          <w:szCs w:val="24"/>
        </w:rPr>
      </w:pPr>
      <w:r>
        <w:rPr>
          <w:color w:val="000000"/>
          <w:sz w:val="24"/>
          <w:szCs w:val="24"/>
        </w:rPr>
        <w:t>本基金在四季度继续维持配置现金流趋势性向上的价值成长白马股，适当减持了部分流动性较差的重仓股，继续持有流动性较好的价值白马股，获得了一定的绝对收益。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年一季度，整体风险偏好很难出现系统性上升，流动性压力会有所改善，但二、三月</w:t>
      </w:r>
      <w:r w:rsidRPr="00414345">
        <w:rPr>
          <w:color w:val="000000"/>
          <w:sz w:val="24"/>
          <w:szCs w:val="24"/>
        </w:rPr>
        <w:t>CPI</w:t>
      </w:r>
      <w:r w:rsidRPr="00414345">
        <w:rPr>
          <w:color w:val="000000"/>
          <w:sz w:val="24"/>
          <w:szCs w:val="24"/>
        </w:rPr>
        <w:t>数据对市场走势的影响会相对比较关键。整个市场风格</w:t>
      </w:r>
      <w:r w:rsidR="0046412E">
        <w:rPr>
          <w:rFonts w:hint="eastAsia"/>
          <w:color w:val="000000"/>
          <w:sz w:val="24"/>
          <w:szCs w:val="24"/>
        </w:rPr>
        <w:t>预计</w:t>
      </w:r>
      <w:r w:rsidRPr="00414345">
        <w:rPr>
          <w:color w:val="000000"/>
          <w:sz w:val="24"/>
          <w:szCs w:val="24"/>
        </w:rPr>
        <w:t>依然还将维持在价值成长风格上不会发生太大变化。后续我们将更加注重自下而上分析，尽力选择业绩能够持续超预期的品种做集中重点配置。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1.455</w:t>
      </w:r>
      <w:r w:rsidRPr="00414345">
        <w:rPr>
          <w:color w:val="000000"/>
          <w:sz w:val="24"/>
          <w:szCs w:val="24"/>
        </w:rPr>
        <w:t>元，本报告期份额净值增长率为</w:t>
      </w:r>
      <w:r w:rsidRPr="00414345">
        <w:rPr>
          <w:color w:val="000000"/>
          <w:sz w:val="24"/>
          <w:szCs w:val="24"/>
        </w:rPr>
        <w:t>10.73%</w:t>
      </w:r>
      <w:r w:rsidRPr="00414345">
        <w:rPr>
          <w:color w:val="000000"/>
          <w:sz w:val="24"/>
          <w:szCs w:val="24"/>
        </w:rPr>
        <w:t>，同期业绩比较基准增长率为</w:t>
      </w:r>
      <w:r w:rsidRPr="00414345">
        <w:rPr>
          <w:color w:val="000000"/>
          <w:sz w:val="24"/>
          <w:szCs w:val="24"/>
        </w:rPr>
        <w:t>3.69%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329,188,961.02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329,188,961.02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9,949,000.00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9,949,000.00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2.63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37,599,168.11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9.95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1,323,720.82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0.35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378,060,849.95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6,696,075.00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182,830,593.84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55,465,179.16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15,034,737.75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18,315,102.40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23,292,530.11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27,536,800.00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329,188,961.02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88.64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B6200">
        <w:trPr>
          <w:jc w:val="center"/>
        </w:trPr>
        <w:tc>
          <w:tcPr>
            <w:tcW w:w="855" w:type="dxa"/>
            <w:vAlign w:val="center"/>
          </w:tcPr>
          <w:p w:rsidR="007B6200" w:rsidRDefault="00233C5C">
            <w:pPr>
              <w:jc w:val="center"/>
            </w:pPr>
            <w:r>
              <w:rPr>
                <w:color w:val="000000"/>
                <w:sz w:val="24"/>
                <w:szCs w:val="24"/>
              </w:rPr>
              <w:t>1</w:t>
            </w:r>
          </w:p>
        </w:tc>
        <w:tc>
          <w:tcPr>
            <w:tcW w:w="1334" w:type="dxa"/>
            <w:vAlign w:val="center"/>
          </w:tcPr>
          <w:p w:rsidR="007B6200" w:rsidRDefault="00233C5C">
            <w:pPr>
              <w:jc w:val="center"/>
            </w:pPr>
            <w:r>
              <w:rPr>
                <w:color w:val="000000"/>
                <w:sz w:val="24"/>
                <w:szCs w:val="24"/>
              </w:rPr>
              <w:t>603808</w:t>
            </w:r>
          </w:p>
        </w:tc>
        <w:tc>
          <w:tcPr>
            <w:tcW w:w="1777" w:type="dxa"/>
            <w:vAlign w:val="center"/>
          </w:tcPr>
          <w:p w:rsidR="007B6200" w:rsidRDefault="00233C5C">
            <w:pPr>
              <w:jc w:val="center"/>
            </w:pPr>
            <w:r>
              <w:rPr>
                <w:color w:val="000000"/>
                <w:sz w:val="24"/>
                <w:szCs w:val="24"/>
              </w:rPr>
              <w:t>歌力思</w:t>
            </w:r>
          </w:p>
        </w:tc>
        <w:tc>
          <w:tcPr>
            <w:tcW w:w="1334" w:type="dxa"/>
            <w:vAlign w:val="center"/>
          </w:tcPr>
          <w:p w:rsidR="007B6200" w:rsidRDefault="00233C5C">
            <w:pPr>
              <w:jc w:val="right"/>
            </w:pPr>
            <w:r>
              <w:rPr>
                <w:color w:val="000000"/>
                <w:sz w:val="24"/>
                <w:szCs w:val="24"/>
              </w:rPr>
              <w:t>1,375,465</w:t>
            </w:r>
          </w:p>
        </w:tc>
        <w:tc>
          <w:tcPr>
            <w:tcW w:w="1924" w:type="dxa"/>
            <w:vAlign w:val="center"/>
          </w:tcPr>
          <w:p w:rsidR="007B6200" w:rsidRDefault="00233C5C">
            <w:pPr>
              <w:jc w:val="right"/>
            </w:pPr>
            <w:r>
              <w:rPr>
                <w:color w:val="000000"/>
                <w:sz w:val="24"/>
                <w:szCs w:val="24"/>
              </w:rPr>
              <w:t>31,635,695.00</w:t>
            </w:r>
          </w:p>
        </w:tc>
        <w:tc>
          <w:tcPr>
            <w:tcW w:w="1644" w:type="dxa"/>
            <w:vAlign w:val="center"/>
          </w:tcPr>
          <w:p w:rsidR="007B6200" w:rsidRDefault="00233C5C">
            <w:pPr>
              <w:jc w:val="right"/>
            </w:pPr>
            <w:r>
              <w:rPr>
                <w:color w:val="000000"/>
                <w:sz w:val="24"/>
                <w:szCs w:val="24"/>
              </w:rPr>
              <w:t>8.52</w:t>
            </w:r>
          </w:p>
        </w:tc>
      </w:tr>
      <w:tr w:rsidR="007B6200">
        <w:trPr>
          <w:jc w:val="center"/>
        </w:trPr>
        <w:tc>
          <w:tcPr>
            <w:tcW w:w="855" w:type="dxa"/>
            <w:vAlign w:val="center"/>
          </w:tcPr>
          <w:p w:rsidR="007B6200" w:rsidRDefault="00233C5C">
            <w:pPr>
              <w:jc w:val="center"/>
            </w:pPr>
            <w:r>
              <w:rPr>
                <w:color w:val="000000"/>
                <w:sz w:val="24"/>
                <w:szCs w:val="24"/>
              </w:rPr>
              <w:t>2</w:t>
            </w:r>
          </w:p>
        </w:tc>
        <w:tc>
          <w:tcPr>
            <w:tcW w:w="1334" w:type="dxa"/>
            <w:vAlign w:val="center"/>
          </w:tcPr>
          <w:p w:rsidR="007B6200" w:rsidRDefault="00233C5C">
            <w:pPr>
              <w:jc w:val="center"/>
            </w:pPr>
            <w:r>
              <w:rPr>
                <w:color w:val="000000"/>
                <w:sz w:val="24"/>
                <w:szCs w:val="24"/>
              </w:rPr>
              <w:t>000858</w:t>
            </w:r>
          </w:p>
        </w:tc>
        <w:tc>
          <w:tcPr>
            <w:tcW w:w="1777" w:type="dxa"/>
            <w:vAlign w:val="center"/>
          </w:tcPr>
          <w:p w:rsidR="007B6200" w:rsidRDefault="00233C5C">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7B6200" w:rsidRDefault="00233C5C">
            <w:pPr>
              <w:jc w:val="right"/>
            </w:pPr>
            <w:r>
              <w:rPr>
                <w:color w:val="000000"/>
                <w:sz w:val="24"/>
                <w:szCs w:val="24"/>
              </w:rPr>
              <w:t>366,215</w:t>
            </w:r>
          </w:p>
        </w:tc>
        <w:tc>
          <w:tcPr>
            <w:tcW w:w="1924" w:type="dxa"/>
            <w:vAlign w:val="center"/>
          </w:tcPr>
          <w:p w:rsidR="007B6200" w:rsidRDefault="00233C5C">
            <w:pPr>
              <w:jc w:val="right"/>
            </w:pPr>
            <w:r>
              <w:rPr>
                <w:color w:val="000000"/>
                <w:sz w:val="24"/>
                <w:szCs w:val="24"/>
              </w:rPr>
              <w:t>29,253,254.20</w:t>
            </w:r>
          </w:p>
        </w:tc>
        <w:tc>
          <w:tcPr>
            <w:tcW w:w="1644" w:type="dxa"/>
            <w:vAlign w:val="center"/>
          </w:tcPr>
          <w:p w:rsidR="007B6200" w:rsidRDefault="00233C5C">
            <w:pPr>
              <w:jc w:val="right"/>
            </w:pPr>
            <w:r>
              <w:rPr>
                <w:color w:val="000000"/>
                <w:sz w:val="24"/>
                <w:szCs w:val="24"/>
              </w:rPr>
              <w:t>7.88</w:t>
            </w:r>
          </w:p>
        </w:tc>
      </w:tr>
      <w:tr w:rsidR="007B6200">
        <w:trPr>
          <w:jc w:val="center"/>
        </w:trPr>
        <w:tc>
          <w:tcPr>
            <w:tcW w:w="855" w:type="dxa"/>
            <w:vAlign w:val="center"/>
          </w:tcPr>
          <w:p w:rsidR="007B6200" w:rsidRDefault="00233C5C">
            <w:pPr>
              <w:jc w:val="center"/>
            </w:pPr>
            <w:r>
              <w:rPr>
                <w:color w:val="000000"/>
                <w:sz w:val="24"/>
                <w:szCs w:val="24"/>
              </w:rPr>
              <w:t>3</w:t>
            </w:r>
          </w:p>
        </w:tc>
        <w:tc>
          <w:tcPr>
            <w:tcW w:w="1334" w:type="dxa"/>
            <w:vAlign w:val="center"/>
          </w:tcPr>
          <w:p w:rsidR="007B6200" w:rsidRDefault="00233C5C">
            <w:pPr>
              <w:jc w:val="center"/>
            </w:pPr>
            <w:r>
              <w:rPr>
                <w:color w:val="000000"/>
                <w:sz w:val="24"/>
                <w:szCs w:val="24"/>
              </w:rPr>
              <w:t>600887</w:t>
            </w:r>
          </w:p>
        </w:tc>
        <w:tc>
          <w:tcPr>
            <w:tcW w:w="1777" w:type="dxa"/>
            <w:vAlign w:val="center"/>
          </w:tcPr>
          <w:p w:rsidR="007B6200" w:rsidRDefault="00233C5C">
            <w:pPr>
              <w:jc w:val="center"/>
            </w:pPr>
            <w:r>
              <w:rPr>
                <w:color w:val="000000"/>
                <w:sz w:val="24"/>
                <w:szCs w:val="24"/>
              </w:rPr>
              <w:t>伊利股份</w:t>
            </w:r>
          </w:p>
        </w:tc>
        <w:tc>
          <w:tcPr>
            <w:tcW w:w="1334" w:type="dxa"/>
            <w:vAlign w:val="center"/>
          </w:tcPr>
          <w:p w:rsidR="007B6200" w:rsidRDefault="00233C5C">
            <w:pPr>
              <w:jc w:val="right"/>
            </w:pPr>
            <w:r>
              <w:rPr>
                <w:color w:val="000000"/>
                <w:sz w:val="24"/>
                <w:szCs w:val="24"/>
              </w:rPr>
              <w:t>902,127</w:t>
            </w:r>
          </w:p>
        </w:tc>
        <w:tc>
          <w:tcPr>
            <w:tcW w:w="1924" w:type="dxa"/>
            <w:vAlign w:val="center"/>
          </w:tcPr>
          <w:p w:rsidR="007B6200" w:rsidRDefault="00233C5C">
            <w:pPr>
              <w:jc w:val="right"/>
            </w:pPr>
            <w:r>
              <w:rPr>
                <w:color w:val="000000"/>
                <w:sz w:val="24"/>
                <w:szCs w:val="24"/>
              </w:rPr>
              <w:t>29,039,468.13</w:t>
            </w:r>
          </w:p>
        </w:tc>
        <w:tc>
          <w:tcPr>
            <w:tcW w:w="1644" w:type="dxa"/>
            <w:vAlign w:val="center"/>
          </w:tcPr>
          <w:p w:rsidR="007B6200" w:rsidRDefault="00233C5C">
            <w:pPr>
              <w:jc w:val="right"/>
            </w:pPr>
            <w:r>
              <w:rPr>
                <w:color w:val="000000"/>
                <w:sz w:val="24"/>
                <w:szCs w:val="24"/>
              </w:rPr>
              <w:t>7.82</w:t>
            </w:r>
          </w:p>
        </w:tc>
      </w:tr>
      <w:tr w:rsidR="007B6200">
        <w:trPr>
          <w:jc w:val="center"/>
        </w:trPr>
        <w:tc>
          <w:tcPr>
            <w:tcW w:w="855" w:type="dxa"/>
            <w:vAlign w:val="center"/>
          </w:tcPr>
          <w:p w:rsidR="007B6200" w:rsidRDefault="00233C5C">
            <w:pPr>
              <w:jc w:val="center"/>
            </w:pPr>
            <w:r>
              <w:rPr>
                <w:color w:val="000000"/>
                <w:sz w:val="24"/>
                <w:szCs w:val="24"/>
              </w:rPr>
              <w:t>4</w:t>
            </w:r>
          </w:p>
        </w:tc>
        <w:tc>
          <w:tcPr>
            <w:tcW w:w="1334" w:type="dxa"/>
            <w:vAlign w:val="center"/>
          </w:tcPr>
          <w:p w:rsidR="007B6200" w:rsidRDefault="00233C5C">
            <w:pPr>
              <w:jc w:val="center"/>
            </w:pPr>
            <w:r>
              <w:rPr>
                <w:color w:val="000000"/>
                <w:sz w:val="24"/>
                <w:szCs w:val="24"/>
              </w:rPr>
              <w:t>002304</w:t>
            </w:r>
          </w:p>
        </w:tc>
        <w:tc>
          <w:tcPr>
            <w:tcW w:w="1777" w:type="dxa"/>
            <w:vAlign w:val="center"/>
          </w:tcPr>
          <w:p w:rsidR="007B6200" w:rsidRDefault="00233C5C">
            <w:pPr>
              <w:jc w:val="center"/>
            </w:pPr>
            <w:r>
              <w:rPr>
                <w:color w:val="000000"/>
                <w:sz w:val="24"/>
                <w:szCs w:val="24"/>
              </w:rPr>
              <w:t>洋河股份</w:t>
            </w:r>
          </w:p>
        </w:tc>
        <w:tc>
          <w:tcPr>
            <w:tcW w:w="1334" w:type="dxa"/>
            <w:vAlign w:val="center"/>
          </w:tcPr>
          <w:p w:rsidR="007B6200" w:rsidRDefault="00233C5C">
            <w:pPr>
              <w:jc w:val="right"/>
            </w:pPr>
            <w:r>
              <w:rPr>
                <w:color w:val="000000"/>
                <w:sz w:val="24"/>
                <w:szCs w:val="24"/>
              </w:rPr>
              <w:t>244,903</w:t>
            </w:r>
          </w:p>
        </w:tc>
        <w:tc>
          <w:tcPr>
            <w:tcW w:w="1924" w:type="dxa"/>
            <w:vAlign w:val="center"/>
          </w:tcPr>
          <w:p w:rsidR="007B6200" w:rsidRDefault="00233C5C">
            <w:pPr>
              <w:jc w:val="right"/>
            </w:pPr>
            <w:r>
              <w:rPr>
                <w:color w:val="000000"/>
                <w:sz w:val="24"/>
                <w:szCs w:val="24"/>
              </w:rPr>
              <w:t>28,163,845.00</w:t>
            </w:r>
          </w:p>
        </w:tc>
        <w:tc>
          <w:tcPr>
            <w:tcW w:w="1644" w:type="dxa"/>
            <w:vAlign w:val="center"/>
          </w:tcPr>
          <w:p w:rsidR="007B6200" w:rsidRDefault="00233C5C">
            <w:pPr>
              <w:jc w:val="right"/>
            </w:pPr>
            <w:r>
              <w:rPr>
                <w:color w:val="000000"/>
                <w:sz w:val="24"/>
                <w:szCs w:val="24"/>
              </w:rPr>
              <w:t>7.58</w:t>
            </w:r>
          </w:p>
        </w:tc>
      </w:tr>
      <w:tr w:rsidR="007B6200">
        <w:trPr>
          <w:jc w:val="center"/>
        </w:trPr>
        <w:tc>
          <w:tcPr>
            <w:tcW w:w="855" w:type="dxa"/>
            <w:vAlign w:val="center"/>
          </w:tcPr>
          <w:p w:rsidR="007B6200" w:rsidRDefault="00233C5C">
            <w:pPr>
              <w:jc w:val="center"/>
            </w:pPr>
            <w:r>
              <w:rPr>
                <w:color w:val="000000"/>
                <w:sz w:val="24"/>
                <w:szCs w:val="24"/>
              </w:rPr>
              <w:t>5</w:t>
            </w:r>
          </w:p>
        </w:tc>
        <w:tc>
          <w:tcPr>
            <w:tcW w:w="1334" w:type="dxa"/>
            <w:vAlign w:val="center"/>
          </w:tcPr>
          <w:p w:rsidR="007B6200" w:rsidRDefault="00233C5C">
            <w:pPr>
              <w:jc w:val="center"/>
            </w:pPr>
            <w:r>
              <w:rPr>
                <w:color w:val="000000"/>
                <w:sz w:val="24"/>
                <w:szCs w:val="24"/>
              </w:rPr>
              <w:t>002027</w:t>
            </w:r>
          </w:p>
        </w:tc>
        <w:tc>
          <w:tcPr>
            <w:tcW w:w="1777" w:type="dxa"/>
            <w:vAlign w:val="center"/>
          </w:tcPr>
          <w:p w:rsidR="007B6200" w:rsidRDefault="00233C5C">
            <w:pPr>
              <w:jc w:val="center"/>
            </w:pPr>
            <w:r>
              <w:rPr>
                <w:color w:val="000000"/>
                <w:sz w:val="24"/>
                <w:szCs w:val="24"/>
              </w:rPr>
              <w:t>分众传媒</w:t>
            </w:r>
          </w:p>
        </w:tc>
        <w:tc>
          <w:tcPr>
            <w:tcW w:w="1334" w:type="dxa"/>
            <w:vAlign w:val="center"/>
          </w:tcPr>
          <w:p w:rsidR="007B6200" w:rsidRDefault="00233C5C">
            <w:pPr>
              <w:jc w:val="right"/>
            </w:pPr>
            <w:r>
              <w:rPr>
                <w:color w:val="000000"/>
                <w:sz w:val="24"/>
                <w:szCs w:val="24"/>
              </w:rPr>
              <w:t>1,997,500</w:t>
            </w:r>
          </w:p>
        </w:tc>
        <w:tc>
          <w:tcPr>
            <w:tcW w:w="1924" w:type="dxa"/>
            <w:vAlign w:val="center"/>
          </w:tcPr>
          <w:p w:rsidR="007B6200" w:rsidRDefault="00233C5C">
            <w:pPr>
              <w:jc w:val="right"/>
            </w:pPr>
            <w:r>
              <w:rPr>
                <w:color w:val="000000"/>
                <w:sz w:val="24"/>
                <w:szCs w:val="24"/>
              </w:rPr>
              <w:t>27,536,800.00</w:t>
            </w:r>
          </w:p>
        </w:tc>
        <w:tc>
          <w:tcPr>
            <w:tcW w:w="1644" w:type="dxa"/>
            <w:vAlign w:val="center"/>
          </w:tcPr>
          <w:p w:rsidR="007B6200" w:rsidRDefault="00233C5C">
            <w:pPr>
              <w:jc w:val="right"/>
            </w:pPr>
            <w:r>
              <w:rPr>
                <w:color w:val="000000"/>
                <w:sz w:val="24"/>
                <w:szCs w:val="24"/>
              </w:rPr>
              <w:t>7.41</w:t>
            </w:r>
          </w:p>
        </w:tc>
      </w:tr>
      <w:tr w:rsidR="007B6200">
        <w:trPr>
          <w:jc w:val="center"/>
        </w:trPr>
        <w:tc>
          <w:tcPr>
            <w:tcW w:w="855" w:type="dxa"/>
            <w:vAlign w:val="center"/>
          </w:tcPr>
          <w:p w:rsidR="007B6200" w:rsidRDefault="00233C5C">
            <w:pPr>
              <w:jc w:val="center"/>
            </w:pPr>
            <w:r>
              <w:rPr>
                <w:color w:val="000000"/>
                <w:sz w:val="24"/>
                <w:szCs w:val="24"/>
              </w:rPr>
              <w:t>6</w:t>
            </w:r>
          </w:p>
        </w:tc>
        <w:tc>
          <w:tcPr>
            <w:tcW w:w="1334" w:type="dxa"/>
            <w:vAlign w:val="center"/>
          </w:tcPr>
          <w:p w:rsidR="007B6200" w:rsidRDefault="00233C5C">
            <w:pPr>
              <w:jc w:val="center"/>
            </w:pPr>
            <w:r>
              <w:rPr>
                <w:color w:val="000000"/>
                <w:sz w:val="24"/>
                <w:szCs w:val="24"/>
              </w:rPr>
              <w:t>600519</w:t>
            </w:r>
          </w:p>
        </w:tc>
        <w:tc>
          <w:tcPr>
            <w:tcW w:w="1777" w:type="dxa"/>
            <w:vAlign w:val="center"/>
          </w:tcPr>
          <w:p w:rsidR="007B6200" w:rsidRDefault="00233C5C">
            <w:pPr>
              <w:jc w:val="center"/>
            </w:pPr>
            <w:r>
              <w:rPr>
                <w:color w:val="000000"/>
                <w:sz w:val="24"/>
                <w:szCs w:val="24"/>
              </w:rPr>
              <w:t>贵州茅台</w:t>
            </w:r>
          </w:p>
        </w:tc>
        <w:tc>
          <w:tcPr>
            <w:tcW w:w="1334" w:type="dxa"/>
            <w:vAlign w:val="center"/>
          </w:tcPr>
          <w:p w:rsidR="007B6200" w:rsidRDefault="00233C5C">
            <w:pPr>
              <w:jc w:val="right"/>
            </w:pPr>
            <w:r>
              <w:rPr>
                <w:color w:val="000000"/>
                <w:sz w:val="24"/>
                <w:szCs w:val="24"/>
              </w:rPr>
              <w:t>32,862</w:t>
            </w:r>
          </w:p>
        </w:tc>
        <w:tc>
          <w:tcPr>
            <w:tcW w:w="1924" w:type="dxa"/>
            <w:vAlign w:val="center"/>
          </w:tcPr>
          <w:p w:rsidR="007B6200" w:rsidRDefault="00233C5C">
            <w:pPr>
              <w:jc w:val="right"/>
            </w:pPr>
            <w:r>
              <w:rPr>
                <w:color w:val="000000"/>
                <w:sz w:val="24"/>
                <w:szCs w:val="24"/>
              </w:rPr>
              <w:t>22,920,916.38</w:t>
            </w:r>
          </w:p>
        </w:tc>
        <w:tc>
          <w:tcPr>
            <w:tcW w:w="1644" w:type="dxa"/>
            <w:vAlign w:val="center"/>
          </w:tcPr>
          <w:p w:rsidR="007B6200" w:rsidRDefault="00233C5C">
            <w:pPr>
              <w:jc w:val="right"/>
            </w:pPr>
            <w:r>
              <w:rPr>
                <w:color w:val="000000"/>
                <w:sz w:val="24"/>
                <w:szCs w:val="24"/>
              </w:rPr>
              <w:t>6.17</w:t>
            </w:r>
          </w:p>
        </w:tc>
      </w:tr>
      <w:tr w:rsidR="007B6200">
        <w:trPr>
          <w:jc w:val="center"/>
        </w:trPr>
        <w:tc>
          <w:tcPr>
            <w:tcW w:w="855" w:type="dxa"/>
            <w:vAlign w:val="center"/>
          </w:tcPr>
          <w:p w:rsidR="007B6200" w:rsidRDefault="00233C5C">
            <w:pPr>
              <w:jc w:val="center"/>
            </w:pPr>
            <w:r>
              <w:rPr>
                <w:color w:val="000000"/>
                <w:sz w:val="24"/>
                <w:szCs w:val="24"/>
              </w:rPr>
              <w:t>7</w:t>
            </w:r>
          </w:p>
        </w:tc>
        <w:tc>
          <w:tcPr>
            <w:tcW w:w="1334" w:type="dxa"/>
            <w:vAlign w:val="center"/>
          </w:tcPr>
          <w:p w:rsidR="007B6200" w:rsidRDefault="00233C5C">
            <w:pPr>
              <w:jc w:val="center"/>
            </w:pPr>
            <w:r>
              <w:rPr>
                <w:color w:val="000000"/>
                <w:sz w:val="24"/>
                <w:szCs w:val="24"/>
              </w:rPr>
              <w:t>600036</w:t>
            </w:r>
          </w:p>
        </w:tc>
        <w:tc>
          <w:tcPr>
            <w:tcW w:w="1777" w:type="dxa"/>
            <w:vAlign w:val="center"/>
          </w:tcPr>
          <w:p w:rsidR="007B6200" w:rsidRDefault="00233C5C">
            <w:pPr>
              <w:jc w:val="center"/>
            </w:pPr>
            <w:r>
              <w:rPr>
                <w:color w:val="000000"/>
                <w:sz w:val="24"/>
                <w:szCs w:val="24"/>
              </w:rPr>
              <w:t>招商银行</w:t>
            </w:r>
          </w:p>
        </w:tc>
        <w:tc>
          <w:tcPr>
            <w:tcW w:w="1334" w:type="dxa"/>
            <w:vAlign w:val="center"/>
          </w:tcPr>
          <w:p w:rsidR="007B6200" w:rsidRDefault="00233C5C">
            <w:pPr>
              <w:jc w:val="right"/>
            </w:pPr>
            <w:r>
              <w:rPr>
                <w:color w:val="000000"/>
                <w:sz w:val="24"/>
                <w:szCs w:val="24"/>
              </w:rPr>
              <w:t>631,120</w:t>
            </w:r>
          </w:p>
        </w:tc>
        <w:tc>
          <w:tcPr>
            <w:tcW w:w="1924" w:type="dxa"/>
            <w:vAlign w:val="center"/>
          </w:tcPr>
          <w:p w:rsidR="007B6200" w:rsidRDefault="00233C5C">
            <w:pPr>
              <w:jc w:val="right"/>
            </w:pPr>
            <w:r>
              <w:rPr>
                <w:color w:val="000000"/>
                <w:sz w:val="24"/>
                <w:szCs w:val="24"/>
              </w:rPr>
              <w:t>18,315,102.40</w:t>
            </w:r>
          </w:p>
        </w:tc>
        <w:tc>
          <w:tcPr>
            <w:tcW w:w="1644" w:type="dxa"/>
            <w:vAlign w:val="center"/>
          </w:tcPr>
          <w:p w:rsidR="007B6200" w:rsidRDefault="00233C5C">
            <w:pPr>
              <w:jc w:val="right"/>
            </w:pPr>
            <w:r>
              <w:rPr>
                <w:color w:val="000000"/>
                <w:sz w:val="24"/>
                <w:szCs w:val="24"/>
              </w:rPr>
              <w:t>4.93</w:t>
            </w:r>
          </w:p>
        </w:tc>
      </w:tr>
      <w:tr w:rsidR="007B6200">
        <w:trPr>
          <w:jc w:val="center"/>
        </w:trPr>
        <w:tc>
          <w:tcPr>
            <w:tcW w:w="855" w:type="dxa"/>
            <w:vAlign w:val="center"/>
          </w:tcPr>
          <w:p w:rsidR="007B6200" w:rsidRDefault="00233C5C">
            <w:pPr>
              <w:jc w:val="center"/>
            </w:pPr>
            <w:r>
              <w:rPr>
                <w:color w:val="000000"/>
                <w:sz w:val="24"/>
                <w:szCs w:val="24"/>
              </w:rPr>
              <w:t>8</w:t>
            </w:r>
          </w:p>
        </w:tc>
        <w:tc>
          <w:tcPr>
            <w:tcW w:w="1334" w:type="dxa"/>
            <w:vAlign w:val="center"/>
          </w:tcPr>
          <w:p w:rsidR="007B6200" w:rsidRDefault="00233C5C">
            <w:pPr>
              <w:jc w:val="center"/>
            </w:pPr>
            <w:r>
              <w:rPr>
                <w:color w:val="000000"/>
                <w:sz w:val="24"/>
                <w:szCs w:val="24"/>
              </w:rPr>
              <w:t>600559</w:t>
            </w:r>
          </w:p>
        </w:tc>
        <w:tc>
          <w:tcPr>
            <w:tcW w:w="1777" w:type="dxa"/>
            <w:vAlign w:val="center"/>
          </w:tcPr>
          <w:p w:rsidR="007B6200" w:rsidRDefault="00233C5C">
            <w:pPr>
              <w:jc w:val="center"/>
            </w:pPr>
            <w:r>
              <w:rPr>
                <w:color w:val="000000"/>
                <w:sz w:val="24"/>
                <w:szCs w:val="24"/>
              </w:rPr>
              <w:t>老白干酒</w:t>
            </w:r>
          </w:p>
        </w:tc>
        <w:tc>
          <w:tcPr>
            <w:tcW w:w="1334" w:type="dxa"/>
            <w:vAlign w:val="center"/>
          </w:tcPr>
          <w:p w:rsidR="007B6200" w:rsidRDefault="00233C5C">
            <w:pPr>
              <w:jc w:val="right"/>
            </w:pPr>
            <w:r>
              <w:rPr>
                <w:color w:val="000000"/>
                <w:sz w:val="24"/>
                <w:szCs w:val="24"/>
              </w:rPr>
              <w:t>584,350</w:t>
            </w:r>
          </w:p>
        </w:tc>
        <w:tc>
          <w:tcPr>
            <w:tcW w:w="1924" w:type="dxa"/>
            <w:vAlign w:val="center"/>
          </w:tcPr>
          <w:p w:rsidR="007B6200" w:rsidRDefault="00233C5C">
            <w:pPr>
              <w:jc w:val="right"/>
            </w:pPr>
            <w:r>
              <w:rPr>
                <w:color w:val="000000"/>
                <w:sz w:val="24"/>
                <w:szCs w:val="24"/>
              </w:rPr>
              <w:t>18,097,319.50</w:t>
            </w:r>
          </w:p>
        </w:tc>
        <w:tc>
          <w:tcPr>
            <w:tcW w:w="1644" w:type="dxa"/>
            <w:vAlign w:val="center"/>
          </w:tcPr>
          <w:p w:rsidR="007B6200" w:rsidRDefault="00233C5C">
            <w:pPr>
              <w:jc w:val="right"/>
            </w:pPr>
            <w:r>
              <w:rPr>
                <w:color w:val="000000"/>
                <w:sz w:val="24"/>
                <w:szCs w:val="24"/>
              </w:rPr>
              <w:t>4.87</w:t>
            </w:r>
          </w:p>
        </w:tc>
      </w:tr>
      <w:tr w:rsidR="007B6200">
        <w:trPr>
          <w:jc w:val="center"/>
        </w:trPr>
        <w:tc>
          <w:tcPr>
            <w:tcW w:w="855" w:type="dxa"/>
            <w:vAlign w:val="center"/>
          </w:tcPr>
          <w:p w:rsidR="007B6200" w:rsidRDefault="00233C5C">
            <w:pPr>
              <w:jc w:val="center"/>
            </w:pPr>
            <w:r>
              <w:rPr>
                <w:color w:val="000000"/>
                <w:sz w:val="24"/>
                <w:szCs w:val="24"/>
              </w:rPr>
              <w:t>9</w:t>
            </w:r>
          </w:p>
        </w:tc>
        <w:tc>
          <w:tcPr>
            <w:tcW w:w="1334" w:type="dxa"/>
            <w:vAlign w:val="center"/>
          </w:tcPr>
          <w:p w:rsidR="007B6200" w:rsidRDefault="00233C5C">
            <w:pPr>
              <w:jc w:val="center"/>
            </w:pPr>
            <w:r>
              <w:rPr>
                <w:color w:val="000000"/>
                <w:sz w:val="24"/>
                <w:szCs w:val="24"/>
              </w:rPr>
              <w:t>000895</w:t>
            </w:r>
          </w:p>
        </w:tc>
        <w:tc>
          <w:tcPr>
            <w:tcW w:w="1777" w:type="dxa"/>
            <w:vAlign w:val="center"/>
          </w:tcPr>
          <w:p w:rsidR="007B6200" w:rsidRDefault="00233C5C">
            <w:pPr>
              <w:jc w:val="center"/>
            </w:pPr>
            <w:r>
              <w:rPr>
                <w:color w:val="000000"/>
                <w:sz w:val="24"/>
                <w:szCs w:val="24"/>
              </w:rPr>
              <w:t>双汇发展</w:t>
            </w:r>
          </w:p>
        </w:tc>
        <w:tc>
          <w:tcPr>
            <w:tcW w:w="1334" w:type="dxa"/>
            <w:vAlign w:val="center"/>
          </w:tcPr>
          <w:p w:rsidR="007B6200" w:rsidRDefault="00233C5C">
            <w:pPr>
              <w:jc w:val="right"/>
            </w:pPr>
            <w:r>
              <w:rPr>
                <w:color w:val="000000"/>
                <w:sz w:val="24"/>
                <w:szCs w:val="24"/>
              </w:rPr>
              <w:t>673,648</w:t>
            </w:r>
          </w:p>
        </w:tc>
        <w:tc>
          <w:tcPr>
            <w:tcW w:w="1924" w:type="dxa"/>
            <w:vAlign w:val="center"/>
          </w:tcPr>
          <w:p w:rsidR="007B6200" w:rsidRDefault="00233C5C">
            <w:pPr>
              <w:jc w:val="right"/>
            </w:pPr>
            <w:r>
              <w:rPr>
                <w:color w:val="000000"/>
                <w:sz w:val="24"/>
                <w:szCs w:val="24"/>
              </w:rPr>
              <w:t>17,851,672.00</w:t>
            </w:r>
          </w:p>
        </w:tc>
        <w:tc>
          <w:tcPr>
            <w:tcW w:w="1644" w:type="dxa"/>
            <w:vAlign w:val="center"/>
          </w:tcPr>
          <w:p w:rsidR="007B6200" w:rsidRDefault="00233C5C">
            <w:pPr>
              <w:jc w:val="right"/>
            </w:pPr>
            <w:r>
              <w:rPr>
                <w:color w:val="000000"/>
                <w:sz w:val="24"/>
                <w:szCs w:val="24"/>
              </w:rPr>
              <w:t>4.81</w:t>
            </w:r>
          </w:p>
        </w:tc>
      </w:tr>
      <w:tr w:rsidR="007B6200">
        <w:trPr>
          <w:jc w:val="center"/>
        </w:trPr>
        <w:tc>
          <w:tcPr>
            <w:tcW w:w="855" w:type="dxa"/>
            <w:vAlign w:val="center"/>
          </w:tcPr>
          <w:p w:rsidR="007B6200" w:rsidRDefault="00233C5C">
            <w:pPr>
              <w:jc w:val="center"/>
            </w:pPr>
            <w:r>
              <w:rPr>
                <w:color w:val="000000"/>
                <w:sz w:val="24"/>
                <w:szCs w:val="24"/>
              </w:rPr>
              <w:t>10</w:t>
            </w:r>
          </w:p>
        </w:tc>
        <w:tc>
          <w:tcPr>
            <w:tcW w:w="1334" w:type="dxa"/>
            <w:vAlign w:val="center"/>
          </w:tcPr>
          <w:p w:rsidR="007B6200" w:rsidRDefault="00233C5C">
            <w:pPr>
              <w:jc w:val="center"/>
            </w:pPr>
            <w:r>
              <w:rPr>
                <w:color w:val="000000"/>
                <w:sz w:val="24"/>
                <w:szCs w:val="24"/>
              </w:rPr>
              <w:t>600048</w:t>
            </w:r>
          </w:p>
        </w:tc>
        <w:tc>
          <w:tcPr>
            <w:tcW w:w="1777" w:type="dxa"/>
            <w:vAlign w:val="center"/>
          </w:tcPr>
          <w:p w:rsidR="007B6200" w:rsidRDefault="00233C5C">
            <w:pPr>
              <w:jc w:val="center"/>
            </w:pPr>
            <w:r>
              <w:rPr>
                <w:color w:val="000000"/>
                <w:sz w:val="24"/>
                <w:szCs w:val="24"/>
              </w:rPr>
              <w:t>保利地产</w:t>
            </w:r>
          </w:p>
        </w:tc>
        <w:tc>
          <w:tcPr>
            <w:tcW w:w="1334" w:type="dxa"/>
            <w:vAlign w:val="center"/>
          </w:tcPr>
          <w:p w:rsidR="007B6200" w:rsidRDefault="00233C5C">
            <w:pPr>
              <w:jc w:val="right"/>
            </w:pPr>
            <w:r>
              <w:rPr>
                <w:color w:val="000000"/>
                <w:sz w:val="24"/>
                <w:szCs w:val="24"/>
              </w:rPr>
              <w:t>834,119</w:t>
            </w:r>
          </w:p>
        </w:tc>
        <w:tc>
          <w:tcPr>
            <w:tcW w:w="1924" w:type="dxa"/>
            <w:vAlign w:val="center"/>
          </w:tcPr>
          <w:p w:rsidR="007B6200" w:rsidRDefault="00233C5C">
            <w:pPr>
              <w:jc w:val="right"/>
            </w:pPr>
            <w:r>
              <w:rPr>
                <w:color w:val="000000"/>
                <w:sz w:val="24"/>
                <w:szCs w:val="24"/>
              </w:rPr>
              <w:t>11,802,783.85</w:t>
            </w:r>
          </w:p>
        </w:tc>
        <w:tc>
          <w:tcPr>
            <w:tcW w:w="1644" w:type="dxa"/>
            <w:vAlign w:val="center"/>
          </w:tcPr>
          <w:p w:rsidR="007B6200" w:rsidRDefault="00233C5C">
            <w:pPr>
              <w:jc w:val="right"/>
            </w:pPr>
            <w:r>
              <w:rPr>
                <w:color w:val="000000"/>
                <w:sz w:val="24"/>
                <w:szCs w:val="24"/>
              </w:rPr>
              <w:t>3.18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9,949,000.00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9,949,000.00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9,949,000.00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B6200">
        <w:trPr>
          <w:jc w:val="center"/>
        </w:trPr>
        <w:tc>
          <w:tcPr>
            <w:tcW w:w="850" w:type="dxa"/>
            <w:vAlign w:val="center"/>
          </w:tcPr>
          <w:p w:rsidR="007B6200" w:rsidRDefault="00233C5C">
            <w:pPr>
              <w:jc w:val="center"/>
            </w:pPr>
            <w:r>
              <w:rPr>
                <w:color w:val="000000"/>
                <w:sz w:val="24"/>
                <w:szCs w:val="24"/>
              </w:rPr>
              <w:t>1</w:t>
            </w:r>
          </w:p>
        </w:tc>
        <w:tc>
          <w:tcPr>
            <w:tcW w:w="1475" w:type="dxa"/>
            <w:vAlign w:val="center"/>
          </w:tcPr>
          <w:p w:rsidR="007B6200" w:rsidRDefault="00233C5C">
            <w:pPr>
              <w:jc w:val="center"/>
            </w:pPr>
            <w:r>
              <w:rPr>
                <w:color w:val="000000"/>
                <w:sz w:val="24"/>
                <w:szCs w:val="24"/>
              </w:rPr>
              <w:t>150418</w:t>
            </w:r>
          </w:p>
        </w:tc>
        <w:tc>
          <w:tcPr>
            <w:tcW w:w="1769" w:type="dxa"/>
            <w:vAlign w:val="center"/>
          </w:tcPr>
          <w:p w:rsidR="007B6200" w:rsidRDefault="00233C5C">
            <w:pPr>
              <w:jc w:val="center"/>
            </w:pPr>
            <w:r>
              <w:rPr>
                <w:color w:val="000000"/>
                <w:sz w:val="24"/>
                <w:szCs w:val="24"/>
              </w:rPr>
              <w:t>15</w:t>
            </w:r>
            <w:r>
              <w:rPr>
                <w:color w:val="000000"/>
                <w:sz w:val="24"/>
                <w:szCs w:val="24"/>
              </w:rPr>
              <w:t>农发</w:t>
            </w:r>
            <w:r>
              <w:rPr>
                <w:color w:val="000000"/>
                <w:sz w:val="24"/>
                <w:szCs w:val="24"/>
              </w:rPr>
              <w:t>18</w:t>
            </w:r>
          </w:p>
        </w:tc>
        <w:tc>
          <w:tcPr>
            <w:tcW w:w="1387" w:type="dxa"/>
            <w:vAlign w:val="center"/>
          </w:tcPr>
          <w:p w:rsidR="007B6200" w:rsidRDefault="00233C5C">
            <w:pPr>
              <w:jc w:val="right"/>
            </w:pPr>
            <w:r>
              <w:rPr>
                <w:color w:val="000000"/>
                <w:sz w:val="24"/>
                <w:szCs w:val="24"/>
              </w:rPr>
              <w:t>100,000</w:t>
            </w:r>
          </w:p>
        </w:tc>
        <w:tc>
          <w:tcPr>
            <w:tcW w:w="2150" w:type="dxa"/>
            <w:vAlign w:val="center"/>
          </w:tcPr>
          <w:p w:rsidR="007B6200" w:rsidRDefault="00233C5C">
            <w:pPr>
              <w:jc w:val="right"/>
            </w:pPr>
            <w:r>
              <w:rPr>
                <w:color w:val="000000"/>
                <w:sz w:val="24"/>
                <w:szCs w:val="24"/>
              </w:rPr>
              <w:t>9,949,000.00</w:t>
            </w:r>
          </w:p>
        </w:tc>
        <w:tc>
          <w:tcPr>
            <w:tcW w:w="1237" w:type="dxa"/>
            <w:vAlign w:val="center"/>
          </w:tcPr>
          <w:p w:rsidR="007B6200" w:rsidRDefault="00233C5C">
            <w:pPr>
              <w:jc w:val="right"/>
            </w:pPr>
            <w:r>
              <w:rPr>
                <w:color w:val="000000"/>
                <w:sz w:val="24"/>
                <w:szCs w:val="24"/>
              </w:rPr>
              <w:t>2.68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457,127.80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173,986.34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692,606.68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1,323,720.82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B6200">
        <w:trPr>
          <w:jc w:val="center"/>
        </w:trPr>
        <w:tc>
          <w:tcPr>
            <w:tcW w:w="1129" w:type="dxa"/>
            <w:vAlign w:val="center"/>
          </w:tcPr>
          <w:p w:rsidR="007B6200" w:rsidRDefault="00233C5C">
            <w:pPr>
              <w:jc w:val="center"/>
            </w:pPr>
            <w:r>
              <w:rPr>
                <w:color w:val="000000"/>
                <w:sz w:val="24"/>
                <w:szCs w:val="24"/>
              </w:rPr>
              <w:t>1</w:t>
            </w:r>
          </w:p>
        </w:tc>
        <w:tc>
          <w:tcPr>
            <w:tcW w:w="1356" w:type="dxa"/>
            <w:vAlign w:val="center"/>
          </w:tcPr>
          <w:p w:rsidR="007B6200" w:rsidRDefault="00233C5C">
            <w:pPr>
              <w:jc w:val="center"/>
            </w:pPr>
            <w:r>
              <w:rPr>
                <w:color w:val="000000"/>
                <w:sz w:val="24"/>
                <w:szCs w:val="24"/>
              </w:rPr>
              <w:t>002027</w:t>
            </w:r>
          </w:p>
        </w:tc>
        <w:tc>
          <w:tcPr>
            <w:tcW w:w="1355" w:type="dxa"/>
            <w:vAlign w:val="center"/>
          </w:tcPr>
          <w:p w:rsidR="007B6200" w:rsidRDefault="00233C5C">
            <w:pPr>
              <w:jc w:val="center"/>
            </w:pPr>
            <w:r>
              <w:rPr>
                <w:color w:val="000000"/>
                <w:sz w:val="24"/>
                <w:szCs w:val="24"/>
              </w:rPr>
              <w:t>分众传媒</w:t>
            </w:r>
          </w:p>
        </w:tc>
        <w:tc>
          <w:tcPr>
            <w:tcW w:w="1880" w:type="dxa"/>
            <w:vAlign w:val="center"/>
          </w:tcPr>
          <w:p w:rsidR="007B6200" w:rsidRDefault="00233C5C">
            <w:pPr>
              <w:jc w:val="right"/>
            </w:pPr>
            <w:r>
              <w:rPr>
                <w:color w:val="000000"/>
                <w:sz w:val="24"/>
                <w:szCs w:val="24"/>
              </w:rPr>
              <w:t>14,196,000.00</w:t>
            </w:r>
          </w:p>
        </w:tc>
        <w:tc>
          <w:tcPr>
            <w:tcW w:w="1724" w:type="dxa"/>
            <w:vAlign w:val="center"/>
          </w:tcPr>
          <w:p w:rsidR="007B6200" w:rsidRDefault="00233C5C">
            <w:pPr>
              <w:jc w:val="right"/>
            </w:pPr>
            <w:r>
              <w:rPr>
                <w:color w:val="000000"/>
                <w:sz w:val="24"/>
                <w:szCs w:val="24"/>
              </w:rPr>
              <w:t>3.82</w:t>
            </w:r>
          </w:p>
        </w:tc>
        <w:tc>
          <w:tcPr>
            <w:tcW w:w="1424" w:type="dxa"/>
            <w:vAlign w:val="center"/>
          </w:tcPr>
          <w:p w:rsidR="007B6200" w:rsidRDefault="007B2D64">
            <w:pPr>
              <w:jc w:val="right"/>
            </w:pPr>
            <w:r>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244,780,974.94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80,637,025.04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70,221,214.27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255,196,785.71</w:t>
            </w:r>
          </w:p>
        </w:tc>
      </w:tr>
    </w:tbl>
    <w:p w:rsidR="007B6200" w:rsidRDefault="00233C5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lastRenderedPageBreak/>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B6200" w:rsidRDefault="00233C5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7B6200" w:rsidRDefault="00233C5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、《交银施罗德趋势优先混合型证券投资基金基金合同》；</w:t>
      </w:r>
      <w:r>
        <w:rPr>
          <w:color w:val="000000"/>
          <w:sz w:val="24"/>
          <w:szCs w:val="24"/>
        </w:rPr>
        <w:t xml:space="preserve"> </w:t>
      </w:r>
    </w:p>
    <w:p w:rsidR="007B6200" w:rsidRDefault="00233C5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、《交银施罗德趋势优先混合型证券投资基金招募说明书》；</w:t>
      </w:r>
    </w:p>
    <w:p w:rsidR="007B6200" w:rsidRDefault="00233C5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、《交银施罗德趋势优先混合型证券投资基金托管协议》；</w:t>
      </w:r>
      <w:r>
        <w:rPr>
          <w:color w:val="000000"/>
          <w:sz w:val="24"/>
          <w:szCs w:val="24"/>
        </w:rPr>
        <w:t xml:space="preserve"> </w:t>
      </w:r>
    </w:p>
    <w:p w:rsidR="007B6200" w:rsidRDefault="00233C5C">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7B6200" w:rsidRDefault="00233C5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7B6200" w:rsidRDefault="00233C5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B6200" w:rsidRDefault="00233C5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DFB" w:rsidRDefault="00B81DFB" w:rsidP="00876D65">
      <w:r>
        <w:separator/>
      </w:r>
    </w:p>
  </w:endnote>
  <w:endnote w:type="continuationSeparator" w:id="0">
    <w:p w:rsidR="00B81DFB" w:rsidRDefault="00B81DF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2C7553">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2C7553">
      <w:rPr>
        <w:noProof/>
        <w:kern w:val="0"/>
        <w:szCs w:val="21"/>
      </w:rPr>
      <w:t>11</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DFB" w:rsidRDefault="00B81DFB" w:rsidP="00876D65">
      <w:r>
        <w:separator/>
      </w:r>
    </w:p>
  </w:footnote>
  <w:footnote w:type="continuationSeparator" w:id="0">
    <w:p w:rsidR="00B81DFB" w:rsidRDefault="00B81DF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770B0"/>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33C5C"/>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C7553"/>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2756"/>
    <w:rsid w:val="00433805"/>
    <w:rsid w:val="00443869"/>
    <w:rsid w:val="00443ABF"/>
    <w:rsid w:val="00460575"/>
    <w:rsid w:val="00463EC0"/>
    <w:rsid w:val="0046412E"/>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97B82"/>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D64"/>
    <w:rsid w:val="007B4C04"/>
    <w:rsid w:val="007B5AFB"/>
    <w:rsid w:val="007B6200"/>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1DFB"/>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A223A9-FBBA-467E-9B77-6720CF46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38FB6.93B467D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1204-153F-4D43-BA90-E67F0B1DA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571</cp:revision>
  <dcterms:created xsi:type="dcterms:W3CDTF">2012-10-16T06:07:00Z</dcterms:created>
  <dcterms:modified xsi:type="dcterms:W3CDTF">2018-01-18T05:39:00Z</dcterms:modified>
</cp:coreProperties>
</file>