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交银施罗德先锋混合型证券投资基金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二〇一八年一月二十二日</w:t>
      </w:r>
    </w:p>
    <w:p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6F4DE5" w:rsidRDefault="00A42746">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6F4DE5" w:rsidRDefault="00A42746">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2018</w:t>
      </w:r>
      <w:r>
        <w:rPr>
          <w:color w:val="000000"/>
          <w:sz w:val="24"/>
          <w:szCs w:val="24"/>
        </w:rPr>
        <w:t>年</w:t>
      </w:r>
      <w:r>
        <w:rPr>
          <w:color w:val="000000"/>
          <w:sz w:val="24"/>
          <w:szCs w:val="24"/>
        </w:rPr>
        <w:t>1</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6F4DE5" w:rsidRDefault="00A42746">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6F4DE5" w:rsidRDefault="00A42746">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6F4DE5" w:rsidRDefault="00A42746">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交银先锋混合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2009</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10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794,395,863.85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中证</w:t>
            </w:r>
            <w:r w:rsidRPr="00414345">
              <w:rPr>
                <w:color w:val="000000"/>
                <w:kern w:val="0"/>
                <w:sz w:val="24"/>
                <w:szCs w:val="24"/>
              </w:rPr>
              <w:t>700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本基金是一只混合型基金，以具有持续成长潜力企业</w:t>
            </w:r>
            <w:r w:rsidRPr="00414345">
              <w:rPr>
                <w:color w:val="000000"/>
                <w:kern w:val="0"/>
                <w:sz w:val="24"/>
                <w:szCs w:val="24"/>
              </w:rPr>
              <w:lastRenderedPageBreak/>
              <w:t>的股票，特别是处于快速成长过程中的中型及小型企业为主要投资对象，追求超额收益，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1F2748" w:rsidRPr="00414345" w:rsidTr="001F2748">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1F2748" w:rsidRPr="00414345" w:rsidTr="001F274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-64,113,084.50</w:t>
            </w:r>
          </w:p>
        </w:tc>
      </w:tr>
      <w:tr w:rsidR="001F2748" w:rsidRPr="00414345" w:rsidTr="001F274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-90,638,447.33</w:t>
            </w:r>
          </w:p>
        </w:tc>
      </w:tr>
      <w:tr w:rsidR="001F2748" w:rsidRPr="00414345" w:rsidTr="001F274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-0.1028</w:t>
            </w:r>
          </w:p>
        </w:tc>
      </w:tr>
      <w:tr w:rsidR="001F2748" w:rsidRPr="00414345" w:rsidTr="001F274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899,143,784.14</w:t>
            </w:r>
          </w:p>
        </w:tc>
      </w:tr>
      <w:tr w:rsidR="001F2748" w:rsidRPr="00414345" w:rsidTr="001F2748">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1.1319</w:t>
            </w:r>
          </w:p>
        </w:tc>
      </w:tr>
    </w:tbl>
    <w:p w:rsidR="006F4DE5" w:rsidRDefault="00A4274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6F4DE5">
        <w:trPr>
          <w:jc w:val="center"/>
        </w:trPr>
        <w:tc>
          <w:tcPr>
            <w:tcW w:w="1701" w:type="dxa"/>
            <w:vAlign w:val="center"/>
          </w:tcPr>
          <w:p w:rsidR="006F4DE5" w:rsidRDefault="00A42746">
            <w:pPr>
              <w:jc w:val="left"/>
            </w:pPr>
            <w:r>
              <w:rPr>
                <w:color w:val="000000"/>
                <w:sz w:val="24"/>
                <w:szCs w:val="24"/>
              </w:rPr>
              <w:t>过去三个月</w:t>
            </w:r>
          </w:p>
        </w:tc>
        <w:tc>
          <w:tcPr>
            <w:tcW w:w="1045" w:type="dxa"/>
            <w:vAlign w:val="center"/>
          </w:tcPr>
          <w:p w:rsidR="006F4DE5" w:rsidRDefault="00A42746">
            <w:pPr>
              <w:jc w:val="center"/>
            </w:pPr>
            <w:r>
              <w:rPr>
                <w:color w:val="000000"/>
                <w:sz w:val="24"/>
                <w:szCs w:val="24"/>
              </w:rPr>
              <w:t>-8.43%</w:t>
            </w:r>
          </w:p>
        </w:tc>
        <w:tc>
          <w:tcPr>
            <w:tcW w:w="1344" w:type="dxa"/>
            <w:vAlign w:val="center"/>
          </w:tcPr>
          <w:p w:rsidR="006F4DE5" w:rsidRDefault="00A42746">
            <w:pPr>
              <w:jc w:val="center"/>
            </w:pPr>
            <w:r>
              <w:rPr>
                <w:color w:val="000000"/>
                <w:sz w:val="24"/>
                <w:szCs w:val="24"/>
              </w:rPr>
              <w:t>0.98%</w:t>
            </w:r>
          </w:p>
        </w:tc>
        <w:tc>
          <w:tcPr>
            <w:tcW w:w="1194" w:type="dxa"/>
            <w:vAlign w:val="center"/>
          </w:tcPr>
          <w:p w:rsidR="006F4DE5" w:rsidRDefault="00A42746">
            <w:pPr>
              <w:jc w:val="center"/>
            </w:pPr>
            <w:r>
              <w:rPr>
                <w:color w:val="000000"/>
                <w:sz w:val="24"/>
                <w:szCs w:val="24"/>
              </w:rPr>
              <w:t>-2.55%</w:t>
            </w:r>
          </w:p>
        </w:tc>
        <w:tc>
          <w:tcPr>
            <w:tcW w:w="1492" w:type="dxa"/>
            <w:vAlign w:val="center"/>
          </w:tcPr>
          <w:p w:rsidR="006F4DE5" w:rsidRDefault="00A42746">
            <w:pPr>
              <w:jc w:val="center"/>
            </w:pPr>
            <w:r>
              <w:rPr>
                <w:color w:val="000000"/>
                <w:sz w:val="24"/>
                <w:szCs w:val="24"/>
              </w:rPr>
              <w:t>0.67%</w:t>
            </w:r>
          </w:p>
        </w:tc>
        <w:tc>
          <w:tcPr>
            <w:tcW w:w="1194" w:type="dxa"/>
            <w:vAlign w:val="center"/>
          </w:tcPr>
          <w:p w:rsidR="006F4DE5" w:rsidRDefault="00A42746">
            <w:pPr>
              <w:jc w:val="center"/>
            </w:pPr>
            <w:r>
              <w:rPr>
                <w:color w:val="000000"/>
                <w:sz w:val="24"/>
                <w:szCs w:val="24"/>
              </w:rPr>
              <w:t>-5.88%</w:t>
            </w:r>
          </w:p>
        </w:tc>
        <w:tc>
          <w:tcPr>
            <w:tcW w:w="898" w:type="dxa"/>
            <w:vAlign w:val="center"/>
          </w:tcPr>
          <w:p w:rsidR="006F4DE5" w:rsidRDefault="00A42746">
            <w:pPr>
              <w:jc w:val="center"/>
            </w:pPr>
            <w:r>
              <w:rPr>
                <w:color w:val="000000"/>
                <w:sz w:val="24"/>
                <w:szCs w:val="24"/>
              </w:rPr>
              <w:t>0.31%</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中证</w:t>
      </w:r>
      <w:r w:rsidRPr="00414345">
        <w:rPr>
          <w:color w:val="000000"/>
          <w:sz w:val="24"/>
          <w:szCs w:val="24"/>
        </w:rPr>
        <w:t>700</w:t>
      </w:r>
      <w:r w:rsidRPr="00414345">
        <w:rPr>
          <w:color w:val="000000"/>
          <w:sz w:val="24"/>
          <w:szCs w:val="24"/>
        </w:rPr>
        <w:t>指数</w:t>
      </w:r>
      <w:r w:rsidRPr="00414345">
        <w:rPr>
          <w:color w:val="000000"/>
          <w:sz w:val="24"/>
          <w:szCs w:val="24"/>
        </w:rPr>
        <w:t>+25%×</w:t>
      </w:r>
      <w:r w:rsidRPr="00414345">
        <w:rPr>
          <w:color w:val="000000"/>
          <w:sz w:val="24"/>
          <w:szCs w:val="24"/>
        </w:rPr>
        <w:t>中信全债指数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中证</w:t>
      </w:r>
      <w:r w:rsidRPr="00414345">
        <w:rPr>
          <w:color w:val="000000"/>
          <w:sz w:val="24"/>
          <w:szCs w:val="24"/>
        </w:rPr>
        <w:t>700</w:t>
      </w:r>
      <w:r w:rsidRPr="00414345">
        <w:rPr>
          <w:color w:val="000000"/>
          <w:sz w:val="24"/>
          <w:szCs w:val="24"/>
        </w:rPr>
        <w:t>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w:t>
      </w:r>
      <w:r w:rsidRPr="00414345">
        <w:rPr>
          <w:color w:val="000000"/>
          <w:sz w:val="24"/>
          <w:szCs w:val="24"/>
        </w:rPr>
        <w:lastRenderedPageBreak/>
        <w:t>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交银施罗德先锋混合型证券投资基金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6F4DE5">
        <w:trPr>
          <w:jc w:val="center"/>
        </w:trPr>
        <w:tc>
          <w:tcPr>
            <w:tcW w:w="846" w:type="dxa"/>
            <w:vAlign w:val="center"/>
          </w:tcPr>
          <w:p w:rsidR="006F4DE5" w:rsidRDefault="00A42746">
            <w:pPr>
              <w:jc w:val="center"/>
            </w:pPr>
            <w:r>
              <w:rPr>
                <w:color w:val="000000"/>
                <w:sz w:val="24"/>
                <w:szCs w:val="24"/>
              </w:rPr>
              <w:t>芮晨</w:t>
            </w:r>
          </w:p>
        </w:tc>
        <w:tc>
          <w:tcPr>
            <w:tcW w:w="845" w:type="dxa"/>
            <w:vAlign w:val="center"/>
          </w:tcPr>
          <w:p w:rsidR="006F4DE5" w:rsidRDefault="00A42746">
            <w:pPr>
              <w:jc w:val="center"/>
            </w:pPr>
            <w:r>
              <w:rPr>
                <w:color w:val="000000"/>
                <w:sz w:val="24"/>
                <w:szCs w:val="24"/>
              </w:rPr>
              <w:t>交银先锋混合、交银科技创新</w:t>
            </w:r>
            <w:r>
              <w:rPr>
                <w:color w:val="000000"/>
                <w:sz w:val="24"/>
                <w:szCs w:val="24"/>
              </w:rPr>
              <w:lastRenderedPageBreak/>
              <w:t>灵活配置混合、交银数据产业灵活配置混合的基金经理</w:t>
            </w:r>
          </w:p>
        </w:tc>
        <w:tc>
          <w:tcPr>
            <w:tcW w:w="1549" w:type="dxa"/>
            <w:vAlign w:val="center"/>
          </w:tcPr>
          <w:p w:rsidR="006F4DE5" w:rsidRDefault="00A42746">
            <w:pPr>
              <w:jc w:val="center"/>
            </w:pPr>
            <w:r>
              <w:rPr>
                <w:color w:val="000000"/>
                <w:sz w:val="24"/>
                <w:szCs w:val="24"/>
              </w:rPr>
              <w:lastRenderedPageBreak/>
              <w:t>2015-05-18</w:t>
            </w:r>
          </w:p>
        </w:tc>
        <w:tc>
          <w:tcPr>
            <w:tcW w:w="1548" w:type="dxa"/>
            <w:vAlign w:val="center"/>
          </w:tcPr>
          <w:p w:rsidR="006F4DE5" w:rsidRDefault="00A42746">
            <w:pPr>
              <w:jc w:val="center"/>
            </w:pPr>
            <w:r>
              <w:rPr>
                <w:color w:val="000000"/>
                <w:sz w:val="24"/>
                <w:szCs w:val="24"/>
              </w:rPr>
              <w:t>-</w:t>
            </w:r>
          </w:p>
        </w:tc>
        <w:tc>
          <w:tcPr>
            <w:tcW w:w="1407" w:type="dxa"/>
            <w:vAlign w:val="center"/>
          </w:tcPr>
          <w:p w:rsidR="006F4DE5" w:rsidRDefault="00A42746">
            <w:pPr>
              <w:jc w:val="center"/>
            </w:pPr>
            <w:r>
              <w:rPr>
                <w:color w:val="000000"/>
                <w:sz w:val="24"/>
                <w:szCs w:val="24"/>
              </w:rPr>
              <w:t>10</w:t>
            </w:r>
            <w:r>
              <w:rPr>
                <w:color w:val="000000"/>
                <w:sz w:val="24"/>
                <w:szCs w:val="24"/>
              </w:rPr>
              <w:t>年</w:t>
            </w:r>
          </w:p>
        </w:tc>
        <w:tc>
          <w:tcPr>
            <w:tcW w:w="2673" w:type="dxa"/>
            <w:vAlign w:val="center"/>
          </w:tcPr>
          <w:p w:rsidR="006F4DE5" w:rsidRDefault="00A42746">
            <w:r>
              <w:rPr>
                <w:color w:val="000000"/>
                <w:sz w:val="24"/>
                <w:szCs w:val="24"/>
              </w:rPr>
              <w:t>芮晨先生，内蒙古科技大学工学士。历任深圳尚诚资产管理有限公司研究员、研究副总监，国联安基金管理有限公司行业研究员、投资经</w:t>
            </w:r>
            <w:r>
              <w:rPr>
                <w:color w:val="000000"/>
                <w:sz w:val="24"/>
                <w:szCs w:val="24"/>
              </w:rPr>
              <w:lastRenderedPageBreak/>
              <w:t>理，浙商证券资产管理有限公司投资主办。</w:t>
            </w:r>
            <w:r>
              <w:rPr>
                <w:color w:val="000000"/>
                <w:sz w:val="24"/>
                <w:szCs w:val="24"/>
              </w:rPr>
              <w:t>2015</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6F4DE5" w:rsidRDefault="00A42746">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6F4DE5" w:rsidRDefault="00A42746">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6F4DE5" w:rsidRDefault="00A42746">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lastRenderedPageBreak/>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6F4DE5" w:rsidRDefault="00A42746">
      <w:pPr>
        <w:spacing w:before="29" w:line="288" w:lineRule="auto"/>
        <w:ind w:firstLineChars="200" w:firstLine="480"/>
        <w:rPr>
          <w:color w:val="000000"/>
          <w:sz w:val="24"/>
          <w:szCs w:val="24"/>
        </w:rPr>
      </w:pPr>
      <w:r>
        <w:rPr>
          <w:color w:val="000000"/>
          <w:sz w:val="24"/>
          <w:szCs w:val="24"/>
        </w:rPr>
        <w:t>2017</w:t>
      </w:r>
      <w:r>
        <w:rPr>
          <w:color w:val="000000"/>
          <w:sz w:val="24"/>
          <w:szCs w:val="24"/>
        </w:rPr>
        <w:t>年四季度，市场延续了前三季度的表现，低估值的股票表现较好，板块之间、板块的个股之间收益率分化明显。本基金仍然坚持新兴成长股的持股结构，目前来看仍需一定时间将成长性反映在股价上。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2018</w:t>
      </w:r>
      <w:r w:rsidRPr="00414345">
        <w:rPr>
          <w:color w:val="000000"/>
          <w:sz w:val="24"/>
          <w:szCs w:val="24"/>
        </w:rPr>
        <w:t>年，我们预计风格切换较难发生，更多是个股间性价比的比较，看成长性和估值的匹配度。本基金过去一直致力选择成长性的股票，从结果来看，所选择的大多数公司还是表现出较高的成长性，由于选择买入时估值略高，在当前普遍估值较低的市场环境下表现不如价值股亮眼。虽然我们所选择的部分公司股价有所下行，但是这些公司的业绩数据相当靓丽，现在这些具备真正成长性个股的估值已经和价值股站在同一起跑线，未来如能继续表现出较高的成长性，就会有突显的性价比，值得继续关注。</w:t>
      </w:r>
      <w:r w:rsidRPr="00414345">
        <w:rPr>
          <w:color w:val="000000"/>
          <w:sz w:val="24"/>
          <w:szCs w:val="24"/>
        </w:rPr>
        <w:t xml:space="preserve"> </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1.1319</w:t>
      </w:r>
      <w:r w:rsidRPr="00414345">
        <w:rPr>
          <w:color w:val="000000"/>
          <w:sz w:val="24"/>
          <w:szCs w:val="24"/>
        </w:rPr>
        <w:t>元，本报告期份额净值增长率为</w:t>
      </w:r>
      <w:r w:rsidRPr="00414345">
        <w:rPr>
          <w:color w:val="000000"/>
          <w:sz w:val="24"/>
          <w:szCs w:val="24"/>
        </w:rPr>
        <w:t>-8.43%</w:t>
      </w:r>
      <w:r w:rsidRPr="00414345">
        <w:rPr>
          <w:color w:val="000000"/>
          <w:sz w:val="24"/>
          <w:szCs w:val="24"/>
        </w:rPr>
        <w:t>，同期业绩比较基准增长率为</w:t>
      </w:r>
      <w:r w:rsidRPr="00414345">
        <w:rPr>
          <w:color w:val="000000"/>
          <w:sz w:val="24"/>
          <w:szCs w:val="24"/>
        </w:rPr>
        <w:t>-2.55%</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852,605,167.80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94.52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852,605,167.80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94.52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lastRenderedPageBreak/>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48,606,036.62</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5.39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857,969.98</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0.10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902,069,174.40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404,865,159.25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116,801,754.19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12.99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210,574,584.54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23.42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18,448,944.00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83,879,638.82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18,035,087.00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852,605,167.80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94.82</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6F4DE5">
        <w:trPr>
          <w:jc w:val="center"/>
        </w:trPr>
        <w:tc>
          <w:tcPr>
            <w:tcW w:w="855" w:type="dxa"/>
            <w:vAlign w:val="center"/>
          </w:tcPr>
          <w:p w:rsidR="006F4DE5" w:rsidRDefault="00A42746">
            <w:pPr>
              <w:jc w:val="center"/>
            </w:pPr>
            <w:r>
              <w:rPr>
                <w:color w:val="000000"/>
                <w:sz w:val="24"/>
                <w:szCs w:val="24"/>
              </w:rPr>
              <w:t>1</w:t>
            </w:r>
          </w:p>
        </w:tc>
        <w:tc>
          <w:tcPr>
            <w:tcW w:w="1334" w:type="dxa"/>
            <w:vAlign w:val="center"/>
          </w:tcPr>
          <w:p w:rsidR="006F4DE5" w:rsidRDefault="00A42746">
            <w:pPr>
              <w:jc w:val="center"/>
            </w:pPr>
            <w:r>
              <w:rPr>
                <w:color w:val="000000"/>
                <w:sz w:val="24"/>
                <w:szCs w:val="24"/>
              </w:rPr>
              <w:t>300365</w:t>
            </w:r>
          </w:p>
        </w:tc>
        <w:tc>
          <w:tcPr>
            <w:tcW w:w="1777" w:type="dxa"/>
            <w:vAlign w:val="center"/>
          </w:tcPr>
          <w:p w:rsidR="006F4DE5" w:rsidRDefault="00A42746">
            <w:pPr>
              <w:jc w:val="center"/>
            </w:pPr>
            <w:r>
              <w:rPr>
                <w:color w:val="000000"/>
                <w:sz w:val="24"/>
                <w:szCs w:val="24"/>
              </w:rPr>
              <w:t>恒华科技</w:t>
            </w:r>
          </w:p>
        </w:tc>
        <w:tc>
          <w:tcPr>
            <w:tcW w:w="1334" w:type="dxa"/>
            <w:vAlign w:val="center"/>
          </w:tcPr>
          <w:p w:rsidR="006F4DE5" w:rsidRDefault="00A42746">
            <w:pPr>
              <w:jc w:val="right"/>
            </w:pPr>
            <w:r>
              <w:rPr>
                <w:color w:val="000000"/>
                <w:sz w:val="24"/>
                <w:szCs w:val="24"/>
              </w:rPr>
              <w:t>2,795,676</w:t>
            </w:r>
          </w:p>
        </w:tc>
        <w:tc>
          <w:tcPr>
            <w:tcW w:w="1924" w:type="dxa"/>
            <w:vAlign w:val="center"/>
          </w:tcPr>
          <w:p w:rsidR="006F4DE5" w:rsidRDefault="00A42746">
            <w:pPr>
              <w:jc w:val="right"/>
            </w:pPr>
            <w:r>
              <w:rPr>
                <w:color w:val="000000"/>
                <w:sz w:val="24"/>
                <w:szCs w:val="24"/>
              </w:rPr>
              <w:t>88,483,145.40</w:t>
            </w:r>
          </w:p>
        </w:tc>
        <w:tc>
          <w:tcPr>
            <w:tcW w:w="1644" w:type="dxa"/>
            <w:vAlign w:val="center"/>
          </w:tcPr>
          <w:p w:rsidR="006F4DE5" w:rsidRDefault="00A42746">
            <w:pPr>
              <w:jc w:val="right"/>
            </w:pPr>
            <w:r>
              <w:rPr>
                <w:color w:val="000000"/>
                <w:sz w:val="24"/>
                <w:szCs w:val="24"/>
              </w:rPr>
              <w:t>9.84</w:t>
            </w:r>
          </w:p>
        </w:tc>
      </w:tr>
      <w:tr w:rsidR="006F4DE5">
        <w:trPr>
          <w:jc w:val="center"/>
        </w:trPr>
        <w:tc>
          <w:tcPr>
            <w:tcW w:w="855" w:type="dxa"/>
            <w:vAlign w:val="center"/>
          </w:tcPr>
          <w:p w:rsidR="006F4DE5" w:rsidRDefault="00A42746">
            <w:pPr>
              <w:jc w:val="center"/>
            </w:pPr>
            <w:r>
              <w:rPr>
                <w:color w:val="000000"/>
                <w:sz w:val="24"/>
                <w:szCs w:val="24"/>
              </w:rPr>
              <w:t>2</w:t>
            </w:r>
          </w:p>
        </w:tc>
        <w:tc>
          <w:tcPr>
            <w:tcW w:w="1334" w:type="dxa"/>
            <w:vAlign w:val="center"/>
          </w:tcPr>
          <w:p w:rsidR="006F4DE5" w:rsidRDefault="00A42746">
            <w:pPr>
              <w:jc w:val="center"/>
            </w:pPr>
            <w:r>
              <w:rPr>
                <w:color w:val="000000"/>
                <w:sz w:val="24"/>
                <w:szCs w:val="24"/>
              </w:rPr>
              <w:t>300347</w:t>
            </w:r>
          </w:p>
        </w:tc>
        <w:tc>
          <w:tcPr>
            <w:tcW w:w="1777" w:type="dxa"/>
            <w:vAlign w:val="center"/>
          </w:tcPr>
          <w:p w:rsidR="006F4DE5" w:rsidRDefault="00A42746">
            <w:pPr>
              <w:jc w:val="center"/>
            </w:pPr>
            <w:r>
              <w:rPr>
                <w:color w:val="000000"/>
                <w:sz w:val="24"/>
                <w:szCs w:val="24"/>
              </w:rPr>
              <w:t>泰格医药</w:t>
            </w:r>
          </w:p>
        </w:tc>
        <w:tc>
          <w:tcPr>
            <w:tcW w:w="1334" w:type="dxa"/>
            <w:vAlign w:val="center"/>
          </w:tcPr>
          <w:p w:rsidR="006F4DE5" w:rsidRDefault="00A42746">
            <w:pPr>
              <w:jc w:val="right"/>
            </w:pPr>
            <w:r>
              <w:rPr>
                <w:color w:val="000000"/>
                <w:sz w:val="24"/>
                <w:szCs w:val="24"/>
              </w:rPr>
              <w:t>2,384,299</w:t>
            </w:r>
          </w:p>
        </w:tc>
        <w:tc>
          <w:tcPr>
            <w:tcW w:w="1924" w:type="dxa"/>
            <w:vAlign w:val="center"/>
          </w:tcPr>
          <w:p w:rsidR="006F4DE5" w:rsidRDefault="00A42746">
            <w:pPr>
              <w:jc w:val="right"/>
            </w:pPr>
            <w:r>
              <w:rPr>
                <w:color w:val="000000"/>
                <w:sz w:val="24"/>
                <w:szCs w:val="24"/>
              </w:rPr>
              <w:t>83,879,638.82</w:t>
            </w:r>
          </w:p>
        </w:tc>
        <w:tc>
          <w:tcPr>
            <w:tcW w:w="1644" w:type="dxa"/>
            <w:vAlign w:val="center"/>
          </w:tcPr>
          <w:p w:rsidR="006F4DE5" w:rsidRDefault="00A42746">
            <w:pPr>
              <w:jc w:val="right"/>
            </w:pPr>
            <w:r>
              <w:rPr>
                <w:color w:val="000000"/>
                <w:sz w:val="24"/>
                <w:szCs w:val="24"/>
              </w:rPr>
              <w:t>9.33</w:t>
            </w:r>
          </w:p>
        </w:tc>
      </w:tr>
      <w:tr w:rsidR="006F4DE5">
        <w:trPr>
          <w:jc w:val="center"/>
        </w:trPr>
        <w:tc>
          <w:tcPr>
            <w:tcW w:w="855" w:type="dxa"/>
            <w:vAlign w:val="center"/>
          </w:tcPr>
          <w:p w:rsidR="006F4DE5" w:rsidRDefault="00A42746">
            <w:pPr>
              <w:jc w:val="center"/>
            </w:pPr>
            <w:r>
              <w:rPr>
                <w:color w:val="000000"/>
                <w:sz w:val="24"/>
                <w:szCs w:val="24"/>
              </w:rPr>
              <w:t>3</w:t>
            </w:r>
          </w:p>
        </w:tc>
        <w:tc>
          <w:tcPr>
            <w:tcW w:w="1334" w:type="dxa"/>
            <w:vAlign w:val="center"/>
          </w:tcPr>
          <w:p w:rsidR="006F4DE5" w:rsidRDefault="00A42746">
            <w:pPr>
              <w:jc w:val="center"/>
            </w:pPr>
            <w:r>
              <w:rPr>
                <w:color w:val="000000"/>
                <w:sz w:val="24"/>
                <w:szCs w:val="24"/>
              </w:rPr>
              <w:t>300279</w:t>
            </w:r>
          </w:p>
        </w:tc>
        <w:tc>
          <w:tcPr>
            <w:tcW w:w="1777" w:type="dxa"/>
            <w:vAlign w:val="center"/>
          </w:tcPr>
          <w:p w:rsidR="006F4DE5" w:rsidRDefault="00A42746">
            <w:pPr>
              <w:jc w:val="center"/>
            </w:pPr>
            <w:r>
              <w:rPr>
                <w:color w:val="000000"/>
                <w:sz w:val="24"/>
                <w:szCs w:val="24"/>
              </w:rPr>
              <w:t>和晶科技</w:t>
            </w:r>
          </w:p>
        </w:tc>
        <w:tc>
          <w:tcPr>
            <w:tcW w:w="1334" w:type="dxa"/>
            <w:vAlign w:val="center"/>
          </w:tcPr>
          <w:p w:rsidR="006F4DE5" w:rsidRDefault="00A42746">
            <w:pPr>
              <w:jc w:val="right"/>
            </w:pPr>
            <w:r>
              <w:rPr>
                <w:color w:val="000000"/>
                <w:sz w:val="24"/>
                <w:szCs w:val="24"/>
              </w:rPr>
              <w:t>6,482,473</w:t>
            </w:r>
          </w:p>
        </w:tc>
        <w:tc>
          <w:tcPr>
            <w:tcW w:w="1924" w:type="dxa"/>
            <w:vAlign w:val="center"/>
          </w:tcPr>
          <w:p w:rsidR="006F4DE5" w:rsidRDefault="00A42746">
            <w:pPr>
              <w:jc w:val="right"/>
            </w:pPr>
            <w:r>
              <w:rPr>
                <w:color w:val="000000"/>
                <w:sz w:val="24"/>
                <w:szCs w:val="24"/>
              </w:rPr>
              <w:t>81,938,458.72</w:t>
            </w:r>
          </w:p>
        </w:tc>
        <w:tc>
          <w:tcPr>
            <w:tcW w:w="1644" w:type="dxa"/>
            <w:vAlign w:val="center"/>
          </w:tcPr>
          <w:p w:rsidR="006F4DE5" w:rsidRDefault="00A42746">
            <w:pPr>
              <w:jc w:val="right"/>
            </w:pPr>
            <w:r>
              <w:rPr>
                <w:color w:val="000000"/>
                <w:sz w:val="24"/>
                <w:szCs w:val="24"/>
              </w:rPr>
              <w:t>9.11</w:t>
            </w:r>
          </w:p>
        </w:tc>
      </w:tr>
      <w:tr w:rsidR="006F4DE5">
        <w:trPr>
          <w:jc w:val="center"/>
        </w:trPr>
        <w:tc>
          <w:tcPr>
            <w:tcW w:w="855" w:type="dxa"/>
            <w:vAlign w:val="center"/>
          </w:tcPr>
          <w:p w:rsidR="006F4DE5" w:rsidRDefault="00A42746">
            <w:pPr>
              <w:jc w:val="center"/>
            </w:pPr>
            <w:r>
              <w:rPr>
                <w:color w:val="000000"/>
                <w:sz w:val="24"/>
                <w:szCs w:val="24"/>
              </w:rPr>
              <w:t>4</w:t>
            </w:r>
          </w:p>
        </w:tc>
        <w:tc>
          <w:tcPr>
            <w:tcW w:w="1334" w:type="dxa"/>
            <w:vAlign w:val="center"/>
          </w:tcPr>
          <w:p w:rsidR="006F4DE5" w:rsidRDefault="00A42746">
            <w:pPr>
              <w:jc w:val="center"/>
            </w:pPr>
            <w:r>
              <w:rPr>
                <w:color w:val="000000"/>
                <w:sz w:val="24"/>
                <w:szCs w:val="24"/>
              </w:rPr>
              <w:t>002599</w:t>
            </w:r>
          </w:p>
        </w:tc>
        <w:tc>
          <w:tcPr>
            <w:tcW w:w="1777" w:type="dxa"/>
            <w:vAlign w:val="center"/>
          </w:tcPr>
          <w:p w:rsidR="006F4DE5" w:rsidRDefault="00A42746">
            <w:pPr>
              <w:jc w:val="center"/>
            </w:pPr>
            <w:r>
              <w:rPr>
                <w:color w:val="000000"/>
                <w:sz w:val="24"/>
                <w:szCs w:val="24"/>
              </w:rPr>
              <w:t>盛通股份</w:t>
            </w:r>
          </w:p>
        </w:tc>
        <w:tc>
          <w:tcPr>
            <w:tcW w:w="1334" w:type="dxa"/>
            <w:vAlign w:val="center"/>
          </w:tcPr>
          <w:p w:rsidR="006F4DE5" w:rsidRDefault="00A42746">
            <w:pPr>
              <w:jc w:val="right"/>
            </w:pPr>
            <w:r>
              <w:rPr>
                <w:color w:val="000000"/>
                <w:sz w:val="24"/>
                <w:szCs w:val="24"/>
              </w:rPr>
              <w:t>6,614,712</w:t>
            </w:r>
          </w:p>
        </w:tc>
        <w:tc>
          <w:tcPr>
            <w:tcW w:w="1924" w:type="dxa"/>
            <w:vAlign w:val="center"/>
          </w:tcPr>
          <w:p w:rsidR="006F4DE5" w:rsidRDefault="00A42746">
            <w:pPr>
              <w:jc w:val="right"/>
            </w:pPr>
            <w:r>
              <w:rPr>
                <w:color w:val="000000"/>
                <w:sz w:val="24"/>
                <w:szCs w:val="24"/>
              </w:rPr>
              <w:t>78,119,748.72</w:t>
            </w:r>
          </w:p>
        </w:tc>
        <w:tc>
          <w:tcPr>
            <w:tcW w:w="1644" w:type="dxa"/>
            <w:vAlign w:val="center"/>
          </w:tcPr>
          <w:p w:rsidR="006F4DE5" w:rsidRDefault="00A42746">
            <w:pPr>
              <w:jc w:val="right"/>
            </w:pPr>
            <w:r>
              <w:rPr>
                <w:color w:val="000000"/>
                <w:sz w:val="24"/>
                <w:szCs w:val="24"/>
              </w:rPr>
              <w:t>8.69</w:t>
            </w:r>
          </w:p>
        </w:tc>
      </w:tr>
      <w:tr w:rsidR="006F4DE5">
        <w:trPr>
          <w:jc w:val="center"/>
        </w:trPr>
        <w:tc>
          <w:tcPr>
            <w:tcW w:w="855" w:type="dxa"/>
            <w:vAlign w:val="center"/>
          </w:tcPr>
          <w:p w:rsidR="006F4DE5" w:rsidRDefault="00A42746">
            <w:pPr>
              <w:jc w:val="center"/>
            </w:pPr>
            <w:r>
              <w:rPr>
                <w:color w:val="000000"/>
                <w:sz w:val="24"/>
                <w:szCs w:val="24"/>
              </w:rPr>
              <w:t>5</w:t>
            </w:r>
          </w:p>
        </w:tc>
        <w:tc>
          <w:tcPr>
            <w:tcW w:w="1334" w:type="dxa"/>
            <w:vAlign w:val="center"/>
          </w:tcPr>
          <w:p w:rsidR="006F4DE5" w:rsidRDefault="00A42746">
            <w:pPr>
              <w:jc w:val="center"/>
            </w:pPr>
            <w:r>
              <w:rPr>
                <w:color w:val="000000"/>
                <w:sz w:val="24"/>
                <w:szCs w:val="24"/>
              </w:rPr>
              <w:t>600693</w:t>
            </w:r>
          </w:p>
        </w:tc>
        <w:tc>
          <w:tcPr>
            <w:tcW w:w="1777" w:type="dxa"/>
            <w:vAlign w:val="center"/>
          </w:tcPr>
          <w:p w:rsidR="006F4DE5" w:rsidRDefault="00A42746">
            <w:pPr>
              <w:jc w:val="center"/>
            </w:pPr>
            <w:r>
              <w:rPr>
                <w:color w:val="000000"/>
                <w:sz w:val="24"/>
                <w:szCs w:val="24"/>
              </w:rPr>
              <w:t>东百集团</w:t>
            </w:r>
          </w:p>
        </w:tc>
        <w:tc>
          <w:tcPr>
            <w:tcW w:w="1334" w:type="dxa"/>
            <w:vAlign w:val="center"/>
          </w:tcPr>
          <w:p w:rsidR="006F4DE5" w:rsidRDefault="00A42746">
            <w:pPr>
              <w:jc w:val="right"/>
            </w:pPr>
            <w:r>
              <w:rPr>
                <w:color w:val="000000"/>
                <w:sz w:val="24"/>
                <w:szCs w:val="24"/>
              </w:rPr>
              <w:t>7,167,019</w:t>
            </w:r>
          </w:p>
        </w:tc>
        <w:tc>
          <w:tcPr>
            <w:tcW w:w="1924" w:type="dxa"/>
            <w:vAlign w:val="center"/>
          </w:tcPr>
          <w:p w:rsidR="006F4DE5" w:rsidRDefault="00A42746">
            <w:pPr>
              <w:jc w:val="right"/>
            </w:pPr>
            <w:r>
              <w:rPr>
                <w:color w:val="000000"/>
                <w:sz w:val="24"/>
                <w:szCs w:val="24"/>
              </w:rPr>
              <w:t>73,533,614.94</w:t>
            </w:r>
          </w:p>
        </w:tc>
        <w:tc>
          <w:tcPr>
            <w:tcW w:w="1644" w:type="dxa"/>
            <w:vAlign w:val="center"/>
          </w:tcPr>
          <w:p w:rsidR="006F4DE5" w:rsidRDefault="00A42746">
            <w:pPr>
              <w:jc w:val="right"/>
            </w:pPr>
            <w:r>
              <w:rPr>
                <w:color w:val="000000"/>
                <w:sz w:val="24"/>
                <w:szCs w:val="24"/>
              </w:rPr>
              <w:t>8.18</w:t>
            </w:r>
          </w:p>
        </w:tc>
      </w:tr>
      <w:tr w:rsidR="006F4DE5">
        <w:trPr>
          <w:jc w:val="center"/>
        </w:trPr>
        <w:tc>
          <w:tcPr>
            <w:tcW w:w="855" w:type="dxa"/>
            <w:vAlign w:val="center"/>
          </w:tcPr>
          <w:p w:rsidR="006F4DE5" w:rsidRDefault="00A42746">
            <w:pPr>
              <w:jc w:val="center"/>
            </w:pPr>
            <w:r>
              <w:rPr>
                <w:color w:val="000000"/>
                <w:sz w:val="24"/>
                <w:szCs w:val="24"/>
              </w:rPr>
              <w:t>6</w:t>
            </w:r>
          </w:p>
        </w:tc>
        <w:tc>
          <w:tcPr>
            <w:tcW w:w="1334" w:type="dxa"/>
            <w:vAlign w:val="center"/>
          </w:tcPr>
          <w:p w:rsidR="006F4DE5" w:rsidRDefault="00A42746">
            <w:pPr>
              <w:jc w:val="center"/>
            </w:pPr>
            <w:r>
              <w:rPr>
                <w:color w:val="000000"/>
                <w:sz w:val="24"/>
                <w:szCs w:val="24"/>
              </w:rPr>
              <w:t>300271</w:t>
            </w:r>
          </w:p>
        </w:tc>
        <w:tc>
          <w:tcPr>
            <w:tcW w:w="1777" w:type="dxa"/>
            <w:vAlign w:val="center"/>
          </w:tcPr>
          <w:p w:rsidR="006F4DE5" w:rsidRDefault="00A42746">
            <w:pPr>
              <w:jc w:val="center"/>
            </w:pPr>
            <w:r>
              <w:rPr>
                <w:color w:val="000000"/>
                <w:sz w:val="24"/>
                <w:szCs w:val="24"/>
              </w:rPr>
              <w:t>华宇软件</w:t>
            </w:r>
          </w:p>
        </w:tc>
        <w:tc>
          <w:tcPr>
            <w:tcW w:w="1334" w:type="dxa"/>
            <w:vAlign w:val="center"/>
          </w:tcPr>
          <w:p w:rsidR="006F4DE5" w:rsidRDefault="00A42746">
            <w:pPr>
              <w:jc w:val="right"/>
            </w:pPr>
            <w:r>
              <w:rPr>
                <w:color w:val="000000"/>
                <w:sz w:val="24"/>
                <w:szCs w:val="24"/>
              </w:rPr>
              <w:t>4,727,393</w:t>
            </w:r>
          </w:p>
        </w:tc>
        <w:tc>
          <w:tcPr>
            <w:tcW w:w="1924" w:type="dxa"/>
            <w:vAlign w:val="center"/>
          </w:tcPr>
          <w:p w:rsidR="006F4DE5" w:rsidRDefault="00A42746">
            <w:pPr>
              <w:jc w:val="right"/>
            </w:pPr>
            <w:r>
              <w:rPr>
                <w:color w:val="000000"/>
                <w:sz w:val="24"/>
                <w:szCs w:val="24"/>
              </w:rPr>
              <w:t>70,343,607.84</w:t>
            </w:r>
          </w:p>
        </w:tc>
        <w:tc>
          <w:tcPr>
            <w:tcW w:w="1644" w:type="dxa"/>
            <w:vAlign w:val="center"/>
          </w:tcPr>
          <w:p w:rsidR="006F4DE5" w:rsidRDefault="00A42746">
            <w:pPr>
              <w:jc w:val="right"/>
            </w:pPr>
            <w:r>
              <w:rPr>
                <w:color w:val="000000"/>
                <w:sz w:val="24"/>
                <w:szCs w:val="24"/>
              </w:rPr>
              <w:t>7.82</w:t>
            </w:r>
          </w:p>
        </w:tc>
      </w:tr>
      <w:tr w:rsidR="006F4DE5">
        <w:trPr>
          <w:jc w:val="center"/>
        </w:trPr>
        <w:tc>
          <w:tcPr>
            <w:tcW w:w="855" w:type="dxa"/>
            <w:vAlign w:val="center"/>
          </w:tcPr>
          <w:p w:rsidR="006F4DE5" w:rsidRDefault="00A42746">
            <w:pPr>
              <w:jc w:val="center"/>
            </w:pPr>
            <w:r>
              <w:rPr>
                <w:color w:val="000000"/>
                <w:sz w:val="24"/>
                <w:szCs w:val="24"/>
              </w:rPr>
              <w:t>7</w:t>
            </w:r>
          </w:p>
        </w:tc>
        <w:tc>
          <w:tcPr>
            <w:tcW w:w="1334" w:type="dxa"/>
            <w:vAlign w:val="center"/>
          </w:tcPr>
          <w:p w:rsidR="006F4DE5" w:rsidRDefault="00A42746">
            <w:pPr>
              <w:jc w:val="center"/>
            </w:pPr>
            <w:r>
              <w:rPr>
                <w:color w:val="000000"/>
                <w:sz w:val="24"/>
                <w:szCs w:val="24"/>
              </w:rPr>
              <w:t>300447</w:t>
            </w:r>
          </w:p>
        </w:tc>
        <w:tc>
          <w:tcPr>
            <w:tcW w:w="1777" w:type="dxa"/>
            <w:vAlign w:val="center"/>
          </w:tcPr>
          <w:p w:rsidR="006F4DE5" w:rsidRDefault="00A42746">
            <w:pPr>
              <w:jc w:val="center"/>
            </w:pPr>
            <w:r>
              <w:rPr>
                <w:color w:val="000000"/>
                <w:sz w:val="24"/>
                <w:szCs w:val="24"/>
              </w:rPr>
              <w:t>全信股份</w:t>
            </w:r>
          </w:p>
        </w:tc>
        <w:tc>
          <w:tcPr>
            <w:tcW w:w="1334" w:type="dxa"/>
            <w:vAlign w:val="center"/>
          </w:tcPr>
          <w:p w:rsidR="006F4DE5" w:rsidRDefault="00A42746">
            <w:pPr>
              <w:jc w:val="right"/>
            </w:pPr>
            <w:r>
              <w:rPr>
                <w:color w:val="000000"/>
                <w:sz w:val="24"/>
                <w:szCs w:val="24"/>
              </w:rPr>
              <w:t>2,883,948</w:t>
            </w:r>
          </w:p>
        </w:tc>
        <w:tc>
          <w:tcPr>
            <w:tcW w:w="1924" w:type="dxa"/>
            <w:vAlign w:val="center"/>
          </w:tcPr>
          <w:p w:rsidR="006F4DE5" w:rsidRDefault="00A42746">
            <w:pPr>
              <w:jc w:val="right"/>
            </w:pPr>
            <w:r>
              <w:rPr>
                <w:color w:val="000000"/>
                <w:sz w:val="24"/>
                <w:szCs w:val="24"/>
              </w:rPr>
              <w:t>54,304,740.84</w:t>
            </w:r>
          </w:p>
        </w:tc>
        <w:tc>
          <w:tcPr>
            <w:tcW w:w="1644" w:type="dxa"/>
            <w:vAlign w:val="center"/>
          </w:tcPr>
          <w:p w:rsidR="006F4DE5" w:rsidRDefault="00A42746">
            <w:pPr>
              <w:jc w:val="right"/>
            </w:pPr>
            <w:r>
              <w:rPr>
                <w:color w:val="000000"/>
                <w:sz w:val="24"/>
                <w:szCs w:val="24"/>
              </w:rPr>
              <w:t>6.04</w:t>
            </w:r>
          </w:p>
        </w:tc>
      </w:tr>
      <w:tr w:rsidR="006F4DE5">
        <w:trPr>
          <w:jc w:val="center"/>
        </w:trPr>
        <w:tc>
          <w:tcPr>
            <w:tcW w:w="855" w:type="dxa"/>
            <w:vAlign w:val="center"/>
          </w:tcPr>
          <w:p w:rsidR="006F4DE5" w:rsidRDefault="00A42746">
            <w:pPr>
              <w:jc w:val="center"/>
            </w:pPr>
            <w:r>
              <w:rPr>
                <w:color w:val="000000"/>
                <w:sz w:val="24"/>
                <w:szCs w:val="24"/>
              </w:rPr>
              <w:t>8</w:t>
            </w:r>
          </w:p>
        </w:tc>
        <w:tc>
          <w:tcPr>
            <w:tcW w:w="1334" w:type="dxa"/>
            <w:vAlign w:val="center"/>
          </w:tcPr>
          <w:p w:rsidR="006F4DE5" w:rsidRDefault="00A42746">
            <w:pPr>
              <w:jc w:val="center"/>
            </w:pPr>
            <w:r>
              <w:rPr>
                <w:color w:val="000000"/>
                <w:sz w:val="24"/>
                <w:szCs w:val="24"/>
              </w:rPr>
              <w:t>002094</w:t>
            </w:r>
          </w:p>
        </w:tc>
        <w:tc>
          <w:tcPr>
            <w:tcW w:w="1777" w:type="dxa"/>
            <w:vAlign w:val="center"/>
          </w:tcPr>
          <w:p w:rsidR="006F4DE5" w:rsidRDefault="00A42746">
            <w:pPr>
              <w:jc w:val="center"/>
            </w:pPr>
            <w:r>
              <w:rPr>
                <w:color w:val="000000"/>
                <w:sz w:val="24"/>
                <w:szCs w:val="24"/>
              </w:rPr>
              <w:t>青岛金王</w:t>
            </w:r>
          </w:p>
        </w:tc>
        <w:tc>
          <w:tcPr>
            <w:tcW w:w="1334" w:type="dxa"/>
            <w:vAlign w:val="center"/>
          </w:tcPr>
          <w:p w:rsidR="006F4DE5" w:rsidRDefault="00A42746">
            <w:pPr>
              <w:jc w:val="right"/>
            </w:pPr>
            <w:r>
              <w:rPr>
                <w:color w:val="000000"/>
                <w:sz w:val="24"/>
                <w:szCs w:val="24"/>
              </w:rPr>
              <w:t>2,667,725</w:t>
            </w:r>
          </w:p>
        </w:tc>
        <w:tc>
          <w:tcPr>
            <w:tcW w:w="1924" w:type="dxa"/>
            <w:vAlign w:val="center"/>
          </w:tcPr>
          <w:p w:rsidR="006F4DE5" w:rsidRDefault="00A42746">
            <w:pPr>
              <w:jc w:val="right"/>
            </w:pPr>
            <w:r>
              <w:rPr>
                <w:color w:val="000000"/>
                <w:sz w:val="24"/>
                <w:szCs w:val="24"/>
              </w:rPr>
              <w:t>46,925,282.75</w:t>
            </w:r>
          </w:p>
        </w:tc>
        <w:tc>
          <w:tcPr>
            <w:tcW w:w="1644" w:type="dxa"/>
            <w:vAlign w:val="center"/>
          </w:tcPr>
          <w:p w:rsidR="006F4DE5" w:rsidRDefault="00A42746">
            <w:pPr>
              <w:jc w:val="right"/>
            </w:pPr>
            <w:r>
              <w:rPr>
                <w:color w:val="000000"/>
                <w:sz w:val="24"/>
                <w:szCs w:val="24"/>
              </w:rPr>
              <w:t>5.22</w:t>
            </w:r>
          </w:p>
        </w:tc>
      </w:tr>
      <w:tr w:rsidR="006F4DE5">
        <w:trPr>
          <w:jc w:val="center"/>
        </w:trPr>
        <w:tc>
          <w:tcPr>
            <w:tcW w:w="855" w:type="dxa"/>
            <w:vAlign w:val="center"/>
          </w:tcPr>
          <w:p w:rsidR="006F4DE5" w:rsidRDefault="00A42746">
            <w:pPr>
              <w:jc w:val="center"/>
            </w:pPr>
            <w:r>
              <w:rPr>
                <w:color w:val="000000"/>
                <w:sz w:val="24"/>
                <w:szCs w:val="24"/>
              </w:rPr>
              <w:t>9</w:t>
            </w:r>
          </w:p>
        </w:tc>
        <w:tc>
          <w:tcPr>
            <w:tcW w:w="1334" w:type="dxa"/>
            <w:vAlign w:val="center"/>
          </w:tcPr>
          <w:p w:rsidR="006F4DE5" w:rsidRDefault="00A42746">
            <w:pPr>
              <w:jc w:val="center"/>
            </w:pPr>
            <w:r>
              <w:rPr>
                <w:color w:val="000000"/>
                <w:sz w:val="24"/>
                <w:szCs w:val="24"/>
              </w:rPr>
              <w:t>603108</w:t>
            </w:r>
          </w:p>
        </w:tc>
        <w:tc>
          <w:tcPr>
            <w:tcW w:w="1777" w:type="dxa"/>
            <w:vAlign w:val="center"/>
          </w:tcPr>
          <w:p w:rsidR="006F4DE5" w:rsidRDefault="00A42746">
            <w:pPr>
              <w:jc w:val="center"/>
            </w:pPr>
            <w:r>
              <w:rPr>
                <w:color w:val="000000"/>
                <w:sz w:val="24"/>
                <w:szCs w:val="24"/>
              </w:rPr>
              <w:t>润达医疗</w:t>
            </w:r>
          </w:p>
        </w:tc>
        <w:tc>
          <w:tcPr>
            <w:tcW w:w="1334" w:type="dxa"/>
            <w:vAlign w:val="center"/>
          </w:tcPr>
          <w:p w:rsidR="006F4DE5" w:rsidRDefault="00A42746">
            <w:pPr>
              <w:jc w:val="right"/>
            </w:pPr>
            <w:r>
              <w:rPr>
                <w:color w:val="000000"/>
                <w:sz w:val="24"/>
                <w:szCs w:val="24"/>
              </w:rPr>
              <w:t>3,532,093</w:t>
            </w:r>
          </w:p>
        </w:tc>
        <w:tc>
          <w:tcPr>
            <w:tcW w:w="1924" w:type="dxa"/>
            <w:vAlign w:val="center"/>
          </w:tcPr>
          <w:p w:rsidR="006F4DE5" w:rsidRDefault="00A42746">
            <w:pPr>
              <w:jc w:val="right"/>
            </w:pPr>
            <w:r>
              <w:rPr>
                <w:color w:val="000000"/>
                <w:sz w:val="24"/>
                <w:szCs w:val="24"/>
              </w:rPr>
              <w:t>43,268,139.25</w:t>
            </w:r>
          </w:p>
        </w:tc>
        <w:tc>
          <w:tcPr>
            <w:tcW w:w="1644" w:type="dxa"/>
            <w:vAlign w:val="center"/>
          </w:tcPr>
          <w:p w:rsidR="006F4DE5" w:rsidRDefault="00A42746">
            <w:pPr>
              <w:jc w:val="right"/>
            </w:pPr>
            <w:r>
              <w:rPr>
                <w:color w:val="000000"/>
                <w:sz w:val="24"/>
                <w:szCs w:val="24"/>
              </w:rPr>
              <w:t>4.81</w:t>
            </w:r>
          </w:p>
        </w:tc>
      </w:tr>
      <w:tr w:rsidR="006F4DE5">
        <w:trPr>
          <w:jc w:val="center"/>
        </w:trPr>
        <w:tc>
          <w:tcPr>
            <w:tcW w:w="855" w:type="dxa"/>
            <w:vAlign w:val="center"/>
          </w:tcPr>
          <w:p w:rsidR="006F4DE5" w:rsidRDefault="00A42746">
            <w:pPr>
              <w:jc w:val="center"/>
            </w:pPr>
            <w:r>
              <w:rPr>
                <w:color w:val="000000"/>
                <w:sz w:val="24"/>
                <w:szCs w:val="24"/>
              </w:rPr>
              <w:t>10</w:t>
            </w:r>
          </w:p>
        </w:tc>
        <w:tc>
          <w:tcPr>
            <w:tcW w:w="1334" w:type="dxa"/>
            <w:vAlign w:val="center"/>
          </w:tcPr>
          <w:p w:rsidR="006F4DE5" w:rsidRDefault="00A42746">
            <w:pPr>
              <w:jc w:val="center"/>
            </w:pPr>
            <w:r>
              <w:rPr>
                <w:color w:val="000000"/>
                <w:sz w:val="24"/>
                <w:szCs w:val="24"/>
              </w:rPr>
              <w:t>603006</w:t>
            </w:r>
          </w:p>
        </w:tc>
        <w:tc>
          <w:tcPr>
            <w:tcW w:w="1777" w:type="dxa"/>
            <w:vAlign w:val="center"/>
          </w:tcPr>
          <w:p w:rsidR="006F4DE5" w:rsidRDefault="00A42746">
            <w:pPr>
              <w:jc w:val="center"/>
            </w:pPr>
            <w:r>
              <w:rPr>
                <w:color w:val="000000"/>
                <w:sz w:val="24"/>
                <w:szCs w:val="24"/>
              </w:rPr>
              <w:t>联明股份</w:t>
            </w:r>
          </w:p>
        </w:tc>
        <w:tc>
          <w:tcPr>
            <w:tcW w:w="1334" w:type="dxa"/>
            <w:vAlign w:val="center"/>
          </w:tcPr>
          <w:p w:rsidR="006F4DE5" w:rsidRDefault="00A42746">
            <w:pPr>
              <w:jc w:val="right"/>
            </w:pPr>
            <w:r>
              <w:rPr>
                <w:color w:val="000000"/>
                <w:sz w:val="24"/>
                <w:szCs w:val="24"/>
              </w:rPr>
              <w:t>2,772,551</w:t>
            </w:r>
          </w:p>
        </w:tc>
        <w:tc>
          <w:tcPr>
            <w:tcW w:w="1924" w:type="dxa"/>
            <w:vAlign w:val="center"/>
          </w:tcPr>
          <w:p w:rsidR="006F4DE5" w:rsidRDefault="00A42746">
            <w:pPr>
              <w:jc w:val="right"/>
            </w:pPr>
            <w:r>
              <w:rPr>
                <w:color w:val="000000"/>
                <w:sz w:val="24"/>
                <w:szCs w:val="24"/>
              </w:rPr>
              <w:t>42,281,402.75</w:t>
            </w:r>
          </w:p>
        </w:tc>
        <w:tc>
          <w:tcPr>
            <w:tcW w:w="1644" w:type="dxa"/>
            <w:vAlign w:val="center"/>
          </w:tcPr>
          <w:p w:rsidR="006F4DE5" w:rsidRDefault="00A42746">
            <w:pPr>
              <w:jc w:val="right"/>
            </w:pPr>
            <w:r>
              <w:rPr>
                <w:color w:val="000000"/>
                <w:sz w:val="24"/>
                <w:szCs w:val="24"/>
              </w:rPr>
              <w:t>4.70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328,192.39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18,844.18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510,933.41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857,969.98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lastRenderedPageBreak/>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999,133,608.99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31,755,069.57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236,492,814.71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794,395,863.85</w:t>
            </w:r>
          </w:p>
        </w:tc>
      </w:tr>
    </w:tbl>
    <w:p w:rsidR="006F4DE5" w:rsidRDefault="00A4274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E49F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EE49FE">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6F4DE5">
        <w:tc>
          <w:tcPr>
            <w:tcW w:w="993" w:type="dxa"/>
            <w:vMerge w:val="restart"/>
          </w:tcPr>
          <w:p w:rsidR="006F4DE5" w:rsidRDefault="006F4DE5"/>
          <w:p w:rsidR="006F4DE5" w:rsidRDefault="00A42746">
            <w:r>
              <w:rPr>
                <w:rFonts w:ascii="宋体" w:hAnsi="宋体" w:hint="eastAsia"/>
                <w:bCs/>
                <w:color w:val="000000"/>
                <w:kern w:val="0"/>
              </w:rPr>
              <w:t>机构</w:t>
            </w:r>
          </w:p>
        </w:tc>
        <w:tc>
          <w:tcPr>
            <w:tcW w:w="992" w:type="dxa"/>
            <w:vAlign w:val="center"/>
          </w:tcPr>
          <w:p w:rsidR="006F4DE5" w:rsidRDefault="00A42746">
            <w:pPr>
              <w:jc w:val="center"/>
            </w:pPr>
            <w:r>
              <w:rPr>
                <w:rFonts w:ascii="宋体" w:hAnsi="宋体"/>
                <w:color w:val="000000"/>
                <w:kern w:val="0"/>
              </w:rPr>
              <w:t>1</w:t>
            </w:r>
          </w:p>
        </w:tc>
        <w:tc>
          <w:tcPr>
            <w:tcW w:w="1843" w:type="dxa"/>
            <w:vAlign w:val="center"/>
          </w:tcPr>
          <w:p w:rsidR="006F4DE5" w:rsidRDefault="00A42746">
            <w:pPr>
              <w:jc w:val="center"/>
            </w:pPr>
            <w:r>
              <w:rPr>
                <w:rFonts w:ascii="宋体" w:hAnsi="宋体"/>
                <w:color w:val="000000"/>
                <w:kern w:val="0"/>
              </w:rPr>
              <w:t>2017/10/1-2017/12/31</w:t>
            </w:r>
          </w:p>
        </w:tc>
        <w:tc>
          <w:tcPr>
            <w:tcW w:w="851" w:type="dxa"/>
            <w:vAlign w:val="center"/>
          </w:tcPr>
          <w:p w:rsidR="006F4DE5" w:rsidRDefault="00A42746">
            <w:pPr>
              <w:jc w:val="center"/>
            </w:pPr>
            <w:r>
              <w:rPr>
                <w:rFonts w:ascii="宋体" w:hAnsi="宋体"/>
                <w:color w:val="000000"/>
                <w:kern w:val="0"/>
              </w:rPr>
              <w:t>227,792,408.05</w:t>
            </w:r>
          </w:p>
        </w:tc>
        <w:tc>
          <w:tcPr>
            <w:tcW w:w="850" w:type="dxa"/>
            <w:vAlign w:val="center"/>
          </w:tcPr>
          <w:p w:rsidR="006F4DE5" w:rsidRDefault="00A42746">
            <w:pPr>
              <w:jc w:val="center"/>
            </w:pPr>
            <w:r>
              <w:rPr>
                <w:rFonts w:ascii="宋体" w:hAnsi="宋体"/>
                <w:color w:val="000000"/>
                <w:kern w:val="0"/>
              </w:rPr>
              <w:t>-</w:t>
            </w:r>
          </w:p>
        </w:tc>
        <w:tc>
          <w:tcPr>
            <w:tcW w:w="1134" w:type="dxa"/>
            <w:vAlign w:val="center"/>
          </w:tcPr>
          <w:p w:rsidR="006F4DE5" w:rsidRDefault="00A42746">
            <w:pPr>
              <w:jc w:val="center"/>
            </w:pPr>
            <w:r>
              <w:rPr>
                <w:rFonts w:ascii="宋体" w:hAnsi="宋体"/>
                <w:color w:val="000000"/>
                <w:kern w:val="0"/>
              </w:rPr>
              <w:t>-</w:t>
            </w:r>
          </w:p>
        </w:tc>
        <w:tc>
          <w:tcPr>
            <w:tcW w:w="1419" w:type="dxa"/>
            <w:vAlign w:val="center"/>
          </w:tcPr>
          <w:p w:rsidR="006F4DE5" w:rsidRDefault="00A42746">
            <w:pPr>
              <w:jc w:val="center"/>
            </w:pPr>
            <w:r>
              <w:rPr>
                <w:rFonts w:ascii="宋体" w:hAnsi="宋体"/>
                <w:color w:val="000000"/>
                <w:kern w:val="0"/>
              </w:rPr>
              <w:t>227,792,408.05</w:t>
            </w:r>
          </w:p>
        </w:tc>
        <w:tc>
          <w:tcPr>
            <w:tcW w:w="1130" w:type="dxa"/>
            <w:vAlign w:val="center"/>
          </w:tcPr>
          <w:p w:rsidR="006F4DE5" w:rsidRDefault="00A42746">
            <w:pPr>
              <w:jc w:val="center"/>
            </w:pPr>
            <w:r>
              <w:rPr>
                <w:rFonts w:ascii="宋体" w:hAnsi="宋体"/>
                <w:color w:val="000000"/>
                <w:kern w:val="0"/>
              </w:rPr>
              <w:t>28.67%</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6F4DE5" w:rsidRDefault="00A42746">
      <w:pPr>
        <w:spacing w:before="29" w:line="288" w:lineRule="auto"/>
        <w:ind w:firstLineChars="200" w:firstLine="480"/>
        <w:rPr>
          <w:color w:val="000000"/>
          <w:sz w:val="24"/>
          <w:szCs w:val="24"/>
        </w:rPr>
      </w:pPr>
      <w:r>
        <w:rPr>
          <w:color w:val="000000"/>
          <w:sz w:val="24"/>
          <w:szCs w:val="24"/>
        </w:rPr>
        <w:lastRenderedPageBreak/>
        <w:t>1</w:t>
      </w:r>
      <w:r>
        <w:rPr>
          <w:color w:val="000000"/>
          <w:sz w:val="24"/>
          <w:szCs w:val="24"/>
        </w:rPr>
        <w:t>、中国证监会核准交银施罗德先锋股票证券投资基金募集的文件；</w:t>
      </w:r>
    </w:p>
    <w:p w:rsidR="006F4DE5" w:rsidRDefault="00A42746">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、《交银施罗德先锋混合型证券投资基金基金合同》；</w:t>
      </w:r>
    </w:p>
    <w:p w:rsidR="006F4DE5" w:rsidRDefault="00A42746">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、《交银施罗德先锋混合型证券投资基金招募说明书》；</w:t>
      </w:r>
    </w:p>
    <w:p w:rsidR="006F4DE5" w:rsidRDefault="00A42746">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、《交银施罗德先锋混合型证券投资基金托管协议》；</w:t>
      </w:r>
    </w:p>
    <w:p w:rsidR="006F4DE5" w:rsidRDefault="00A42746">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6F4DE5" w:rsidRDefault="00A42746">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6F4DE5" w:rsidRDefault="00A42746">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、关于申请募集交银施罗德先锋股票证券投资基金之法律意见书；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、报告期内交银施罗德先锋混合型证券投资基金在指定报刊上各项公告的原稿。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6F4DE5" w:rsidRDefault="00A42746">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746" w:rsidRDefault="00A42746" w:rsidP="00876D65">
      <w:r>
        <w:separator/>
      </w:r>
    </w:p>
  </w:endnote>
  <w:endnote w:type="continuationSeparator" w:id="0">
    <w:p w:rsidR="00A42746" w:rsidRDefault="00A42746"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1F2748">
      <w:rPr>
        <w:noProof/>
        <w:kern w:val="0"/>
        <w:szCs w:val="21"/>
      </w:rPr>
      <w:t>1</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1F2748">
      <w:rPr>
        <w:noProof/>
        <w:kern w:val="0"/>
        <w:szCs w:val="21"/>
      </w:rPr>
      <w:t>11</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746" w:rsidRDefault="00A42746" w:rsidP="00876D65">
      <w:r>
        <w:separator/>
      </w:r>
    </w:p>
  </w:footnote>
  <w:footnote w:type="continuationSeparator" w:id="0">
    <w:p w:rsidR="00A42746" w:rsidRDefault="00A42746"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2748"/>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4DE5"/>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2746"/>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65CE75-A294-49D5-921C-3779DA20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F75DF-D038-41C9-BDC9-9D58EDC99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11</Pages>
  <Words>998</Words>
  <Characters>5695</Characters>
  <Application>Microsoft Office Word</Application>
  <DocSecurity>0</DocSecurity>
  <Lines>47</Lines>
  <Paragraphs>13</Paragraphs>
  <ScaleCrop>false</ScaleCrop>
  <Company/>
  <LinksUpToDate>false</LinksUpToDate>
  <CharactersWithSpaces>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荣华</cp:lastModifiedBy>
  <cp:revision>566</cp:revision>
  <dcterms:created xsi:type="dcterms:W3CDTF">2012-10-16T06:07:00Z</dcterms:created>
  <dcterms:modified xsi:type="dcterms:W3CDTF">2018-01-18T05:35:00Z</dcterms:modified>
</cp:coreProperties>
</file>