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交银施罗德增利债券证券投资基金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二〇一八年一月二十二日</w:t>
      </w:r>
    </w:p>
    <w:p w:rsidR="009238DB" w:rsidRPr="007F52FA" w:rsidRDefault="009238DB" w:rsidP="00BE251D">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交银增利债券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519680</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2008</w:t>
            </w:r>
            <w:r w:rsidRPr="007F52FA">
              <w:rPr>
                <w:color w:val="000000"/>
                <w:kern w:val="0"/>
                <w:sz w:val="24"/>
              </w:rPr>
              <w:t>年</w:t>
            </w:r>
            <w:r w:rsidRPr="007F52FA">
              <w:rPr>
                <w:color w:val="000000"/>
                <w:kern w:val="0"/>
                <w:sz w:val="24"/>
              </w:rPr>
              <w:t>3</w:t>
            </w:r>
            <w:r w:rsidRPr="007F52FA">
              <w:rPr>
                <w:color w:val="000000"/>
                <w:kern w:val="0"/>
                <w:sz w:val="24"/>
              </w:rPr>
              <w:t>月</w:t>
            </w:r>
            <w:r w:rsidRPr="007F52FA">
              <w:rPr>
                <w:color w:val="000000"/>
                <w:kern w:val="0"/>
                <w:sz w:val="24"/>
              </w:rPr>
              <w:t>31</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355,505,739.46</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根据宏观经济运行状况和金融市场的运行趋势，自上而下进行宏观分析，自下而上精选个券，在控制信用风险、利率风险、流动性风险前提下，主要通过投资承担一定信用风险、具有较高息票率的债券，实现基金资产的长期稳定增长。</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本基金在分析和判断宏观经济运行状况和金融市场运行趋势的基础上，动态调整大类金融资产比例，自上而下决定债券组合久期、期限结构配置及债券类别配置，自下而上地配置债券类属和精选个券。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中债企业债总指数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本基金是一只债券型基金，在证券投资基金中属于中等风险的品种，其长期平均风险和预期收益高于货币市场基金，低于股票型基金。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交银增利债券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交银增利债券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519680</w:t>
            </w:r>
            <w:r w:rsidRPr="007F52FA">
              <w:rPr>
                <w:color w:val="000000" w:themeColor="text1"/>
                <w:sz w:val="24"/>
              </w:rPr>
              <w:t>（前端）、</w:t>
            </w:r>
            <w:r w:rsidRPr="007F52FA">
              <w:rPr>
                <w:color w:val="000000" w:themeColor="text1"/>
                <w:sz w:val="24"/>
              </w:rPr>
              <w:t>519681</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519682</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271,193,278.42</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84,312,461.04</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交银增利债券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交银增利债券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2,781,724.69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752,043.56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-2,757,940.67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-923,593.62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-0.0094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-0.0106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261,810,000.21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80,884,983.90</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0.9654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0.9593</w:t>
            </w:r>
          </w:p>
        </w:tc>
      </w:tr>
    </w:tbl>
    <w:p w:rsidR="00DA647F" w:rsidRDefault="008476CC">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交银增利债券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lastRenderedPageBreak/>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A647F">
        <w:trPr>
          <w:jc w:val="center"/>
        </w:trPr>
        <w:tc>
          <w:tcPr>
            <w:tcW w:w="1266" w:type="dxa"/>
            <w:vAlign w:val="center"/>
          </w:tcPr>
          <w:p w:rsidR="00DA647F" w:rsidRDefault="008476CC">
            <w:pPr>
              <w:jc w:val="left"/>
            </w:pPr>
            <w:r>
              <w:rPr>
                <w:color w:val="000000"/>
                <w:sz w:val="24"/>
              </w:rPr>
              <w:t>过去三个月</w:t>
            </w:r>
          </w:p>
        </w:tc>
        <w:tc>
          <w:tcPr>
            <w:tcW w:w="1267" w:type="dxa"/>
            <w:vAlign w:val="center"/>
          </w:tcPr>
          <w:p w:rsidR="00DA647F" w:rsidRDefault="008476CC">
            <w:pPr>
              <w:jc w:val="center"/>
            </w:pPr>
            <w:r>
              <w:rPr>
                <w:color w:val="000000"/>
                <w:sz w:val="24"/>
              </w:rPr>
              <w:t>-0.99%</w:t>
            </w:r>
          </w:p>
        </w:tc>
        <w:tc>
          <w:tcPr>
            <w:tcW w:w="1267" w:type="dxa"/>
            <w:vAlign w:val="center"/>
          </w:tcPr>
          <w:p w:rsidR="00DA647F" w:rsidRDefault="008476CC">
            <w:pPr>
              <w:jc w:val="center"/>
            </w:pPr>
            <w:r>
              <w:rPr>
                <w:color w:val="000000"/>
                <w:sz w:val="24"/>
              </w:rPr>
              <w:t>0.06%</w:t>
            </w:r>
          </w:p>
        </w:tc>
        <w:tc>
          <w:tcPr>
            <w:tcW w:w="1267" w:type="dxa"/>
            <w:vAlign w:val="center"/>
          </w:tcPr>
          <w:p w:rsidR="00DA647F" w:rsidRDefault="008476CC">
            <w:pPr>
              <w:jc w:val="center"/>
            </w:pPr>
            <w:r>
              <w:rPr>
                <w:color w:val="000000"/>
                <w:sz w:val="24"/>
              </w:rPr>
              <w:t>-1.52%</w:t>
            </w:r>
          </w:p>
        </w:tc>
        <w:tc>
          <w:tcPr>
            <w:tcW w:w="1267" w:type="dxa"/>
            <w:vAlign w:val="center"/>
          </w:tcPr>
          <w:p w:rsidR="00DA647F" w:rsidRDefault="008476CC">
            <w:pPr>
              <w:jc w:val="center"/>
            </w:pPr>
            <w:r>
              <w:rPr>
                <w:color w:val="000000"/>
                <w:sz w:val="24"/>
              </w:rPr>
              <w:t>0.05%</w:t>
            </w:r>
          </w:p>
        </w:tc>
        <w:tc>
          <w:tcPr>
            <w:tcW w:w="1267" w:type="dxa"/>
            <w:vAlign w:val="center"/>
          </w:tcPr>
          <w:p w:rsidR="00DA647F" w:rsidRDefault="008476CC">
            <w:pPr>
              <w:jc w:val="center"/>
            </w:pPr>
            <w:r>
              <w:rPr>
                <w:color w:val="000000"/>
                <w:sz w:val="24"/>
              </w:rPr>
              <w:t>0.53%</w:t>
            </w:r>
          </w:p>
        </w:tc>
        <w:tc>
          <w:tcPr>
            <w:tcW w:w="1267" w:type="dxa"/>
            <w:vAlign w:val="center"/>
          </w:tcPr>
          <w:p w:rsidR="00DA647F" w:rsidRDefault="008476CC">
            <w:pPr>
              <w:jc w:val="center"/>
            </w:pPr>
            <w:r>
              <w:rPr>
                <w:color w:val="000000"/>
                <w:sz w:val="24"/>
              </w:rPr>
              <w:t>0.01%</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交银增利债券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DA647F">
        <w:trPr>
          <w:jc w:val="center"/>
        </w:trPr>
        <w:tc>
          <w:tcPr>
            <w:tcW w:w="1266" w:type="dxa"/>
            <w:vAlign w:val="center"/>
          </w:tcPr>
          <w:p w:rsidR="00DA647F" w:rsidRDefault="008476CC">
            <w:pPr>
              <w:jc w:val="left"/>
            </w:pPr>
            <w:r>
              <w:rPr>
                <w:color w:val="000000"/>
                <w:sz w:val="24"/>
              </w:rPr>
              <w:t>过去三个月</w:t>
            </w:r>
          </w:p>
        </w:tc>
        <w:tc>
          <w:tcPr>
            <w:tcW w:w="1267" w:type="dxa"/>
            <w:vAlign w:val="center"/>
          </w:tcPr>
          <w:p w:rsidR="00DA647F" w:rsidRDefault="008476CC">
            <w:pPr>
              <w:jc w:val="center"/>
            </w:pPr>
            <w:r>
              <w:rPr>
                <w:color w:val="000000"/>
                <w:sz w:val="24"/>
              </w:rPr>
              <w:t>-1.10%</w:t>
            </w:r>
          </w:p>
        </w:tc>
        <w:tc>
          <w:tcPr>
            <w:tcW w:w="1267" w:type="dxa"/>
            <w:vAlign w:val="center"/>
          </w:tcPr>
          <w:p w:rsidR="00DA647F" w:rsidRDefault="008476CC">
            <w:pPr>
              <w:jc w:val="center"/>
            </w:pPr>
            <w:r>
              <w:rPr>
                <w:color w:val="000000"/>
                <w:sz w:val="24"/>
              </w:rPr>
              <w:t>0.06%</w:t>
            </w:r>
          </w:p>
        </w:tc>
        <w:tc>
          <w:tcPr>
            <w:tcW w:w="1267" w:type="dxa"/>
            <w:vAlign w:val="center"/>
          </w:tcPr>
          <w:p w:rsidR="00DA647F" w:rsidRDefault="008476CC">
            <w:pPr>
              <w:jc w:val="center"/>
            </w:pPr>
            <w:r>
              <w:rPr>
                <w:color w:val="000000"/>
                <w:sz w:val="24"/>
              </w:rPr>
              <w:t>-1.52%</w:t>
            </w:r>
          </w:p>
        </w:tc>
        <w:tc>
          <w:tcPr>
            <w:tcW w:w="1267" w:type="dxa"/>
            <w:vAlign w:val="center"/>
          </w:tcPr>
          <w:p w:rsidR="00DA647F" w:rsidRDefault="008476CC">
            <w:pPr>
              <w:jc w:val="center"/>
            </w:pPr>
            <w:r>
              <w:rPr>
                <w:color w:val="000000"/>
                <w:sz w:val="24"/>
              </w:rPr>
              <w:t>0.05%</w:t>
            </w:r>
          </w:p>
        </w:tc>
        <w:tc>
          <w:tcPr>
            <w:tcW w:w="1267" w:type="dxa"/>
            <w:vAlign w:val="center"/>
          </w:tcPr>
          <w:p w:rsidR="00DA647F" w:rsidRDefault="008476CC">
            <w:pPr>
              <w:jc w:val="center"/>
            </w:pPr>
            <w:r>
              <w:rPr>
                <w:color w:val="000000"/>
                <w:sz w:val="24"/>
              </w:rPr>
              <w:t>0.42%</w:t>
            </w:r>
          </w:p>
        </w:tc>
        <w:tc>
          <w:tcPr>
            <w:tcW w:w="1267" w:type="dxa"/>
            <w:vAlign w:val="center"/>
          </w:tcPr>
          <w:p w:rsidR="00DA647F" w:rsidRDefault="008476CC">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交银施罗德增利债券证券投资基金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2008</w:t>
      </w:r>
      <w:r w:rsidR="00D04410" w:rsidRPr="007F52FA">
        <w:rPr>
          <w:rFonts w:ascii="Times New Roman" w:hAnsi="Times New Roman"/>
          <w:sz w:val="24"/>
          <w:szCs w:val="24"/>
        </w:rPr>
        <w:t>年</w:t>
      </w:r>
      <w:r w:rsidR="00D04410" w:rsidRPr="007F52FA">
        <w:rPr>
          <w:rFonts w:ascii="Times New Roman" w:hAnsi="Times New Roman"/>
          <w:sz w:val="24"/>
          <w:szCs w:val="24"/>
        </w:rPr>
        <w:t>3</w:t>
      </w:r>
      <w:r w:rsidR="00D04410" w:rsidRPr="007F52FA">
        <w:rPr>
          <w:rFonts w:ascii="Times New Roman" w:hAnsi="Times New Roman"/>
          <w:sz w:val="24"/>
          <w:szCs w:val="24"/>
        </w:rPr>
        <w:t>月</w:t>
      </w:r>
      <w:r w:rsidR="00D04410" w:rsidRPr="007F52FA">
        <w:rPr>
          <w:rFonts w:ascii="Times New Roman" w:hAnsi="Times New Roman"/>
          <w:sz w:val="24"/>
          <w:szCs w:val="24"/>
        </w:rPr>
        <w:t>31</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交银增利债券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lastRenderedPageBreak/>
        <w:t>2</w:t>
      </w:r>
      <w:r w:rsidRPr="007F52FA">
        <w:rPr>
          <w:color w:val="000000"/>
          <w:sz w:val="24"/>
        </w:rPr>
        <w:t>．</w:t>
      </w:r>
      <w:r w:rsidR="00FE7FBD" w:rsidRPr="007F52FA">
        <w:rPr>
          <w:color w:val="000000"/>
          <w:sz w:val="24"/>
        </w:rPr>
        <w:t>交银增利债券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DA647F">
        <w:trPr>
          <w:jc w:val="center"/>
        </w:trPr>
        <w:tc>
          <w:tcPr>
            <w:tcW w:w="946" w:type="dxa"/>
            <w:vAlign w:val="center"/>
          </w:tcPr>
          <w:p w:rsidR="00DA647F" w:rsidRDefault="008476CC">
            <w:pPr>
              <w:jc w:val="center"/>
            </w:pPr>
            <w:r>
              <w:rPr>
                <w:color w:val="000000"/>
                <w:sz w:val="24"/>
              </w:rPr>
              <w:t>于海颖</w:t>
            </w:r>
          </w:p>
        </w:tc>
        <w:tc>
          <w:tcPr>
            <w:tcW w:w="924" w:type="dxa"/>
            <w:vAlign w:val="center"/>
          </w:tcPr>
          <w:p w:rsidR="00DA647F" w:rsidRDefault="008476CC">
            <w:pPr>
              <w:jc w:val="center"/>
            </w:pPr>
            <w:r>
              <w:rPr>
                <w:color w:val="000000"/>
                <w:sz w:val="24"/>
              </w:rPr>
              <w:t>交银增利债券、交银纯债债券发起、交银荣祥保本混合、交银定期</w:t>
            </w:r>
            <w:r>
              <w:rPr>
                <w:color w:val="000000"/>
                <w:sz w:val="24"/>
              </w:rPr>
              <w:lastRenderedPageBreak/>
              <w:t>支付月月丰债券、交银增强收益债券、交银强化回报债券、交银丰盈收益债券、交银丰硕收益债券、交银荣鑫保本混合、交银增利增强债券的基金经理，公司固定收益（公募）投资总监</w:t>
            </w:r>
          </w:p>
        </w:tc>
        <w:tc>
          <w:tcPr>
            <w:tcW w:w="1202" w:type="dxa"/>
            <w:vAlign w:val="center"/>
          </w:tcPr>
          <w:p w:rsidR="00DA647F" w:rsidRDefault="008476CC">
            <w:pPr>
              <w:jc w:val="center"/>
            </w:pPr>
            <w:r>
              <w:rPr>
                <w:color w:val="000000"/>
                <w:sz w:val="24"/>
              </w:rPr>
              <w:lastRenderedPageBreak/>
              <w:t>2017-06-10</w:t>
            </w:r>
          </w:p>
        </w:tc>
        <w:tc>
          <w:tcPr>
            <w:tcW w:w="1300" w:type="dxa"/>
            <w:vAlign w:val="center"/>
          </w:tcPr>
          <w:p w:rsidR="00DA647F" w:rsidRDefault="008476CC">
            <w:pPr>
              <w:jc w:val="center"/>
            </w:pPr>
            <w:r>
              <w:rPr>
                <w:color w:val="000000"/>
                <w:sz w:val="24"/>
              </w:rPr>
              <w:t>-</w:t>
            </w:r>
          </w:p>
        </w:tc>
        <w:tc>
          <w:tcPr>
            <w:tcW w:w="1245" w:type="dxa"/>
            <w:vAlign w:val="center"/>
          </w:tcPr>
          <w:p w:rsidR="00DA647F" w:rsidRDefault="008476CC">
            <w:pPr>
              <w:jc w:val="center"/>
            </w:pPr>
            <w:r>
              <w:rPr>
                <w:color w:val="000000"/>
                <w:sz w:val="24"/>
              </w:rPr>
              <w:t>11</w:t>
            </w:r>
            <w:r>
              <w:rPr>
                <w:color w:val="000000"/>
                <w:sz w:val="24"/>
              </w:rPr>
              <w:t>年</w:t>
            </w:r>
          </w:p>
        </w:tc>
        <w:tc>
          <w:tcPr>
            <w:tcW w:w="3251" w:type="dxa"/>
            <w:vAlign w:val="center"/>
          </w:tcPr>
          <w:p w:rsidR="00DA647F" w:rsidRDefault="008476CC">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lastRenderedPageBreak/>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w:t>
      </w:r>
      <w:r w:rsidRPr="007F52FA">
        <w:rPr>
          <w:color w:val="000000"/>
          <w:sz w:val="24"/>
        </w:rPr>
        <w:lastRenderedPageBreak/>
        <w:t>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DA647F" w:rsidRDefault="008476C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A647F" w:rsidRDefault="008476C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A647F" w:rsidRDefault="008476C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DA647F" w:rsidRDefault="008476CC">
      <w:pPr>
        <w:spacing w:before="29" w:line="288" w:lineRule="auto"/>
        <w:ind w:firstLineChars="200" w:firstLine="480"/>
        <w:rPr>
          <w:color w:val="000000"/>
          <w:sz w:val="24"/>
        </w:rPr>
      </w:pPr>
      <w:r>
        <w:rPr>
          <w:color w:val="000000"/>
          <w:sz w:val="24"/>
        </w:rPr>
        <w:t>四季度以来债券市场经历了大幅度的调整，债券收益率大幅上行后维持高位震荡。十月初在市场对于经济增长韧性形成强烈预期，资金面紧张，金融数据超预期，海外美债持续上行的背景下，国内债券市场收益率稳步走高。十月下旬开始，市场趋向谨慎，资管新规征求意见稿发布后，债券收益率冲高到年内高点。十一月底以来随着十年期国开债停发和基本面数据走弱，债券收益率维持高位震荡。</w:t>
      </w:r>
    </w:p>
    <w:p w:rsidR="00DA647F" w:rsidRDefault="008476CC">
      <w:pPr>
        <w:spacing w:before="29" w:line="288" w:lineRule="auto"/>
        <w:ind w:firstLineChars="200" w:firstLine="480"/>
        <w:rPr>
          <w:color w:val="000000"/>
          <w:sz w:val="24"/>
        </w:rPr>
      </w:pPr>
      <w:r>
        <w:rPr>
          <w:color w:val="000000"/>
          <w:sz w:val="24"/>
        </w:rPr>
        <w:t>报告期内，本组合的债券配置维持中性久期，择机进行了长久期债券的波段操作，增强组合收益，增配了一定的转债仓位，选择正股基本面稳健、转债估值合理的个券，为组合提供弹性。</w:t>
      </w:r>
    </w:p>
    <w:p w:rsidR="00DA647F" w:rsidRDefault="008476CC">
      <w:pPr>
        <w:spacing w:before="29" w:line="288" w:lineRule="auto"/>
        <w:ind w:firstLineChars="200" w:firstLine="480"/>
        <w:rPr>
          <w:color w:val="000000"/>
          <w:sz w:val="24"/>
        </w:rPr>
      </w:pPr>
      <w:r>
        <w:rPr>
          <w:color w:val="000000"/>
          <w:sz w:val="24"/>
        </w:rPr>
        <w:t>展望</w:t>
      </w:r>
      <w:r>
        <w:rPr>
          <w:color w:val="000000"/>
          <w:sz w:val="24"/>
        </w:rPr>
        <w:t>2018</w:t>
      </w:r>
      <w:r>
        <w:rPr>
          <w:color w:val="000000"/>
          <w:sz w:val="24"/>
        </w:rPr>
        <w:t>年，房地产、基建和出口均显出一定的疲态，预计将带动经济增速逐步</w:t>
      </w:r>
      <w:r>
        <w:rPr>
          <w:color w:val="000000"/>
          <w:sz w:val="24"/>
        </w:rPr>
        <w:lastRenderedPageBreak/>
        <w:t>下行，对债市形成一定支撑，而收益率上行到高位之后具有一定的配置价值。但一季度经济数据真空期和通胀一季度回升压力较大，监管政策落地的力度和节奏以及金融机构的应对行为不甚明朗，超储率低位及银行流动性监管指标强化将导致资金利率波动加大等负面因素仍然存在，债券市场短期内预计较难有资本利得机会。</w:t>
      </w:r>
    </w:p>
    <w:p w:rsidR="00DA647F" w:rsidRDefault="008476CC">
      <w:pPr>
        <w:spacing w:before="29" w:line="288" w:lineRule="auto"/>
        <w:ind w:firstLineChars="200" w:firstLine="480"/>
        <w:rPr>
          <w:color w:val="000000"/>
          <w:sz w:val="24"/>
        </w:rPr>
      </w:pPr>
      <w:r>
        <w:rPr>
          <w:color w:val="000000"/>
          <w:sz w:val="24"/>
        </w:rPr>
        <w:t>信用债方面，</w:t>
      </w:r>
      <w:r>
        <w:rPr>
          <w:color w:val="000000"/>
          <w:sz w:val="24"/>
        </w:rPr>
        <w:t>2017</w:t>
      </w:r>
      <w:r>
        <w:rPr>
          <w:color w:val="000000"/>
          <w:sz w:val="24"/>
        </w:rPr>
        <w:t>年以来信用利差有所走阔，信用债投资模式的改变是否会导致信用利差中枢抬高值得关注。此外，低等级信用债利差未能充分反映未来的信用风险，我们将一如既往地规避中低评级信用债，精选信用个券，配置中等久期的信用底仓组合，并择机谨慎进行利率债的波段操作。</w:t>
      </w:r>
    </w:p>
    <w:p w:rsidR="00952A72" w:rsidRPr="007F52FA" w:rsidRDefault="00323F25" w:rsidP="007C14DF">
      <w:pPr>
        <w:spacing w:before="29" w:line="288" w:lineRule="auto"/>
        <w:ind w:firstLineChars="200" w:firstLine="480"/>
        <w:rPr>
          <w:color w:val="000000"/>
          <w:sz w:val="24"/>
        </w:rPr>
      </w:pPr>
      <w:r w:rsidRPr="007F52FA">
        <w:rPr>
          <w:color w:val="000000"/>
          <w:sz w:val="24"/>
        </w:rPr>
        <w:t>可转债方面，随着转债发行的提速，转债估值趋于合理，我们认为转债市场扩容后行业分布更加均衡，标的选择空间加大，估值合理后转债弹性增强，我们将密切关注</w:t>
      </w:r>
      <w:r w:rsidRPr="007F52FA">
        <w:rPr>
          <w:color w:val="000000"/>
          <w:sz w:val="24"/>
        </w:rPr>
        <w:t>2018</w:t>
      </w:r>
      <w:r w:rsidRPr="007F52FA">
        <w:rPr>
          <w:color w:val="000000"/>
          <w:sz w:val="24"/>
        </w:rPr>
        <w:t>年转债市场机会，择机增加转债配置。</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日，交银增利债券</w:t>
      </w:r>
      <w:r w:rsidRPr="007F52FA">
        <w:rPr>
          <w:color w:val="000000"/>
          <w:sz w:val="24"/>
        </w:rPr>
        <w:t>A/B</w:t>
      </w:r>
      <w:r w:rsidRPr="007F52FA">
        <w:rPr>
          <w:color w:val="000000"/>
          <w:sz w:val="24"/>
        </w:rPr>
        <w:t>份额净值为</w:t>
      </w:r>
      <w:r w:rsidRPr="007F52FA">
        <w:rPr>
          <w:color w:val="000000"/>
          <w:sz w:val="24"/>
        </w:rPr>
        <w:t>0.9654</w:t>
      </w:r>
      <w:r w:rsidRPr="007F52FA">
        <w:rPr>
          <w:color w:val="000000"/>
          <w:sz w:val="24"/>
        </w:rPr>
        <w:t>元，本报告期份额净值增长率为</w:t>
      </w:r>
      <w:r w:rsidRPr="007F52FA">
        <w:rPr>
          <w:color w:val="000000"/>
          <w:sz w:val="24"/>
        </w:rPr>
        <w:t>-0.99%</w:t>
      </w:r>
      <w:r w:rsidRPr="007F52FA">
        <w:rPr>
          <w:color w:val="000000"/>
          <w:sz w:val="24"/>
        </w:rPr>
        <w:t>，同期业绩比较基准增长率为</w:t>
      </w:r>
      <w:r w:rsidRPr="007F52FA">
        <w:rPr>
          <w:color w:val="000000"/>
          <w:sz w:val="24"/>
        </w:rPr>
        <w:t>-1.52%</w:t>
      </w:r>
      <w:r w:rsidRPr="007F52FA">
        <w:rPr>
          <w:color w:val="000000"/>
          <w:sz w:val="24"/>
        </w:rPr>
        <w:t>；交银增利债券</w:t>
      </w:r>
      <w:r w:rsidRPr="007F52FA">
        <w:rPr>
          <w:color w:val="000000"/>
          <w:sz w:val="24"/>
        </w:rPr>
        <w:t>C</w:t>
      </w:r>
      <w:r w:rsidRPr="007F52FA">
        <w:rPr>
          <w:color w:val="000000"/>
          <w:sz w:val="24"/>
        </w:rPr>
        <w:t>份额净值为</w:t>
      </w:r>
      <w:r w:rsidRPr="007F52FA">
        <w:rPr>
          <w:color w:val="000000"/>
          <w:sz w:val="24"/>
        </w:rPr>
        <w:t>0.9593</w:t>
      </w:r>
      <w:r w:rsidRPr="007F52FA">
        <w:rPr>
          <w:color w:val="000000"/>
          <w:sz w:val="24"/>
        </w:rPr>
        <w:t>元，本报告期份额净值增长率为</w:t>
      </w:r>
      <w:r w:rsidRPr="007F52FA">
        <w:rPr>
          <w:color w:val="000000"/>
          <w:sz w:val="24"/>
        </w:rPr>
        <w:t>-1.10%</w:t>
      </w:r>
      <w:r w:rsidRPr="007F52FA">
        <w:rPr>
          <w:color w:val="000000"/>
          <w:sz w:val="24"/>
        </w:rPr>
        <w:t>，同期业绩比较基准增长率为</w:t>
      </w:r>
      <w:r w:rsidRPr="007F52FA">
        <w:rPr>
          <w:color w:val="000000"/>
          <w:sz w:val="24"/>
        </w:rPr>
        <w:t>-1.52%</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BE251D">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414,659,558.10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95.25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403,659,558.10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92.72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11,000,000.00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2.53</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2,000,000.00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0.46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w:t>
            </w:r>
            <w:r w:rsidRPr="007F52FA">
              <w:rPr>
                <w:color w:val="000000"/>
                <w:sz w:val="24"/>
              </w:rPr>
              <w:lastRenderedPageBreak/>
              <w:t>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lastRenderedPageBreak/>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7,967,623.33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1.83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10,727,425.47</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2.46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435,354,606.90</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17,461,500.00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17,461,500.00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94,091,000.00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27.46</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276,201,000.00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80.60</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15,906,058.10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4.64</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403,659,558.10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117.79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DA647F">
        <w:trPr>
          <w:jc w:val="center"/>
        </w:trPr>
        <w:tc>
          <w:tcPr>
            <w:tcW w:w="1075" w:type="dxa"/>
            <w:vAlign w:val="center"/>
          </w:tcPr>
          <w:p w:rsidR="00DA647F" w:rsidRDefault="008476CC">
            <w:pPr>
              <w:jc w:val="center"/>
            </w:pPr>
            <w:r>
              <w:rPr>
                <w:color w:val="000000"/>
                <w:sz w:val="24"/>
              </w:rPr>
              <w:t>1</w:t>
            </w:r>
          </w:p>
        </w:tc>
        <w:tc>
          <w:tcPr>
            <w:tcW w:w="1533" w:type="dxa"/>
            <w:vAlign w:val="center"/>
          </w:tcPr>
          <w:p w:rsidR="00DA647F" w:rsidRDefault="008476CC">
            <w:pPr>
              <w:jc w:val="center"/>
            </w:pPr>
            <w:r>
              <w:rPr>
                <w:color w:val="000000"/>
                <w:sz w:val="24"/>
              </w:rPr>
              <w:t>101474004</w:t>
            </w:r>
          </w:p>
        </w:tc>
        <w:tc>
          <w:tcPr>
            <w:tcW w:w="1533" w:type="dxa"/>
            <w:vAlign w:val="center"/>
          </w:tcPr>
          <w:p w:rsidR="00DA647F" w:rsidRDefault="008476CC">
            <w:pPr>
              <w:jc w:val="center"/>
            </w:pPr>
            <w:r>
              <w:rPr>
                <w:color w:val="000000"/>
                <w:sz w:val="24"/>
              </w:rPr>
              <w:t>14</w:t>
            </w:r>
            <w:r>
              <w:rPr>
                <w:color w:val="000000"/>
                <w:sz w:val="24"/>
              </w:rPr>
              <w:t>沪城控</w:t>
            </w:r>
            <w:r>
              <w:rPr>
                <w:color w:val="000000"/>
                <w:sz w:val="24"/>
              </w:rPr>
              <w:lastRenderedPageBreak/>
              <w:t>MTN001</w:t>
            </w:r>
          </w:p>
        </w:tc>
        <w:tc>
          <w:tcPr>
            <w:tcW w:w="1394" w:type="dxa"/>
            <w:vAlign w:val="center"/>
          </w:tcPr>
          <w:p w:rsidR="00DA647F" w:rsidRDefault="008476CC">
            <w:pPr>
              <w:jc w:val="right"/>
            </w:pPr>
            <w:r>
              <w:rPr>
                <w:color w:val="000000"/>
                <w:sz w:val="24"/>
              </w:rPr>
              <w:lastRenderedPageBreak/>
              <w:t>300,000</w:t>
            </w:r>
          </w:p>
        </w:tc>
        <w:tc>
          <w:tcPr>
            <w:tcW w:w="1944" w:type="dxa"/>
            <w:vAlign w:val="center"/>
          </w:tcPr>
          <w:p w:rsidR="00DA647F" w:rsidRDefault="008476CC">
            <w:pPr>
              <w:jc w:val="right"/>
            </w:pPr>
            <w:r>
              <w:rPr>
                <w:color w:val="000000"/>
                <w:sz w:val="24"/>
              </w:rPr>
              <w:t>30,588,000.00</w:t>
            </w:r>
          </w:p>
        </w:tc>
        <w:tc>
          <w:tcPr>
            <w:tcW w:w="1389" w:type="dxa"/>
            <w:vAlign w:val="center"/>
          </w:tcPr>
          <w:p w:rsidR="00DA647F" w:rsidRDefault="008476CC">
            <w:pPr>
              <w:jc w:val="right"/>
            </w:pPr>
            <w:r>
              <w:rPr>
                <w:color w:val="000000"/>
                <w:sz w:val="24"/>
              </w:rPr>
              <w:t>8.93</w:t>
            </w:r>
          </w:p>
        </w:tc>
      </w:tr>
      <w:tr w:rsidR="00DA647F">
        <w:trPr>
          <w:jc w:val="center"/>
        </w:trPr>
        <w:tc>
          <w:tcPr>
            <w:tcW w:w="1075" w:type="dxa"/>
            <w:vAlign w:val="center"/>
          </w:tcPr>
          <w:p w:rsidR="00DA647F" w:rsidRDefault="008476CC">
            <w:pPr>
              <w:jc w:val="center"/>
            </w:pPr>
            <w:r>
              <w:rPr>
                <w:color w:val="000000"/>
                <w:sz w:val="24"/>
              </w:rPr>
              <w:t>2</w:t>
            </w:r>
          </w:p>
        </w:tc>
        <w:tc>
          <w:tcPr>
            <w:tcW w:w="1533" w:type="dxa"/>
            <w:vAlign w:val="center"/>
          </w:tcPr>
          <w:p w:rsidR="00DA647F" w:rsidRDefault="008476CC">
            <w:pPr>
              <w:jc w:val="center"/>
            </w:pPr>
            <w:r>
              <w:rPr>
                <w:color w:val="000000"/>
                <w:sz w:val="24"/>
              </w:rPr>
              <w:t>101354022</w:t>
            </w:r>
          </w:p>
        </w:tc>
        <w:tc>
          <w:tcPr>
            <w:tcW w:w="1533" w:type="dxa"/>
            <w:vAlign w:val="center"/>
          </w:tcPr>
          <w:p w:rsidR="00DA647F" w:rsidRDefault="008476CC">
            <w:pPr>
              <w:jc w:val="center"/>
            </w:pPr>
            <w:r>
              <w:rPr>
                <w:color w:val="000000"/>
                <w:sz w:val="24"/>
              </w:rPr>
              <w:t>13</w:t>
            </w:r>
            <w:r>
              <w:rPr>
                <w:color w:val="000000"/>
                <w:sz w:val="24"/>
              </w:rPr>
              <w:t>兴泸</w:t>
            </w:r>
            <w:r>
              <w:rPr>
                <w:color w:val="000000"/>
                <w:sz w:val="24"/>
              </w:rPr>
              <w:t>MTN001</w:t>
            </w:r>
          </w:p>
        </w:tc>
        <w:tc>
          <w:tcPr>
            <w:tcW w:w="1394" w:type="dxa"/>
            <w:vAlign w:val="center"/>
          </w:tcPr>
          <w:p w:rsidR="00DA647F" w:rsidRDefault="008476CC">
            <w:pPr>
              <w:jc w:val="right"/>
            </w:pPr>
            <w:r>
              <w:rPr>
                <w:color w:val="000000"/>
                <w:sz w:val="24"/>
              </w:rPr>
              <w:t>300,000</w:t>
            </w:r>
          </w:p>
        </w:tc>
        <w:tc>
          <w:tcPr>
            <w:tcW w:w="1944" w:type="dxa"/>
            <w:vAlign w:val="center"/>
          </w:tcPr>
          <w:p w:rsidR="00DA647F" w:rsidRDefault="008476CC">
            <w:pPr>
              <w:jc w:val="right"/>
            </w:pPr>
            <w:r>
              <w:rPr>
                <w:color w:val="000000"/>
                <w:sz w:val="24"/>
              </w:rPr>
              <w:t>30,438,000.00</w:t>
            </w:r>
          </w:p>
        </w:tc>
        <w:tc>
          <w:tcPr>
            <w:tcW w:w="1389" w:type="dxa"/>
            <w:vAlign w:val="center"/>
          </w:tcPr>
          <w:p w:rsidR="00DA647F" w:rsidRDefault="008476CC">
            <w:pPr>
              <w:jc w:val="right"/>
            </w:pPr>
            <w:r>
              <w:rPr>
                <w:color w:val="000000"/>
                <w:sz w:val="24"/>
              </w:rPr>
              <w:t>8.88</w:t>
            </w:r>
          </w:p>
        </w:tc>
      </w:tr>
      <w:tr w:rsidR="00DA647F">
        <w:trPr>
          <w:jc w:val="center"/>
        </w:trPr>
        <w:tc>
          <w:tcPr>
            <w:tcW w:w="1075" w:type="dxa"/>
            <w:vAlign w:val="center"/>
          </w:tcPr>
          <w:p w:rsidR="00DA647F" w:rsidRDefault="008476CC">
            <w:pPr>
              <w:jc w:val="center"/>
            </w:pPr>
            <w:r>
              <w:rPr>
                <w:color w:val="000000"/>
                <w:sz w:val="24"/>
              </w:rPr>
              <w:t>3</w:t>
            </w:r>
          </w:p>
        </w:tc>
        <w:tc>
          <w:tcPr>
            <w:tcW w:w="1533" w:type="dxa"/>
            <w:vAlign w:val="center"/>
          </w:tcPr>
          <w:p w:rsidR="00DA647F" w:rsidRDefault="008476CC">
            <w:pPr>
              <w:jc w:val="center"/>
            </w:pPr>
            <w:r>
              <w:rPr>
                <w:color w:val="000000"/>
                <w:sz w:val="24"/>
              </w:rPr>
              <w:t>101559005</w:t>
            </w:r>
          </w:p>
        </w:tc>
        <w:tc>
          <w:tcPr>
            <w:tcW w:w="1533" w:type="dxa"/>
            <w:vAlign w:val="center"/>
          </w:tcPr>
          <w:p w:rsidR="00DA647F" w:rsidRDefault="008476CC">
            <w:pPr>
              <w:jc w:val="center"/>
            </w:pPr>
            <w:r>
              <w:rPr>
                <w:color w:val="000000"/>
                <w:sz w:val="24"/>
              </w:rPr>
              <w:t>15</w:t>
            </w:r>
            <w:r>
              <w:rPr>
                <w:color w:val="000000"/>
                <w:sz w:val="24"/>
              </w:rPr>
              <w:t>苏国资</w:t>
            </w:r>
            <w:r>
              <w:rPr>
                <w:color w:val="000000"/>
                <w:sz w:val="24"/>
              </w:rPr>
              <w:t>MTN001</w:t>
            </w:r>
          </w:p>
        </w:tc>
        <w:tc>
          <w:tcPr>
            <w:tcW w:w="1394" w:type="dxa"/>
            <w:vAlign w:val="center"/>
          </w:tcPr>
          <w:p w:rsidR="00DA647F" w:rsidRDefault="008476CC">
            <w:pPr>
              <w:jc w:val="right"/>
            </w:pPr>
            <w:r>
              <w:rPr>
                <w:color w:val="000000"/>
                <w:sz w:val="24"/>
              </w:rPr>
              <w:t>300,000</w:t>
            </w:r>
          </w:p>
        </w:tc>
        <w:tc>
          <w:tcPr>
            <w:tcW w:w="1944" w:type="dxa"/>
            <w:vAlign w:val="center"/>
          </w:tcPr>
          <w:p w:rsidR="00DA647F" w:rsidRDefault="008476CC">
            <w:pPr>
              <w:jc w:val="right"/>
            </w:pPr>
            <w:r>
              <w:rPr>
                <w:color w:val="000000"/>
                <w:sz w:val="24"/>
              </w:rPr>
              <w:t>29,916,000.00</w:t>
            </w:r>
          </w:p>
        </w:tc>
        <w:tc>
          <w:tcPr>
            <w:tcW w:w="1389" w:type="dxa"/>
            <w:vAlign w:val="center"/>
          </w:tcPr>
          <w:p w:rsidR="00DA647F" w:rsidRDefault="008476CC">
            <w:pPr>
              <w:jc w:val="right"/>
            </w:pPr>
            <w:r>
              <w:rPr>
                <w:color w:val="000000"/>
                <w:sz w:val="24"/>
              </w:rPr>
              <w:t>8.73</w:t>
            </w:r>
          </w:p>
        </w:tc>
      </w:tr>
      <w:tr w:rsidR="00DA647F">
        <w:trPr>
          <w:jc w:val="center"/>
        </w:trPr>
        <w:tc>
          <w:tcPr>
            <w:tcW w:w="1075" w:type="dxa"/>
            <w:vAlign w:val="center"/>
          </w:tcPr>
          <w:p w:rsidR="00DA647F" w:rsidRDefault="008476CC">
            <w:pPr>
              <w:jc w:val="center"/>
            </w:pPr>
            <w:r>
              <w:rPr>
                <w:color w:val="000000"/>
                <w:sz w:val="24"/>
              </w:rPr>
              <w:t>4</w:t>
            </w:r>
          </w:p>
        </w:tc>
        <w:tc>
          <w:tcPr>
            <w:tcW w:w="1533" w:type="dxa"/>
            <w:vAlign w:val="center"/>
          </w:tcPr>
          <w:p w:rsidR="00DA647F" w:rsidRDefault="008476CC">
            <w:pPr>
              <w:jc w:val="center"/>
            </w:pPr>
            <w:r>
              <w:rPr>
                <w:color w:val="000000"/>
                <w:sz w:val="24"/>
              </w:rPr>
              <w:t>101754060</w:t>
            </w:r>
          </w:p>
        </w:tc>
        <w:tc>
          <w:tcPr>
            <w:tcW w:w="1533" w:type="dxa"/>
            <w:vAlign w:val="center"/>
          </w:tcPr>
          <w:p w:rsidR="00DA647F" w:rsidRDefault="008476CC">
            <w:pPr>
              <w:jc w:val="center"/>
            </w:pPr>
            <w:r>
              <w:rPr>
                <w:color w:val="000000"/>
                <w:sz w:val="24"/>
              </w:rPr>
              <w:t>17</w:t>
            </w:r>
            <w:r>
              <w:rPr>
                <w:color w:val="000000"/>
                <w:sz w:val="24"/>
              </w:rPr>
              <w:t>丰台国资</w:t>
            </w:r>
            <w:r>
              <w:rPr>
                <w:color w:val="000000"/>
                <w:sz w:val="24"/>
              </w:rPr>
              <w:t>MTN001</w:t>
            </w:r>
          </w:p>
        </w:tc>
        <w:tc>
          <w:tcPr>
            <w:tcW w:w="1394" w:type="dxa"/>
            <w:vAlign w:val="center"/>
          </w:tcPr>
          <w:p w:rsidR="00DA647F" w:rsidRDefault="008476CC">
            <w:pPr>
              <w:jc w:val="right"/>
            </w:pPr>
            <w:r>
              <w:rPr>
                <w:color w:val="000000"/>
                <w:sz w:val="24"/>
              </w:rPr>
              <w:t>300,000</w:t>
            </w:r>
          </w:p>
        </w:tc>
        <w:tc>
          <w:tcPr>
            <w:tcW w:w="1944" w:type="dxa"/>
            <w:vAlign w:val="center"/>
          </w:tcPr>
          <w:p w:rsidR="00DA647F" w:rsidRDefault="008476CC">
            <w:pPr>
              <w:jc w:val="right"/>
            </w:pPr>
            <w:r>
              <w:rPr>
                <w:color w:val="000000"/>
                <w:sz w:val="24"/>
              </w:rPr>
              <w:t>29,718,000.00</w:t>
            </w:r>
          </w:p>
        </w:tc>
        <w:tc>
          <w:tcPr>
            <w:tcW w:w="1389" w:type="dxa"/>
            <w:vAlign w:val="center"/>
          </w:tcPr>
          <w:p w:rsidR="00DA647F" w:rsidRDefault="008476CC">
            <w:pPr>
              <w:jc w:val="right"/>
            </w:pPr>
            <w:r>
              <w:rPr>
                <w:color w:val="000000"/>
                <w:sz w:val="24"/>
              </w:rPr>
              <w:t>8.67</w:t>
            </w:r>
          </w:p>
        </w:tc>
      </w:tr>
      <w:tr w:rsidR="00DA647F">
        <w:trPr>
          <w:jc w:val="center"/>
        </w:trPr>
        <w:tc>
          <w:tcPr>
            <w:tcW w:w="1075" w:type="dxa"/>
            <w:vAlign w:val="center"/>
          </w:tcPr>
          <w:p w:rsidR="00DA647F" w:rsidRDefault="008476CC">
            <w:pPr>
              <w:jc w:val="center"/>
            </w:pPr>
            <w:r>
              <w:rPr>
                <w:color w:val="000000"/>
                <w:sz w:val="24"/>
              </w:rPr>
              <w:t>5</w:t>
            </w:r>
          </w:p>
        </w:tc>
        <w:tc>
          <w:tcPr>
            <w:tcW w:w="1533" w:type="dxa"/>
            <w:vAlign w:val="center"/>
          </w:tcPr>
          <w:p w:rsidR="00DA647F" w:rsidRDefault="008476CC">
            <w:pPr>
              <w:jc w:val="center"/>
            </w:pPr>
            <w:r>
              <w:rPr>
                <w:color w:val="000000"/>
                <w:sz w:val="24"/>
              </w:rPr>
              <w:t>101761021</w:t>
            </w:r>
          </w:p>
        </w:tc>
        <w:tc>
          <w:tcPr>
            <w:tcW w:w="1533" w:type="dxa"/>
            <w:vAlign w:val="center"/>
          </w:tcPr>
          <w:p w:rsidR="00DA647F" w:rsidRDefault="008476CC">
            <w:pPr>
              <w:jc w:val="center"/>
            </w:pPr>
            <w:r>
              <w:rPr>
                <w:color w:val="000000"/>
                <w:sz w:val="24"/>
              </w:rPr>
              <w:t>17</w:t>
            </w:r>
            <w:r>
              <w:rPr>
                <w:color w:val="000000"/>
                <w:sz w:val="24"/>
              </w:rPr>
              <w:t>拱墅经投</w:t>
            </w:r>
            <w:r>
              <w:rPr>
                <w:color w:val="000000"/>
                <w:sz w:val="24"/>
              </w:rPr>
              <w:t>MTN001</w:t>
            </w:r>
          </w:p>
        </w:tc>
        <w:tc>
          <w:tcPr>
            <w:tcW w:w="1394" w:type="dxa"/>
            <w:vAlign w:val="center"/>
          </w:tcPr>
          <w:p w:rsidR="00DA647F" w:rsidRDefault="008476CC">
            <w:pPr>
              <w:jc w:val="right"/>
            </w:pPr>
            <w:r>
              <w:rPr>
                <w:color w:val="000000"/>
                <w:sz w:val="24"/>
              </w:rPr>
              <w:t>300,000</w:t>
            </w:r>
          </w:p>
        </w:tc>
        <w:tc>
          <w:tcPr>
            <w:tcW w:w="1944" w:type="dxa"/>
            <w:vAlign w:val="center"/>
          </w:tcPr>
          <w:p w:rsidR="00DA647F" w:rsidRDefault="008476CC">
            <w:pPr>
              <w:jc w:val="right"/>
            </w:pPr>
            <w:r>
              <w:rPr>
                <w:color w:val="000000"/>
                <w:sz w:val="24"/>
              </w:rPr>
              <w:t>29,592,000.00</w:t>
            </w:r>
          </w:p>
        </w:tc>
        <w:tc>
          <w:tcPr>
            <w:tcW w:w="1389" w:type="dxa"/>
            <w:vAlign w:val="center"/>
          </w:tcPr>
          <w:p w:rsidR="00DA647F" w:rsidRDefault="008476CC">
            <w:pPr>
              <w:jc w:val="right"/>
            </w:pPr>
            <w:r>
              <w:rPr>
                <w:color w:val="000000"/>
                <w:sz w:val="24"/>
              </w:rPr>
              <w:t>8.64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462"/>
        <w:gridCol w:w="1481"/>
        <w:gridCol w:w="1463"/>
        <w:gridCol w:w="1480"/>
        <w:gridCol w:w="1502"/>
        <w:gridCol w:w="1480"/>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DA647F">
        <w:trPr>
          <w:jc w:val="center"/>
        </w:trPr>
        <w:tc>
          <w:tcPr>
            <w:tcW w:w="0" w:type="auto"/>
            <w:vAlign w:val="center"/>
          </w:tcPr>
          <w:p w:rsidR="00DA647F" w:rsidRDefault="008476CC">
            <w:pPr>
              <w:jc w:val="center"/>
            </w:pPr>
            <w:r>
              <w:rPr>
                <w:color w:val="000000"/>
                <w:sz w:val="24"/>
              </w:rPr>
              <w:t>1</w:t>
            </w:r>
          </w:p>
        </w:tc>
        <w:tc>
          <w:tcPr>
            <w:tcW w:w="0" w:type="auto"/>
            <w:vAlign w:val="center"/>
          </w:tcPr>
          <w:p w:rsidR="00DA647F" w:rsidRDefault="008476CC">
            <w:pPr>
              <w:jc w:val="center"/>
            </w:pPr>
            <w:r>
              <w:rPr>
                <w:color w:val="000000"/>
                <w:sz w:val="24"/>
              </w:rPr>
              <w:t>123934</w:t>
            </w:r>
          </w:p>
        </w:tc>
        <w:tc>
          <w:tcPr>
            <w:tcW w:w="0" w:type="auto"/>
            <w:vAlign w:val="center"/>
          </w:tcPr>
          <w:p w:rsidR="00DA647F" w:rsidRDefault="008476CC">
            <w:pPr>
              <w:jc w:val="center"/>
            </w:pPr>
            <w:r>
              <w:rPr>
                <w:color w:val="000000"/>
                <w:sz w:val="24"/>
              </w:rPr>
              <w:t>15</w:t>
            </w:r>
            <w:r>
              <w:rPr>
                <w:color w:val="000000"/>
                <w:sz w:val="24"/>
              </w:rPr>
              <w:t>濮热</w:t>
            </w:r>
            <w:r>
              <w:rPr>
                <w:color w:val="000000"/>
                <w:sz w:val="24"/>
              </w:rPr>
              <w:t>02</w:t>
            </w:r>
          </w:p>
        </w:tc>
        <w:tc>
          <w:tcPr>
            <w:tcW w:w="0" w:type="auto"/>
            <w:vAlign w:val="center"/>
          </w:tcPr>
          <w:p w:rsidR="00DA647F" w:rsidRDefault="008476CC">
            <w:pPr>
              <w:jc w:val="right"/>
            </w:pPr>
            <w:r>
              <w:rPr>
                <w:color w:val="000000"/>
                <w:sz w:val="24"/>
              </w:rPr>
              <w:t>40,000</w:t>
            </w:r>
          </w:p>
        </w:tc>
        <w:tc>
          <w:tcPr>
            <w:tcW w:w="0" w:type="auto"/>
            <w:vAlign w:val="center"/>
          </w:tcPr>
          <w:p w:rsidR="00DA647F" w:rsidRDefault="008476CC">
            <w:pPr>
              <w:jc w:val="right"/>
            </w:pPr>
            <w:r>
              <w:rPr>
                <w:color w:val="000000"/>
                <w:sz w:val="24"/>
              </w:rPr>
              <w:t>4,000,000.00</w:t>
            </w:r>
          </w:p>
        </w:tc>
        <w:tc>
          <w:tcPr>
            <w:tcW w:w="0" w:type="auto"/>
            <w:vAlign w:val="center"/>
          </w:tcPr>
          <w:p w:rsidR="00DA647F" w:rsidRDefault="008476CC">
            <w:pPr>
              <w:jc w:val="right"/>
            </w:pPr>
            <w:r>
              <w:rPr>
                <w:color w:val="000000"/>
                <w:sz w:val="24"/>
              </w:rPr>
              <w:t>1.17</w:t>
            </w:r>
          </w:p>
        </w:tc>
      </w:tr>
      <w:tr w:rsidR="00DA647F">
        <w:trPr>
          <w:jc w:val="center"/>
        </w:trPr>
        <w:tc>
          <w:tcPr>
            <w:tcW w:w="0" w:type="auto"/>
            <w:vAlign w:val="center"/>
          </w:tcPr>
          <w:p w:rsidR="00DA647F" w:rsidRDefault="008476CC">
            <w:pPr>
              <w:jc w:val="center"/>
            </w:pPr>
            <w:r>
              <w:rPr>
                <w:color w:val="000000"/>
                <w:sz w:val="24"/>
              </w:rPr>
              <w:t>2</w:t>
            </w:r>
          </w:p>
        </w:tc>
        <w:tc>
          <w:tcPr>
            <w:tcW w:w="0" w:type="auto"/>
            <w:vAlign w:val="center"/>
          </w:tcPr>
          <w:p w:rsidR="00DA647F" w:rsidRDefault="008476CC">
            <w:pPr>
              <w:jc w:val="center"/>
            </w:pPr>
            <w:r>
              <w:rPr>
                <w:color w:val="000000"/>
                <w:sz w:val="24"/>
              </w:rPr>
              <w:t>123935</w:t>
            </w:r>
          </w:p>
        </w:tc>
        <w:tc>
          <w:tcPr>
            <w:tcW w:w="0" w:type="auto"/>
            <w:vAlign w:val="center"/>
          </w:tcPr>
          <w:p w:rsidR="00DA647F" w:rsidRDefault="008476CC">
            <w:pPr>
              <w:jc w:val="center"/>
            </w:pPr>
            <w:r>
              <w:rPr>
                <w:color w:val="000000"/>
                <w:sz w:val="24"/>
              </w:rPr>
              <w:t>15</w:t>
            </w:r>
            <w:r>
              <w:rPr>
                <w:color w:val="000000"/>
                <w:sz w:val="24"/>
              </w:rPr>
              <w:t>濮热</w:t>
            </w:r>
            <w:r>
              <w:rPr>
                <w:color w:val="000000"/>
                <w:sz w:val="24"/>
              </w:rPr>
              <w:t>03</w:t>
            </w:r>
          </w:p>
        </w:tc>
        <w:tc>
          <w:tcPr>
            <w:tcW w:w="0" w:type="auto"/>
            <w:vAlign w:val="center"/>
          </w:tcPr>
          <w:p w:rsidR="00DA647F" w:rsidRDefault="008476CC">
            <w:pPr>
              <w:jc w:val="right"/>
            </w:pPr>
            <w:r>
              <w:rPr>
                <w:color w:val="000000"/>
                <w:sz w:val="24"/>
              </w:rPr>
              <w:t>40,000</w:t>
            </w:r>
          </w:p>
        </w:tc>
        <w:tc>
          <w:tcPr>
            <w:tcW w:w="0" w:type="auto"/>
            <w:vAlign w:val="center"/>
          </w:tcPr>
          <w:p w:rsidR="00DA647F" w:rsidRDefault="008476CC">
            <w:pPr>
              <w:jc w:val="right"/>
            </w:pPr>
            <w:r>
              <w:rPr>
                <w:color w:val="000000"/>
                <w:sz w:val="24"/>
              </w:rPr>
              <w:t>4,000,000.00</w:t>
            </w:r>
          </w:p>
        </w:tc>
        <w:tc>
          <w:tcPr>
            <w:tcW w:w="0" w:type="auto"/>
            <w:vAlign w:val="center"/>
          </w:tcPr>
          <w:p w:rsidR="00DA647F" w:rsidRDefault="008476CC">
            <w:pPr>
              <w:jc w:val="right"/>
            </w:pPr>
            <w:r>
              <w:rPr>
                <w:color w:val="000000"/>
                <w:sz w:val="24"/>
              </w:rPr>
              <w:t>1.17</w:t>
            </w:r>
          </w:p>
        </w:tc>
      </w:tr>
      <w:tr w:rsidR="00DA647F">
        <w:trPr>
          <w:jc w:val="center"/>
        </w:trPr>
        <w:tc>
          <w:tcPr>
            <w:tcW w:w="0" w:type="auto"/>
            <w:vAlign w:val="center"/>
          </w:tcPr>
          <w:p w:rsidR="00DA647F" w:rsidRDefault="008476CC">
            <w:pPr>
              <w:jc w:val="center"/>
            </w:pPr>
            <w:r>
              <w:rPr>
                <w:color w:val="000000"/>
                <w:sz w:val="24"/>
              </w:rPr>
              <w:t>3</w:t>
            </w:r>
          </w:p>
        </w:tc>
        <w:tc>
          <w:tcPr>
            <w:tcW w:w="0" w:type="auto"/>
            <w:vAlign w:val="center"/>
          </w:tcPr>
          <w:p w:rsidR="00DA647F" w:rsidRDefault="008476CC">
            <w:pPr>
              <w:jc w:val="center"/>
            </w:pPr>
            <w:r>
              <w:rPr>
                <w:color w:val="000000"/>
                <w:sz w:val="24"/>
              </w:rPr>
              <w:t>116239</w:t>
            </w:r>
          </w:p>
        </w:tc>
        <w:tc>
          <w:tcPr>
            <w:tcW w:w="0" w:type="auto"/>
            <w:vAlign w:val="center"/>
          </w:tcPr>
          <w:p w:rsidR="00DA647F" w:rsidRDefault="008476CC">
            <w:pPr>
              <w:jc w:val="center"/>
            </w:pPr>
            <w:r>
              <w:rPr>
                <w:color w:val="000000"/>
                <w:sz w:val="24"/>
              </w:rPr>
              <w:t>16</w:t>
            </w:r>
            <w:r>
              <w:rPr>
                <w:color w:val="000000"/>
                <w:sz w:val="24"/>
              </w:rPr>
              <w:t>惠通</w:t>
            </w:r>
            <w:r>
              <w:rPr>
                <w:color w:val="000000"/>
                <w:sz w:val="24"/>
              </w:rPr>
              <w:t>A3</w:t>
            </w:r>
          </w:p>
        </w:tc>
        <w:tc>
          <w:tcPr>
            <w:tcW w:w="0" w:type="auto"/>
            <w:vAlign w:val="center"/>
          </w:tcPr>
          <w:p w:rsidR="00DA647F" w:rsidRDefault="008476CC">
            <w:pPr>
              <w:jc w:val="right"/>
            </w:pPr>
            <w:r>
              <w:rPr>
                <w:color w:val="000000"/>
                <w:sz w:val="24"/>
              </w:rPr>
              <w:t>30,000</w:t>
            </w:r>
          </w:p>
        </w:tc>
        <w:tc>
          <w:tcPr>
            <w:tcW w:w="0" w:type="auto"/>
            <w:vAlign w:val="center"/>
          </w:tcPr>
          <w:p w:rsidR="00DA647F" w:rsidRDefault="008476CC">
            <w:pPr>
              <w:jc w:val="right"/>
            </w:pPr>
            <w:r>
              <w:rPr>
                <w:color w:val="000000"/>
                <w:sz w:val="24"/>
              </w:rPr>
              <w:t>3,000,000.00</w:t>
            </w:r>
          </w:p>
        </w:tc>
        <w:tc>
          <w:tcPr>
            <w:tcW w:w="0" w:type="auto"/>
            <w:vAlign w:val="center"/>
          </w:tcPr>
          <w:p w:rsidR="00DA647F" w:rsidRDefault="008476CC">
            <w:pPr>
              <w:jc w:val="right"/>
            </w:pPr>
            <w:r>
              <w:rPr>
                <w:color w:val="000000"/>
                <w:sz w:val="24"/>
              </w:rPr>
              <w:t>0.88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lastRenderedPageBreak/>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16,361.41</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1,993,966.28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8,402,480.33</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314,617.45</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10,727,425.47</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DA647F">
        <w:trPr>
          <w:jc w:val="center"/>
        </w:trPr>
        <w:tc>
          <w:tcPr>
            <w:tcW w:w="0" w:type="auto"/>
            <w:vAlign w:val="center"/>
          </w:tcPr>
          <w:p w:rsidR="00DA647F" w:rsidRDefault="008476CC">
            <w:pPr>
              <w:jc w:val="center"/>
            </w:pPr>
            <w:r>
              <w:rPr>
                <w:rFonts w:eastAsiaTheme="minorEastAsia"/>
                <w:color w:val="000000"/>
                <w:sz w:val="24"/>
              </w:rPr>
              <w:t>1</w:t>
            </w:r>
          </w:p>
        </w:tc>
        <w:tc>
          <w:tcPr>
            <w:tcW w:w="0" w:type="auto"/>
            <w:vAlign w:val="center"/>
          </w:tcPr>
          <w:p w:rsidR="00DA647F" w:rsidRDefault="008476CC">
            <w:pPr>
              <w:jc w:val="center"/>
            </w:pPr>
            <w:r>
              <w:rPr>
                <w:rFonts w:eastAsiaTheme="minorEastAsia"/>
                <w:color w:val="000000"/>
                <w:sz w:val="24"/>
              </w:rPr>
              <w:t>110034</w:t>
            </w:r>
          </w:p>
        </w:tc>
        <w:tc>
          <w:tcPr>
            <w:tcW w:w="0" w:type="auto"/>
            <w:vAlign w:val="center"/>
          </w:tcPr>
          <w:p w:rsidR="00DA647F" w:rsidRDefault="008476CC">
            <w:pPr>
              <w:jc w:val="center"/>
            </w:pPr>
            <w:r>
              <w:rPr>
                <w:rFonts w:eastAsiaTheme="minorEastAsia"/>
                <w:color w:val="000000"/>
                <w:sz w:val="24"/>
              </w:rPr>
              <w:t>九州转债</w:t>
            </w:r>
          </w:p>
        </w:tc>
        <w:tc>
          <w:tcPr>
            <w:tcW w:w="0" w:type="auto"/>
            <w:vAlign w:val="center"/>
          </w:tcPr>
          <w:p w:rsidR="00DA647F" w:rsidRDefault="008476CC">
            <w:pPr>
              <w:jc w:val="right"/>
            </w:pPr>
            <w:r>
              <w:rPr>
                <w:rFonts w:eastAsiaTheme="minorEastAsia"/>
                <w:color w:val="000000"/>
                <w:sz w:val="24"/>
              </w:rPr>
              <w:t>2,028,793.60</w:t>
            </w:r>
          </w:p>
        </w:tc>
        <w:tc>
          <w:tcPr>
            <w:tcW w:w="0" w:type="auto"/>
            <w:vAlign w:val="center"/>
          </w:tcPr>
          <w:p w:rsidR="00DA647F" w:rsidRDefault="008476CC">
            <w:pPr>
              <w:jc w:val="right"/>
            </w:pPr>
            <w:r>
              <w:rPr>
                <w:rFonts w:eastAsiaTheme="minorEastAsia"/>
                <w:color w:val="000000"/>
                <w:sz w:val="24"/>
              </w:rPr>
              <w:t>0.59</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bookmarkStart w:id="0" w:name="_GoBack"/>
      <w:bookmarkEnd w:id="0"/>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4B10C8">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交银增利债券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4B10C8">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交银增利债券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335,672,659.55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93,336,267.54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52,856,236.08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5,675,777.18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lastRenderedPageBreak/>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117,335,617.21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14,699,583.68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271,193,278.42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84,312,461.04</w:t>
            </w:r>
          </w:p>
        </w:tc>
      </w:tr>
    </w:tbl>
    <w:p w:rsidR="00DA647F" w:rsidRDefault="008476CC">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4B10C8">
      <w:pPr>
        <w:autoSpaceDE w:val="0"/>
        <w:autoSpaceDN w:val="0"/>
        <w:adjustRightInd w:val="0"/>
        <w:spacing w:before="29" w:line="288" w:lineRule="auto"/>
        <w:ind w:firstLineChars="200" w:firstLine="480"/>
        <w:jc w:val="left"/>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E251D">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、中国证监会批准交银施罗德增利债券证券投资基金募集的文件；</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、《交银施罗德增利债券证券投资基金基金合同》；</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、《交银施罗德增利债券证券投资基金招募说明书》；</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、《交银施罗德增利债券证券投资基金托管协议》；</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、关于募集交银施罗德增利债券证券投资基金之法律意见书；</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、报告期内交银施罗德增利债券证券投资基金在指定报刊上各项公告的原稿。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FB3C94" w:rsidRPr="007F52FA">
        <w:rPr>
          <w:rFonts w:eastAsiaTheme="minorEastAsia"/>
          <w:b/>
          <w:bCs/>
          <w:color w:val="000000"/>
          <w:kern w:val="0"/>
          <w:sz w:val="24"/>
        </w:rPr>
        <w:t>查阅方式</w:t>
      </w:r>
    </w:p>
    <w:p w:rsidR="00DA647F" w:rsidRDefault="008476CC">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w:t>
      </w:r>
      <w:r>
        <w:rPr>
          <w:rFonts w:eastAsiaTheme="minorEastAsia"/>
          <w:color w:val="000000"/>
          <w:sz w:val="24"/>
        </w:rPr>
        <w:lastRenderedPageBreak/>
        <w:t>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78" w:rsidRDefault="00966678">
      <w:r>
        <w:separator/>
      </w:r>
    </w:p>
  </w:endnote>
  <w:endnote w:type="continuationSeparator" w:id="0">
    <w:p w:rsidR="00966678" w:rsidRDefault="0096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4B10C8">
      <w:rPr>
        <w:noProof/>
        <w:kern w:val="0"/>
        <w:szCs w:val="21"/>
      </w:rPr>
      <w:t>5</w:t>
    </w:r>
    <w:r w:rsidR="007866A0">
      <w:rPr>
        <w:kern w:val="0"/>
        <w:szCs w:val="21"/>
      </w:rPr>
      <w:fldChar w:fldCharType="end"/>
    </w:r>
    <w:r>
      <w:rPr>
        <w:rFonts w:hint="eastAsia"/>
        <w:kern w:val="0"/>
        <w:szCs w:val="21"/>
      </w:rPr>
      <w:t>页共</w:t>
    </w:r>
    <w:r w:rsidR="007866A0">
      <w:rPr>
        <w:kern w:val="0"/>
        <w:szCs w:val="21"/>
      </w:rPr>
      <w:fldChar w:fldCharType="begin"/>
    </w:r>
    <w:r>
      <w:rPr>
        <w:kern w:val="0"/>
        <w:szCs w:val="21"/>
      </w:rPr>
      <w:instrText xml:space="preserve"> NUMPAGES </w:instrText>
    </w:r>
    <w:r w:rsidR="007866A0">
      <w:rPr>
        <w:kern w:val="0"/>
        <w:szCs w:val="21"/>
      </w:rPr>
      <w:fldChar w:fldCharType="separate"/>
    </w:r>
    <w:r w:rsidR="004B10C8">
      <w:rPr>
        <w:noProof/>
        <w:kern w:val="0"/>
        <w:szCs w:val="21"/>
      </w:rPr>
      <w:t>13</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78" w:rsidRDefault="00966678">
      <w:r>
        <w:separator/>
      </w:r>
    </w:p>
  </w:footnote>
  <w:footnote w:type="continuationSeparator" w:id="0">
    <w:p w:rsidR="00966678" w:rsidRDefault="0096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966678"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0C8"/>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476CC"/>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6678"/>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07B5"/>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7F"/>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EE497B98-B427-4E88-8E50-3F76439B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4340-0E4F-467C-8383-37659C87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198</TotalTime>
  <Pages>1</Pages>
  <Words>1106</Words>
  <Characters>6308</Characters>
  <Application>Microsoft Office Word</Application>
  <DocSecurity>0</DocSecurity>
  <Lines>52</Lines>
  <Paragraphs>14</Paragraphs>
  <ScaleCrop>false</ScaleCrop>
  <Company>TRT. Ltd. Co.</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372</cp:revision>
  <cp:lastPrinted>2007-07-19T00:46:00Z</cp:lastPrinted>
  <dcterms:created xsi:type="dcterms:W3CDTF">2014-01-17T06:19:00Z</dcterms:created>
  <dcterms:modified xsi:type="dcterms:W3CDTF">2018-01-17T02:20:00Z</dcterms:modified>
</cp:coreProperties>
</file>