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交银施罗德蓝筹混合型证券投资基金</w:t>
      </w:r>
    </w:p>
    <w:p w:rsidR="002279D3" w:rsidRPr="0081286B" w:rsidRDefault="002279D3" w:rsidP="00C15CAC">
      <w:pPr>
        <w:spacing w:before="29" w:line="288" w:lineRule="auto"/>
        <w:jc w:val="center"/>
        <w:rPr>
          <w:b/>
          <w:sz w:val="36"/>
          <w:szCs w:val="36"/>
        </w:rPr>
      </w:pPr>
      <w:r w:rsidRPr="0081286B">
        <w:rPr>
          <w:b/>
          <w:sz w:val="36"/>
          <w:szCs w:val="36"/>
        </w:rPr>
        <w:t>2017年第4季度报告</w:t>
      </w:r>
    </w:p>
    <w:p w:rsidR="004061AC" w:rsidRPr="0081286B" w:rsidRDefault="00655CD8" w:rsidP="00C15CAC">
      <w:pPr>
        <w:spacing w:before="29" w:line="288" w:lineRule="auto"/>
        <w:jc w:val="center"/>
        <w:rPr>
          <w:b/>
          <w:sz w:val="36"/>
          <w:szCs w:val="36"/>
        </w:rPr>
      </w:pPr>
      <w:r w:rsidRPr="0081286B">
        <w:rPr>
          <w:b/>
          <w:sz w:val="36"/>
          <w:szCs w:val="36"/>
        </w:rPr>
        <w:t>2017年12月31日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w:t>
      </w:r>
      <w:r w:rsidRPr="0081286B">
        <w:rPr>
          <w:b/>
          <w:color w:val="000000"/>
          <w:sz w:val="24"/>
          <w:szCs w:val="24"/>
        </w:rPr>
        <w:t>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二〇一八年一月二十二日</w:t>
      </w:r>
    </w:p>
    <w:p w:rsidR="004061AC" w:rsidRPr="00414345" w:rsidRDefault="004061AC" w:rsidP="00EE49FE">
      <w:pPr>
        <w:pStyle w:val="1"/>
        <w:spacing w:beforeLines="100" w:after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Chars="200" w:firstLine="48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Chars="200" w:firstLine="480"/>
        <w:rPr>
          <w:color w:val="000000"/>
          <w:sz w:val="24"/>
          <w:szCs w:val="24"/>
        </w:rPr>
      </w:pPr>
      <w:r>
        <w:rPr>
          <w:color w:val="000000"/>
          <w:sz w:val="24"/>
          <w:szCs w:val="24"/>
        </w:rPr>
        <w:t xml:space="preserve">基金托管人中国建设银行股份有限公司根据本基金合同规定，于2018年1月19日复核了本报告中的财务指标、净值表现和投资组合报告等内容，保证复核内容不存在虚假记载、误导性陈述或者重大遗漏。 </w:t>
      </w:r>
    </w:p>
    <w:p>
      <w:pPr>
        <w:spacing w:before="29" w:line="288" w:lineRule="auto"/>
        <w:ind w:firstLineChars="200" w:firstLine="48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Chars="200" w:firstLine="48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本报告期自2017年10月1日起至12月31日止。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EE49FE">
      <w:pPr>
        <w:pStyle w:val="1"/>
        <w:spacing w:beforeLines="100" w:after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交银蓝筹混合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2007年8月8日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2,556,147,225.23</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为一只蓝筹混合型基金，主要通过投资于业绩优良、发展稳定、在行业内占有支配性地位、分红稳定的蓝筹上市公司股票，在有效控制风险并保持基金资产良好流动性的前提下，追求在稳定分红的基础上实现基金资产的长期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通过优选业绩优良、发展稳定、在行业内占有支配性地位、分红稳定的蓝筹上市公司股票进行投资，以谋求基金资产的长期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75%×中证100指数+25%×中证综合债券指数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本基金是一只混合型基金，以优质蓝筹股为主要投资对象，其风险和预期收益高于债券型基金和货币市场基金，低于股票型基金。属于承担较高风险、预期收益较高的证券投资基金品种。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EE49FE">
      <w:pPr>
        <w:pStyle w:val="1"/>
        <w:spacing w:beforeLines="100" w:after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7"/>
        <w:gridCol w:w="2706"/>
        <w:gridCol w:w="2555"/>
      </w:tblGrid>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w="4962" w:type="dxa"/>
            <w:hMerge w:val="restart"/>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(2017年10月1日-2017年12月31日)</w:t>
            </w:r>
          </w:p>
        </w:tc>
        <w:tc>
          <w:tcPr>
            <w:tcW w:w="2410" w:type="dxa"/>
            <w:hMerge/>
            <w:vAlign w:val="center"/>
          </w:tcPr>
          <w:p w:rsidR="00C21520" w:rsidRPr="00414345" w:rsidRDefault="00C21520" w:rsidP="00C15CAC">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93,609,128.88</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18,490,161.52</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0.0071</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2,487,033,549.83</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hMerge w:val="restart"/>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0.9730</w:t>
            </w:r>
          </w:p>
        </w:tc>
        <w:tc>
          <w:tcPr>
            <w:tcW w:w="2410" w:type="dxa"/>
            <w:hMerge/>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rsidR="004061AC" w:rsidRPr="00414345" w:rsidRDefault="00A5612C"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2、本期已实现收益指基金本期利息收入、投资收益、其他收入（不含公允价值变动收益）扣除相关费用后的余额，本期利润为本期已实现收益加上本期公允价值变动收益。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0.75%</w:t>
            </w:r>
          </w:p>
        </w:tc>
        <w:tc>
          <w:tcPr>
            <w:vAlign w:val="center"/>
          </w:tcPr>
          <w:p>
            <w:pPr>
              <w:jc w:val="center"/>
            </w:pPr>
            <w:r>
              <w:rPr>
                <w:color w:val="000000"/>
                <w:sz w:val="24"/>
                <w:szCs w:val="24"/>
              </w:rPr>
              <w:t>0.68%</w:t>
            </w:r>
          </w:p>
        </w:tc>
        <w:tc>
          <w:tcPr>
            <w:vAlign w:val="center"/>
          </w:tcPr>
          <w:p>
            <w:pPr>
              <w:jc w:val="center"/>
            </w:pPr>
            <w:r>
              <w:rPr>
                <w:color w:val="000000"/>
                <w:sz w:val="24"/>
                <w:szCs w:val="24"/>
              </w:rPr>
              <w:t>6.06%</w:t>
            </w:r>
          </w:p>
        </w:tc>
        <w:tc>
          <w:tcPr>
            <w:vAlign w:val="center"/>
          </w:tcPr>
          <w:p>
            <w:pPr>
              <w:jc w:val="center"/>
            </w:pPr>
            <w:r>
              <w:rPr>
                <w:color w:val="000000"/>
                <w:sz w:val="24"/>
                <w:szCs w:val="24"/>
              </w:rPr>
              <w:t>0.68%</w:t>
            </w:r>
          </w:p>
        </w:tc>
        <w:tc>
          <w:tcPr>
            <w:vAlign w:val="center"/>
          </w:tcPr>
          <w:p>
            <w:pPr>
              <w:jc w:val="center"/>
            </w:pPr>
            <w:r>
              <w:rPr>
                <w:color w:val="000000"/>
                <w:sz w:val="24"/>
                <w:szCs w:val="24"/>
              </w:rPr>
              <w:t>-5.31%</w:t>
            </w:r>
          </w:p>
        </w:tc>
        <w:tc>
          <w:tcPr>
            <w:vAlign w:val="center"/>
          </w:tcPr>
          <w:p>
            <w:pPr>
              <w:jc w:val="center"/>
            </w:pPr>
            <w:r>
              <w:rPr>
                <w:color w:val="000000"/>
                <w:sz w:val="24"/>
                <w:szCs w:val="24"/>
              </w:rPr>
              <w:t>0.00%</w:t>
            </w:r>
          </w:p>
        </w:tc>
      </w:tr>
    </w:tbl>
    <w:p w:rsidR="004061AC" w:rsidRPr="00414345" w:rsidRDefault="003F39DF"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本基金业绩比较基准自2015年10月1日起，由“75%×中证100指数+25%×中信全债指数”变更为“75%×中证100指数+25%×中证综合债券指数”，3.2.2同。详情见本基金管理人于2015年9月28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交银施罗德蓝筹混合型证券投资基金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lastRenderedPageBreak/>
        <w:t>（</w:t>
      </w:r>
      <w:r w:rsidR="0042009D" w:rsidRPr="00414345">
        <w:rPr>
          <w:rFonts w:ascii="Times New Roman" w:hAnsi="Times New Roman" w:cs="Times New Roman"/>
          <w:sz w:val="24"/>
          <w:szCs w:val="24"/>
        </w:rPr>
        <w:t>2007年8月8日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2017年12月31日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1C79F2"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EE49FE">
      <w:pPr>
        <w:pStyle w:val="1"/>
        <w:spacing w:beforeLines="100" w:after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tc>
          <w:tcPr>
            <w:vAlign w:val="center"/>
          </w:tcPr>
          <w:p>
            <w:pPr>
              <w:jc w:val="center"/>
            </w:pPr>
            <w:r>
              <w:rPr>
                <w:color w:val="000000"/>
                <w:sz w:val="24"/>
                <w:szCs w:val="24"/>
              </w:rPr>
              <w:t>陈孜铎</w:t>
            </w:r>
          </w:p>
        </w:tc>
        <w:tc>
          <w:tcPr>
            <w:vAlign w:val="center"/>
          </w:tcPr>
          <w:p>
            <w:pPr>
              <w:jc w:val="center"/>
            </w:pPr>
            <w:r>
              <w:rPr>
                <w:color w:val="000000"/>
                <w:sz w:val="24"/>
                <w:szCs w:val="24"/>
              </w:rPr>
              <w:t>交银蓝筹混合的基金经理，公司研究部助理总经理</w:t>
            </w:r>
          </w:p>
        </w:tc>
        <w:tc>
          <w:tcPr>
            <w:vAlign w:val="center"/>
          </w:tcPr>
          <w:p>
            <w:pPr>
              <w:jc w:val="center"/>
            </w:pPr>
            <w:r>
              <w:rPr>
                <w:color w:val="000000"/>
                <w:sz w:val="24"/>
                <w:szCs w:val="24"/>
              </w:rPr>
              <w:t>2014-10-22</w:t>
            </w:r>
          </w:p>
        </w:tc>
        <w:tc>
          <w:tcPr>
            <w:vAlign w:val="center"/>
          </w:tcPr>
          <w:p>
            <w:pPr>
              <w:jc w:val="center"/>
            </w:pPr>
            <w:r>
              <w:rPr>
                <w:color w:val="000000"/>
                <w:sz w:val="24"/>
                <w:szCs w:val="24"/>
              </w:rPr>
              <w:t>-</w:t>
            </w:r>
          </w:p>
        </w:tc>
        <w:tc>
          <w:tcPr>
            <w:vAlign w:val="center"/>
          </w:tcPr>
          <w:p>
            <w:pPr>
              <w:jc w:val="center"/>
            </w:pPr>
            <w:r>
              <w:rPr>
                <w:color w:val="000000"/>
                <w:sz w:val="24"/>
                <w:szCs w:val="24"/>
              </w:rPr>
              <w:t>9年</w:t>
            </w:r>
          </w:p>
        </w:tc>
        <w:tc>
          <w:tcPr>
            <w:vAlign w:val="center"/>
          </w:tcPr>
          <w:p>
            <w:pPr>
              <w:jc w:val="both"/>
            </w:pPr>
            <w:r>
              <w:rPr>
                <w:color w:val="000000"/>
                <w:sz w:val="24"/>
                <w:szCs w:val="24"/>
              </w:rPr>
              <w:t>陈孜铎先生，清华大学材料科学与工程硕士。2008年加入交银施罗德基金管理有限公司，历任行业分析师、高级研究员。</w:t>
            </w:r>
          </w:p>
        </w:tc>
      </w:tr>
    </w:tbl>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Chars="200" w:firstLine="480"/>
        <w:rPr>
          <w:color w:val="000000"/>
          <w:sz w:val="24"/>
          <w:szCs w:val="24"/>
        </w:rPr>
      </w:pPr>
      <w:r>
        <w:rPr>
          <w:color w:val="000000"/>
          <w:sz w:val="24"/>
          <w:szCs w:val="24"/>
        </w:rPr>
        <w:t>2017年四季度整个A股市场呈现震荡调整走势，风格分化依然明显，白马消费价值成长龙头延续前述趋势继续向上，而市场大多数股票再次进入调整阶段。进入四季度随着十九大召开完毕，金融去杠杆进程进入下半场，金融体系资金价格水平明显提高，风险偏好下降。</w:t>
      </w:r>
    </w:p>
    <w:p>
      <w:pPr>
        <w:spacing w:before="29" w:line="288" w:lineRule="auto"/>
        <w:ind w:firstLineChars="200" w:firstLine="480"/>
        <w:rPr>
          <w:color w:val="000000"/>
          <w:sz w:val="24"/>
          <w:szCs w:val="24"/>
        </w:rPr>
      </w:pPr>
      <w:r>
        <w:rPr>
          <w:color w:val="000000"/>
          <w:sz w:val="24"/>
          <w:szCs w:val="24"/>
        </w:rPr>
        <w:t>在上述市场环境中，本基金在四季度相对稳健均衡，风格偏离度有所控制，整体录得小幅正收益。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2018年，十九大召开之后未来五年的发展方向得以奠定，中长期的市场发展方向将逐渐清晰。金融去杠杆进程进入下半场，短期内利率的上涨虽对市场有一定不利影响，但整体政治周期开启后市场逐步回归正常化，经济复苏的结构性转变螺旋向上。本基金会密切关注十九大之后中期方向性的指引以及产业的变化，为后续中长期投资奠定较好的基础。在上述的基本判断下，我们对中期市场更为乐观，配置上将更加稳健均衡，计划依然以增速与估值相对匹配、资产价值相对坚实的子行业与标的作为基础资产，在此基础上积极寻找向上的机会，在新兴产业、消费升级、价值股、优质成长股领域做一定布局。</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截至2017年12月31日，本基金份额净值为0.9730元，本报告期份额净值增长率为0.75%，同期业绩比较基准增长率为6.06%。</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EE49FE">
      <w:pPr>
        <w:pStyle w:val="1"/>
        <w:spacing w:beforeLines="100" w:after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lastRenderedPageBreak/>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1,995,422,921.72</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79.43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1,995,422,921.72</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79.43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124,212,300.00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4.94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124,212,300.00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4.94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lastRenderedPageBreak/>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255,502,003.25</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10.17</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129,534,510.41</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5.16</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
            </w:r>
            <w:r w:rsidR="00C012F9" w:rsidRPr="00414345">
              <w:rPr>
                <w:color w:val="000000"/>
                <w:sz w:val="24"/>
                <w:szCs w:val="24"/>
              </w:rPr>
              <w:t/>
            </w: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7,586,391.37</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0.30</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
            </w:r>
            <w:r w:rsidR="00C012F9" w:rsidRPr="00414345">
              <w:rPr>
                <w:color w:val="000000"/>
                <w:sz w:val="24"/>
                <w:szCs w:val="24"/>
              </w:rPr>
              <w:t/>
            </w: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2,512,258,126.75</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
            </w:r>
            <w:r w:rsidRPr="00414345">
              <w:rPr>
                <w:color w:val="000000"/>
                <w:sz w:val="24"/>
                <w:szCs w:val="24"/>
              </w:rPr>
              <w:lastRenderedPageBreak/>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b/>
          <w:color w:val="000000" w:themeColor="text1"/>
          <w:sz w:val="24"/>
        </w:rPr>
        <w:t/>
      </w: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35,849,044.00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1.44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41,071,000.00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1.65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1,107,563,496.43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44.53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16,143.20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144,387,573.38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193,326,948.00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
            </w:r>
            <w:r w:rsidRPr="00414345">
              <w:rPr>
                <w:sz w:val="24"/>
                <w:szCs w:val="24"/>
              </w:rPr>
              <w:lastRenderedPageBreak/>
              <w:t>7.77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17,942.76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47,030,748.67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290,892,208.00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11.70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106,125,000.00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28,682,196.40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
            </w:r>
            <w:r w:rsidRPr="00414345">
              <w:rPr>
                <w:sz w:val="24"/>
                <w:szCs w:val="24"/>
              </w:rPr>
              <w:lastRenderedPageBreak/>
              <w:t>1.15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32,323.20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428,297.68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1,995,422,921.72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
            </w:r>
            <w:r w:rsidRPr="00414345">
              <w:rPr>
                <w:sz w:val="24"/>
                <w:szCs w:val="24"/>
              </w:rPr>
              <w:lastRenderedPageBreak/>
              <w:t>80.23</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b/>
          <w:bCs/>
          <w:color w:val="000000" w:themeColor="text1"/>
          <w:kern w:val="0"/>
          <w:sz w:val="24"/>
        </w:rPr>
        <w:t/>
      </w: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002180</w:t>
            </w:r>
          </w:p>
        </w:tc>
        <w:tc>
          <w:tcPr>
            <w:vAlign w:val="center"/>
          </w:tcPr>
          <w:p>
            <w:pPr>
              <w:jc w:val="center"/>
            </w:pPr>
            <w:r>
              <w:rPr>
                <w:color w:val="000000"/>
                <w:sz w:val="24"/>
                <w:szCs w:val="24"/>
              </w:rPr>
              <w:t>纳思达</w:t>
            </w:r>
          </w:p>
        </w:tc>
        <w:tc>
          <w:tcPr>
            <w:vAlign w:val="center"/>
          </w:tcPr>
          <w:p>
            <w:pPr>
              <w:jc w:val="right"/>
            </w:pPr>
            <w:r>
              <w:rPr>
                <w:color w:val="000000"/>
                <w:sz w:val="24"/>
                <w:szCs w:val="24"/>
              </w:rPr>
              <w:t>7,300,000</w:t>
            </w:r>
          </w:p>
        </w:tc>
        <w:tc>
          <w:tcPr>
            <w:vAlign w:val="center"/>
          </w:tcPr>
          <w:p>
            <w:pPr>
              <w:jc w:val="right"/>
            </w:pPr>
            <w:r>
              <w:rPr>
                <w:color w:val="000000"/>
                <w:sz w:val="24"/>
                <w:szCs w:val="24"/>
              </w:rPr>
              <w:t>199,363,000.00</w:t>
            </w:r>
          </w:p>
        </w:tc>
        <w:tc>
          <w:tcPr>
            <w:vAlign w:val="center"/>
          </w:tcPr>
          <w:p>
            <w:pPr>
              <w:jc w:val="right"/>
            </w:pPr>
            <w:r>
              <w:rPr>
                <w:color w:val="000000"/>
                <w:sz w:val="24"/>
                <w:szCs w:val="24"/>
              </w:rPr>
              <w:t>8.02</w:t>
            </w:r>
          </w:p>
        </w:tc>
      </w:tr>
      <w:tr>
        <w:tc>
          <w:tcPr>
            <w:vAlign w:val="center"/>
          </w:tcPr>
          <w:p>
            <w:pPr>
              <w:jc w:val="center"/>
            </w:pPr>
            <w:r>
              <w:rPr>
                <w:color w:val="000000"/>
                <w:sz w:val="24"/>
                <w:szCs w:val="24"/>
              </w:rPr>
              <w:t>2</w:t>
            </w:r>
          </w:p>
        </w:tc>
        <w:tc>
          <w:tcPr>
            <w:vAlign w:val="center"/>
          </w:tcPr>
          <w:p>
            <w:pPr>
              <w:jc w:val="center"/>
            </w:pPr>
            <w:r>
              <w:rPr>
                <w:color w:val="000000"/>
                <w:sz w:val="24"/>
                <w:szCs w:val="24"/>
              </w:rPr>
              <w:t>300129</w:t>
            </w:r>
          </w:p>
        </w:tc>
        <w:tc>
          <w:tcPr>
            <w:vAlign w:val="center"/>
          </w:tcPr>
          <w:p>
            <w:pPr>
              <w:jc w:val="center"/>
            </w:pPr>
            <w:r>
              <w:rPr>
                <w:color w:val="000000"/>
                <w:sz w:val="24"/>
                <w:szCs w:val="24"/>
              </w:rPr>
              <w:t>泰胜风能</w:t>
            </w:r>
          </w:p>
        </w:tc>
        <w:tc>
          <w:tcPr>
            <w:vAlign w:val="center"/>
          </w:tcPr>
          <w:p>
            <w:pPr>
              <w:jc w:val="right"/>
            </w:pPr>
            <w:r>
              <w:rPr>
                <w:color w:val="000000"/>
                <w:sz w:val="24"/>
                <w:szCs w:val="24"/>
              </w:rPr>
              <w:t>16,813,190</w:t>
            </w:r>
          </w:p>
        </w:tc>
        <w:tc>
          <w:tcPr>
            <w:vAlign w:val="center"/>
          </w:tcPr>
          <w:p>
            <w:pPr>
              <w:jc w:val="right"/>
            </w:pPr>
            <w:r>
              <w:rPr>
                <w:color w:val="000000"/>
                <w:sz w:val="24"/>
                <w:szCs w:val="24"/>
              </w:rPr>
              <w:t>135,346,179.50</w:t>
            </w:r>
          </w:p>
        </w:tc>
        <w:tc>
          <w:tcPr>
            <w:vAlign w:val="center"/>
          </w:tcPr>
          <w:p>
            <w:pPr>
              <w:jc w:val="right"/>
            </w:pPr>
            <w:r>
              <w:rPr>
                <w:color w:val="000000"/>
                <w:sz w:val="24"/>
                <w:szCs w:val="24"/>
              </w:rPr>
              <w:t>5.44</w:t>
            </w:r>
          </w:p>
        </w:tc>
      </w:tr>
      <w:tr>
        <w:tc>
          <w:tcPr>
            <w:vAlign w:val="center"/>
          </w:tcPr>
          <w:p>
            <w:pPr>
              <w:jc w:val="center"/>
            </w:pPr>
            <w:r>
              <w:rPr>
                <w:color w:val="000000"/>
                <w:sz w:val="24"/>
                <w:szCs w:val="24"/>
              </w:rPr>
              <w:t>3</w:t>
            </w:r>
          </w:p>
        </w:tc>
        <w:tc>
          <w:tcPr>
            <w:vAlign w:val="center"/>
          </w:tcPr>
          <w:p>
            <w:pPr>
              <w:jc w:val="center"/>
            </w:pPr>
            <w:r>
              <w:rPr>
                <w:color w:val="000000"/>
                <w:sz w:val="24"/>
                <w:szCs w:val="24"/>
              </w:rPr>
              <w:t>300413</w:t>
            </w:r>
          </w:p>
        </w:tc>
        <w:tc>
          <w:tcPr>
            <w:vAlign w:val="center"/>
          </w:tcPr>
          <w:p>
            <w:pPr>
              <w:jc w:val="center"/>
            </w:pPr>
            <w:r>
              <w:rPr>
                <w:color w:val="000000"/>
                <w:sz w:val="24"/>
                <w:szCs w:val="24"/>
              </w:rPr>
              <w:t>快乐购</w:t>
            </w:r>
          </w:p>
        </w:tc>
        <w:tc>
          <w:tcPr>
            <w:vAlign w:val="center"/>
          </w:tcPr>
          <w:p>
            <w:pPr>
              <w:jc w:val="right"/>
            </w:pPr>
            <w:r>
              <w:rPr>
                <w:color w:val="000000"/>
                <w:sz w:val="24"/>
                <w:szCs w:val="24"/>
              </w:rPr>
              <w:t>4,207,638</w:t>
            </w:r>
          </w:p>
        </w:tc>
        <w:tc>
          <w:tcPr>
            <w:vAlign w:val="center"/>
          </w:tcPr>
          <w:p>
            <w:pPr>
              <w:jc w:val="right"/>
            </w:pPr>
            <w:r>
              <w:rPr>
                <w:color w:val="000000"/>
                <w:sz w:val="24"/>
                <w:szCs w:val="24"/>
              </w:rPr>
              <w:t>125,597,994.30</w:t>
            </w:r>
          </w:p>
        </w:tc>
        <w:tc>
          <w:tcPr>
            <w:vAlign w:val="center"/>
          </w:tcPr>
          <w:p>
            <w:pPr>
              <w:jc w:val="right"/>
            </w:pPr>
            <w:r>
              <w:rPr>
                <w:color w:val="000000"/>
                <w:sz w:val="24"/>
                <w:szCs w:val="24"/>
              </w:rPr>
              <w:t>5.05</w:t>
            </w:r>
          </w:p>
        </w:tc>
      </w:tr>
      <w:tr>
        <w:tc>
          <w:tcPr>
            <w:vAlign w:val="center"/>
          </w:tcPr>
          <w:p>
            <w:pPr>
              <w:jc w:val="center"/>
            </w:pPr>
            <w:r>
              <w:rPr>
                <w:color w:val="000000"/>
                <w:sz w:val="24"/>
                <w:szCs w:val="24"/>
              </w:rPr>
              <w:t>4</w:t>
            </w:r>
          </w:p>
        </w:tc>
        <w:tc>
          <w:tcPr>
            <w:vAlign w:val="center"/>
          </w:tcPr>
          <w:p>
            <w:pPr>
              <w:jc w:val="center"/>
            </w:pPr>
            <w:r>
              <w:rPr>
                <w:color w:val="000000"/>
                <w:sz w:val="24"/>
                <w:szCs w:val="24"/>
              </w:rPr>
              <w:t>601398</w:t>
            </w:r>
          </w:p>
        </w:tc>
        <w:tc>
          <w:tcPr>
            <w:vAlign w:val="center"/>
          </w:tcPr>
          <w:p>
            <w:pPr>
              <w:jc w:val="center"/>
            </w:pPr>
            <w:r>
              <w:rPr>
                <w:color w:val="000000"/>
                <w:sz w:val="24"/>
                <w:szCs w:val="24"/>
              </w:rPr>
              <w:t>工商银行</w:t>
            </w:r>
          </w:p>
        </w:tc>
        <w:tc>
          <w:tcPr>
            <w:vAlign w:val="center"/>
          </w:tcPr>
          <w:p>
            <w:pPr>
              <w:jc w:val="right"/>
            </w:pPr>
            <w:r>
              <w:rPr>
                <w:color w:val="000000"/>
                <w:sz w:val="24"/>
                <w:szCs w:val="24"/>
              </w:rPr>
              <w:t>20,000,000</w:t>
            </w:r>
          </w:p>
        </w:tc>
        <w:tc>
          <w:tcPr>
            <w:vAlign w:val="center"/>
          </w:tcPr>
          <w:p>
            <w:pPr>
              <w:jc w:val="right"/>
            </w:pPr>
            <w:r>
              <w:rPr>
                <w:color w:val="000000"/>
                <w:sz w:val="24"/>
                <w:szCs w:val="24"/>
              </w:rPr>
              <w:t>124,000,000.00</w:t>
            </w:r>
          </w:p>
        </w:tc>
        <w:tc>
          <w:tcPr>
            <w:vAlign w:val="center"/>
          </w:tcPr>
          <w:p>
            <w:pPr>
              <w:jc w:val="right"/>
            </w:pPr>
            <w:r>
              <w:rPr>
                <w:color w:val="000000"/>
                <w:sz w:val="24"/>
                <w:szCs w:val="24"/>
              </w:rPr>
              <w:t>4.99</w:t>
            </w:r>
          </w:p>
        </w:tc>
      </w:tr>
      <w:tr>
        <w:tc>
          <w:tcPr>
            <w:vAlign w:val="center"/>
          </w:tcPr>
          <w:p>
            <w:pPr>
              <w:jc w:val="center"/>
            </w:pPr>
            <w:r>
              <w:rPr>
                <w:color w:val="000000"/>
                <w:sz w:val="24"/>
                <w:szCs w:val="24"/>
              </w:rPr>
              <w:t>5</w:t>
            </w:r>
          </w:p>
        </w:tc>
        <w:tc>
          <w:tcPr>
            <w:vAlign w:val="center"/>
          </w:tcPr>
          <w:p>
            <w:pPr>
              <w:jc w:val="center"/>
            </w:pPr>
            <w:r>
              <w:rPr>
                <w:color w:val="000000"/>
                <w:sz w:val="24"/>
                <w:szCs w:val="24"/>
              </w:rPr>
              <w:t>600048</w:t>
            </w:r>
          </w:p>
        </w:tc>
        <w:tc>
          <w:tcPr>
            <w:vAlign w:val="center"/>
          </w:tcPr>
          <w:p>
            <w:pPr>
              <w:jc w:val="center"/>
            </w:pPr>
            <w:r>
              <w:rPr>
                <w:color w:val="000000"/>
                <w:sz w:val="24"/>
                <w:szCs w:val="24"/>
              </w:rPr>
              <w:t>保利地产</w:t>
            </w:r>
          </w:p>
        </w:tc>
        <w:tc>
          <w:tcPr>
            <w:vAlign w:val="center"/>
          </w:tcPr>
          <w:p>
            <w:pPr>
              <w:jc w:val="right"/>
            </w:pPr>
            <w:r>
              <w:rPr>
                <w:color w:val="000000"/>
                <w:sz w:val="24"/>
                <w:szCs w:val="24"/>
              </w:rPr>
              <w:t>7,500,000</w:t>
            </w:r>
          </w:p>
        </w:tc>
        <w:tc>
          <w:tcPr>
            <w:vAlign w:val="center"/>
          </w:tcPr>
          <w:p>
            <w:pPr>
              <w:jc w:val="right"/>
            </w:pPr>
            <w:r>
              <w:rPr>
                <w:color w:val="000000"/>
                <w:sz w:val="24"/>
                <w:szCs w:val="24"/>
              </w:rPr>
              <w:t>106,125,000.00</w:t>
            </w:r>
          </w:p>
        </w:tc>
        <w:tc>
          <w:tcPr>
            <w:vAlign w:val="center"/>
          </w:tcPr>
          <w:p>
            <w:pPr>
              <w:jc w:val="right"/>
            </w:pPr>
            <w:r>
              <w:rPr>
                <w:color w:val="000000"/>
                <w:sz w:val="24"/>
                <w:szCs w:val="24"/>
              </w:rPr>
              <w:t>4.27</w:t>
            </w:r>
          </w:p>
        </w:tc>
      </w:tr>
      <w:tr>
        <w:tc>
          <w:tcPr>
            <w:vAlign w:val="center"/>
          </w:tcPr>
          <w:p>
            <w:pPr>
              <w:jc w:val="center"/>
            </w:pPr>
            <w:r>
              <w:rPr>
                <w:color w:val="000000"/>
                <w:sz w:val="24"/>
                <w:szCs w:val="24"/>
              </w:rPr>
              <w:t>6</w:t>
            </w:r>
          </w:p>
        </w:tc>
        <w:tc>
          <w:tcPr>
            <w:vAlign w:val="center"/>
          </w:tcPr>
          <w:p>
            <w:pPr>
              <w:jc w:val="center"/>
            </w:pPr>
            <w:r>
              <w:rPr>
                <w:color w:val="000000"/>
                <w:sz w:val="24"/>
                <w:szCs w:val="24"/>
              </w:rPr>
              <w:t>601288</w:t>
            </w:r>
          </w:p>
        </w:tc>
        <w:tc>
          <w:tcPr>
            <w:vAlign w:val="center"/>
          </w:tcPr>
          <w:p>
            <w:pPr>
              <w:jc w:val="center"/>
            </w:pPr>
            <w:r>
              <w:rPr>
                <w:color w:val="000000"/>
                <w:sz w:val="24"/>
                <w:szCs w:val="24"/>
              </w:rPr>
              <w:t>农业银行</w:t>
            </w:r>
          </w:p>
        </w:tc>
        <w:tc>
          <w:tcPr>
            <w:vAlign w:val="center"/>
          </w:tcPr>
          <w:p>
            <w:pPr>
              <w:jc w:val="right"/>
            </w:pPr>
            <w:r>
              <w:rPr>
                <w:color w:val="000000"/>
                <w:sz w:val="24"/>
                <w:szCs w:val="24"/>
              </w:rPr>
              <w:t>27,000,000</w:t>
            </w:r>
          </w:p>
        </w:tc>
        <w:tc>
          <w:tcPr>
            <w:vAlign w:val="center"/>
          </w:tcPr>
          <w:p>
            <w:pPr>
              <w:jc w:val="right"/>
            </w:pPr>
            <w:r>
              <w:rPr>
                <w:color w:val="000000"/>
                <w:sz w:val="24"/>
                <w:szCs w:val="24"/>
              </w:rPr>
              <w:t>103,410,000.00</w:t>
            </w:r>
          </w:p>
        </w:tc>
        <w:tc>
          <w:tcPr>
            <w:vAlign w:val="center"/>
          </w:tcPr>
          <w:p>
            <w:pPr>
              <w:jc w:val="right"/>
            </w:pPr>
            <w:r>
              <w:rPr>
                <w:color w:val="000000"/>
                <w:sz w:val="24"/>
                <w:szCs w:val="24"/>
              </w:rPr>
              <w:t>4.16</w:t>
            </w:r>
          </w:p>
        </w:tc>
      </w:tr>
      <w:tr>
        <w:tc>
          <w:tcPr>
            <w:vAlign w:val="center"/>
          </w:tcPr>
          <w:p>
            <w:pPr>
              <w:jc w:val="center"/>
            </w:pPr>
            <w:r>
              <w:rPr>
                <w:color w:val="000000"/>
                <w:sz w:val="24"/>
                <w:szCs w:val="24"/>
              </w:rPr>
              <w:t>7</w:t>
            </w:r>
          </w:p>
        </w:tc>
        <w:tc>
          <w:tcPr>
            <w:vAlign w:val="center"/>
          </w:tcPr>
          <w:p>
            <w:pPr>
              <w:jc w:val="center"/>
            </w:pPr>
            <w:r>
              <w:rPr>
                <w:color w:val="000000"/>
                <w:sz w:val="24"/>
                <w:szCs w:val="24"/>
              </w:rPr>
              <w:t>002304</w:t>
            </w:r>
          </w:p>
        </w:tc>
        <w:tc>
          <w:tcPr>
            <w:vAlign w:val="center"/>
          </w:tcPr>
          <w:p>
            <w:pPr>
              <w:jc w:val="center"/>
            </w:pPr>
            <w:r>
              <w:rPr>
                <w:color w:val="000000"/>
                <w:sz w:val="24"/>
                <w:szCs w:val="24"/>
              </w:rPr>
              <w:t>洋河股份</w:t>
            </w:r>
          </w:p>
        </w:tc>
        <w:tc>
          <w:tcPr>
            <w:vAlign w:val="center"/>
          </w:tcPr>
          <w:p>
            <w:pPr>
              <w:jc w:val="right"/>
            </w:pPr>
            <w:r>
              <w:rPr>
                <w:color w:val="000000"/>
                <w:sz w:val="24"/>
                <w:szCs w:val="24"/>
              </w:rPr>
              <w:t>850,570</w:t>
            </w:r>
          </w:p>
        </w:tc>
        <w:tc>
          <w:tcPr>
            <w:vAlign w:val="center"/>
          </w:tcPr>
          <w:p>
            <w:pPr>
              <w:jc w:val="right"/>
            </w:pPr>
            <w:r>
              <w:rPr>
                <w:color w:val="000000"/>
                <w:sz w:val="24"/>
                <w:szCs w:val="24"/>
              </w:rPr>
              <w:t>97,815,550.00</w:t>
            </w:r>
          </w:p>
        </w:tc>
        <w:tc>
          <w:tcPr>
            <w:vAlign w:val="center"/>
          </w:tcPr>
          <w:p>
            <w:pPr>
              <w:jc w:val="right"/>
            </w:pPr>
            <w:r>
              <w:rPr>
                <w:color w:val="000000"/>
                <w:sz w:val="24"/>
                <w:szCs w:val="24"/>
              </w:rPr>
              <w:t>3.93</w:t>
            </w:r>
          </w:p>
        </w:tc>
      </w:tr>
      <w:tr>
        <w:tc>
          <w:tcPr>
            <w:vAlign w:val="center"/>
          </w:tcPr>
          <w:p>
            <w:pPr>
              <w:jc w:val="center"/>
            </w:pPr>
            <w:r>
              <w:rPr>
                <w:color w:val="000000"/>
                <w:sz w:val="24"/>
                <w:szCs w:val="24"/>
              </w:rPr>
              <w:t>8</w:t>
            </w:r>
          </w:p>
        </w:tc>
        <w:tc>
          <w:tcPr>
            <w:vAlign w:val="center"/>
          </w:tcPr>
          <w:p>
            <w:pPr>
              <w:jc w:val="center"/>
            </w:pPr>
            <w:r>
              <w:rPr>
                <w:color w:val="000000"/>
                <w:sz w:val="24"/>
                <w:szCs w:val="24"/>
              </w:rPr>
              <w:t>000858</w:t>
            </w:r>
          </w:p>
        </w:tc>
        <w:tc>
          <w:tcPr>
            <w:vAlign w:val="center"/>
          </w:tcPr>
          <w:p>
            <w:pPr>
              <w:jc w:val="center"/>
            </w:pPr>
            <w:r>
              <w:rPr>
                <w:color w:val="000000"/>
                <w:sz w:val="24"/>
                <w:szCs w:val="24"/>
              </w:rPr>
              <w:t>五 粮 液</w:t>
            </w:r>
          </w:p>
        </w:tc>
        <w:tc>
          <w:tcPr>
            <w:vAlign w:val="center"/>
          </w:tcPr>
          <w:p>
            <w:pPr>
              <w:jc w:val="right"/>
            </w:pPr>
            <w:r>
              <w:rPr>
                <w:color w:val="000000"/>
                <w:sz w:val="24"/>
                <w:szCs w:val="24"/>
              </w:rPr>
              <w:t>1,200,000</w:t>
            </w:r>
          </w:p>
        </w:tc>
        <w:tc>
          <w:tcPr>
            <w:vAlign w:val="center"/>
          </w:tcPr>
          <w:p>
            <w:pPr>
              <w:jc w:val="right"/>
            </w:pPr>
            <w:r>
              <w:rPr>
                <w:color w:val="000000"/>
                <w:sz w:val="24"/>
                <w:szCs w:val="24"/>
              </w:rPr>
              <w:t>95,856,000.00</w:t>
            </w:r>
          </w:p>
        </w:tc>
        <w:tc>
          <w:tcPr>
            <w:vAlign w:val="center"/>
          </w:tcPr>
          <w:p>
            <w:pPr>
              <w:jc w:val="right"/>
            </w:pPr>
            <w:r>
              <w:rPr>
                <w:color w:val="000000"/>
                <w:sz w:val="24"/>
                <w:szCs w:val="24"/>
              </w:rPr>
              <w:t>3.85</w:t>
            </w:r>
          </w:p>
        </w:tc>
      </w:tr>
      <w:tr>
        <w:tc>
          <w:tcPr>
            <w:vAlign w:val="center"/>
          </w:tcPr>
          <w:p>
            <w:pPr>
              <w:jc w:val="center"/>
            </w:pPr>
            <w:r>
              <w:rPr>
                <w:color w:val="000000"/>
                <w:sz w:val="24"/>
                <w:szCs w:val="24"/>
              </w:rPr>
              <w:t>9</w:t>
            </w:r>
          </w:p>
        </w:tc>
        <w:tc>
          <w:tcPr>
            <w:vAlign w:val="center"/>
          </w:tcPr>
          <w:p>
            <w:pPr>
              <w:jc w:val="center"/>
            </w:pPr>
            <w:r>
              <w:rPr>
                <w:color w:val="000000"/>
                <w:sz w:val="24"/>
                <w:szCs w:val="24"/>
              </w:rPr>
              <w:t>000538</w:t>
            </w:r>
          </w:p>
        </w:tc>
        <w:tc>
          <w:tcPr>
            <w:vAlign w:val="center"/>
          </w:tcPr>
          <w:p>
            <w:pPr>
              <w:jc w:val="center"/>
            </w:pPr>
            <w:r>
              <w:rPr>
                <w:color w:val="000000"/>
                <w:sz w:val="24"/>
                <w:szCs w:val="24"/>
              </w:rPr>
              <w:t>云南白药</w:t>
            </w:r>
          </w:p>
        </w:tc>
        <w:tc>
          <w:tcPr>
            <w:vAlign w:val="center"/>
          </w:tcPr>
          <w:p>
            <w:pPr>
              <w:jc w:val="right"/>
            </w:pPr>
            <w:r>
              <w:rPr>
                <w:color w:val="000000"/>
                <w:sz w:val="24"/>
                <w:szCs w:val="24"/>
              </w:rPr>
              <w:t>900,963</w:t>
            </w:r>
          </w:p>
        </w:tc>
        <w:tc>
          <w:tcPr>
            <w:vAlign w:val="center"/>
          </w:tcPr>
          <w:p>
            <w:pPr>
              <w:jc w:val="right"/>
            </w:pPr>
            <w:r>
              <w:rPr>
                <w:color w:val="000000"/>
                <w:sz w:val="24"/>
                <w:szCs w:val="24"/>
              </w:rPr>
              <w:t>91,709,023.77</w:t>
            </w:r>
          </w:p>
        </w:tc>
        <w:tc>
          <w:tcPr>
            <w:vAlign w:val="center"/>
          </w:tcPr>
          <w:p>
            <w:pPr>
              <w:jc w:val="right"/>
            </w:pPr>
            <w:r>
              <w:rPr>
                <w:color w:val="000000"/>
                <w:sz w:val="24"/>
                <w:szCs w:val="24"/>
              </w:rPr>
              <w:t>3.69</w:t>
            </w:r>
          </w:p>
        </w:tc>
      </w:tr>
      <w:tr>
        <w:tc>
          <w:tcPr>
            <w:vAlign w:val="center"/>
          </w:tcPr>
          <w:p>
            <w:pPr>
              <w:jc w:val="center"/>
            </w:pPr>
            <w:r>
              <w:rPr>
                <w:color w:val="000000"/>
                <w:sz w:val="24"/>
                <w:szCs w:val="24"/>
              </w:rPr>
              <w:t>10</w:t>
            </w:r>
          </w:p>
        </w:tc>
        <w:tc>
          <w:tcPr>
            <w:vAlign w:val="center"/>
          </w:tcPr>
          <w:p>
            <w:pPr>
              <w:jc w:val="center"/>
            </w:pPr>
            <w:r>
              <w:rPr>
                <w:color w:val="000000"/>
                <w:sz w:val="24"/>
                <w:szCs w:val="24"/>
              </w:rPr>
              <w:t>002001</w:t>
            </w:r>
          </w:p>
        </w:tc>
        <w:tc>
          <w:tcPr>
            <w:vAlign w:val="center"/>
          </w:tcPr>
          <w:p>
            <w:pPr>
              <w:jc w:val="center"/>
            </w:pPr>
            <w:r>
              <w:rPr>
                <w:color w:val="000000"/>
                <w:sz w:val="24"/>
                <w:szCs w:val="24"/>
              </w:rPr>
              <w:t>新 和 成</w:t>
            </w:r>
          </w:p>
        </w:tc>
        <w:tc>
          <w:tcPr>
            <w:vAlign w:val="center"/>
          </w:tcPr>
          <w:p>
            <w:pPr>
              <w:jc w:val="right"/>
            </w:pPr>
            <w:r>
              <w:rPr>
                <w:color w:val="000000"/>
                <w:sz w:val="24"/>
                <w:szCs w:val="24"/>
              </w:rPr>
              <w:t>2,100,000</w:t>
            </w:r>
          </w:p>
        </w:tc>
        <w:tc>
          <w:tcPr>
            <w:vAlign w:val="center"/>
          </w:tcPr>
          <w:p>
            <w:pPr>
              <w:jc w:val="right"/>
            </w:pPr>
            <w:r>
              <w:rPr>
                <w:color w:val="000000"/>
                <w:sz w:val="24"/>
                <w:szCs w:val="24"/>
              </w:rPr>
              <w:t>79,926,000.00</w:t>
            </w:r>
          </w:p>
        </w:tc>
        <w:tc>
          <w:tcPr>
            <w:vAlign w:val="center"/>
          </w:tcPr>
          <w:p>
            <w:pPr>
              <w:jc w:val="right"/>
            </w:pPr>
            <w:r>
              <w:rPr>
                <w:color w:val="000000"/>
                <w:sz w:val="24"/>
                <w:szCs w:val="24"/>
              </w:rPr>
              <w:t>3.21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lastRenderedPageBreak/>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119,886,000.00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4.82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119,886,000.00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4.82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lastRenderedPageBreak/>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4,326,300.00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0.17</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124,212,300.00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4.99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170203</w:t>
            </w:r>
          </w:p>
        </w:tc>
        <w:tc>
          <w:tcPr>
            <w:vAlign w:val="center"/>
          </w:tcPr>
          <w:p>
            <w:pPr>
              <w:jc w:val="center"/>
            </w:pPr>
            <w:r>
              <w:rPr>
                <w:color w:val="000000"/>
                <w:sz w:val="24"/>
                <w:szCs w:val="24"/>
              </w:rPr>
              <w:t>17国开03</w:t>
            </w:r>
          </w:p>
        </w:tc>
        <w:tc>
          <w:tcPr>
            <w:vAlign w:val="center"/>
          </w:tcPr>
          <w:p>
            <w:pPr>
              <w:jc w:val="right"/>
            </w:pPr>
            <w:r>
              <w:rPr>
                <w:color w:val="000000"/>
                <w:sz w:val="24"/>
                <w:szCs w:val="24"/>
              </w:rPr>
              <w:t>1,000,000</w:t>
            </w:r>
          </w:p>
        </w:tc>
        <w:tc>
          <w:tcPr>
            <w:vAlign w:val="center"/>
          </w:tcPr>
          <w:p>
            <w:pPr>
              <w:jc w:val="right"/>
            </w:pPr>
            <w:r>
              <w:rPr>
                <w:color w:val="000000"/>
                <w:sz w:val="24"/>
                <w:szCs w:val="24"/>
              </w:rPr>
              <w:t>99,930,000.00</w:t>
            </w:r>
          </w:p>
        </w:tc>
        <w:tc>
          <w:tcPr>
            <w:vAlign w:val="center"/>
          </w:tcPr>
          <w:p>
            <w:pPr>
              <w:jc w:val="right"/>
            </w:pPr>
            <w:r>
              <w:rPr>
                <w:color w:val="000000"/>
                <w:sz w:val="24"/>
                <w:szCs w:val="24"/>
              </w:rPr>
              <w:t>4.02</w:t>
            </w:r>
          </w:p>
        </w:tc>
      </w:tr>
      <w:tr>
        <w:tc>
          <w:tcPr>
            <w:vAlign w:val="center"/>
          </w:tcPr>
          <w:p>
            <w:pPr>
              <w:jc w:val="center"/>
            </w:pPr>
            <w:r>
              <w:rPr>
                <w:color w:val="000000"/>
                <w:sz w:val="24"/>
                <w:szCs w:val="24"/>
              </w:rPr>
              <w:t>2</w:t>
            </w:r>
          </w:p>
        </w:tc>
        <w:tc>
          <w:tcPr>
            <w:vAlign w:val="center"/>
          </w:tcPr>
          <w:p>
            <w:pPr>
              <w:jc w:val="center"/>
            </w:pPr>
            <w:r>
              <w:rPr>
                <w:color w:val="000000"/>
                <w:sz w:val="24"/>
                <w:szCs w:val="24"/>
              </w:rPr>
              <w:t>108601</w:t>
            </w:r>
          </w:p>
        </w:tc>
        <w:tc>
          <w:tcPr>
            <w:vAlign w:val="center"/>
          </w:tcPr>
          <w:p>
            <w:pPr>
              <w:jc w:val="center"/>
            </w:pPr>
            <w:r>
              <w:rPr>
                <w:color w:val="000000"/>
                <w:sz w:val="24"/>
                <w:szCs w:val="24"/>
              </w:rPr>
              <w:t>国开1703</w:t>
            </w:r>
          </w:p>
        </w:tc>
        <w:tc>
          <w:tcPr>
            <w:vAlign w:val="center"/>
          </w:tcPr>
          <w:p>
            <w:pPr>
              <w:jc w:val="right"/>
            </w:pPr>
            <w:r>
              <w:rPr>
                <w:color w:val="000000"/>
                <w:sz w:val="24"/>
                <w:szCs w:val="24"/>
              </w:rPr>
              <w:t>200,000</w:t>
            </w:r>
          </w:p>
        </w:tc>
        <w:tc>
          <w:tcPr>
            <w:vAlign w:val="center"/>
          </w:tcPr>
          <w:p>
            <w:pPr>
              <w:jc w:val="right"/>
            </w:pPr>
            <w:r>
              <w:rPr>
                <w:color w:val="000000"/>
                <w:sz w:val="24"/>
                <w:szCs w:val="24"/>
              </w:rPr>
              <w:t>19,956,000.00</w:t>
            </w:r>
          </w:p>
        </w:tc>
        <w:tc>
          <w:tcPr>
            <w:vAlign w:val="center"/>
          </w:tcPr>
          <w:p>
            <w:pPr>
              <w:jc w:val="right"/>
            </w:pPr>
            <w:r>
              <w:rPr>
                <w:color w:val="000000"/>
                <w:sz w:val="24"/>
                <w:szCs w:val="24"/>
              </w:rPr>
              <w:t>0.80</w:t>
            </w:r>
          </w:p>
        </w:tc>
      </w:tr>
      <w:tr>
        <w:tc>
          <w:tcPr>
            <w:vAlign w:val="center"/>
          </w:tcPr>
          <w:p>
            <w:pPr>
              <w:jc w:val="center"/>
            </w:pPr>
            <w:r>
              <w:rPr>
                <w:color w:val="000000"/>
                <w:sz w:val="24"/>
                <w:szCs w:val="24"/>
              </w:rPr>
              <w:t>3</w:t>
            </w:r>
          </w:p>
        </w:tc>
        <w:tc>
          <w:tcPr>
            <w:vAlign w:val="center"/>
          </w:tcPr>
          <w:p>
            <w:pPr>
              <w:jc w:val="center"/>
            </w:pPr>
            <w:r>
              <w:rPr>
                <w:color w:val="000000"/>
                <w:sz w:val="24"/>
                <w:szCs w:val="24"/>
              </w:rPr>
              <w:t>123004</w:t>
            </w:r>
          </w:p>
        </w:tc>
        <w:tc>
          <w:tcPr>
            <w:vAlign w:val="center"/>
          </w:tcPr>
          <w:p>
            <w:pPr>
              <w:jc w:val="center"/>
            </w:pPr>
            <w:r>
              <w:rPr>
                <w:color w:val="000000"/>
                <w:sz w:val="24"/>
                <w:szCs w:val="24"/>
              </w:rPr>
              <w:t>铁汉转债</w:t>
            </w:r>
          </w:p>
        </w:tc>
        <w:tc>
          <w:tcPr>
            <w:vAlign w:val="center"/>
          </w:tcPr>
          <w:p>
            <w:pPr>
              <w:jc w:val="right"/>
            </w:pPr>
            <w:r>
              <w:rPr>
                <w:color w:val="000000"/>
                <w:sz w:val="24"/>
                <w:szCs w:val="24"/>
              </w:rPr>
              <w:t>43,263</w:t>
            </w:r>
          </w:p>
        </w:tc>
        <w:tc>
          <w:tcPr>
            <w:vAlign w:val="center"/>
          </w:tcPr>
          <w:p>
            <w:pPr>
              <w:jc w:val="right"/>
            </w:pPr>
            <w:r>
              <w:rPr>
                <w:color w:val="000000"/>
                <w:sz w:val="24"/>
                <w:szCs w:val="24"/>
              </w:rPr>
              <w:t>4,326,300.00</w:t>
            </w:r>
          </w:p>
        </w:tc>
        <w:tc>
          <w:tcPr>
            <w:vAlign w:val="center"/>
          </w:tcPr>
          <w:p>
            <w:pPr>
              <w:jc w:val="right"/>
            </w:pPr>
            <w:r>
              <w:rPr>
                <w:color w:val="000000"/>
                <w:sz w:val="24"/>
                <w:szCs w:val="24"/>
              </w:rPr>
              <w:t>0.17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CD570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892,125.56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2,342,214.79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3,679,484.12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672,566.90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7,586,391.37</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8E326D" w:rsidRPr="00414345">
        <w:rPr>
          <w:color w:val="000000"/>
          <w:sz w:val="24"/>
          <w:szCs w:val="24"/>
        </w:rPr>
        <w:t/>
      </w:r>
      <w:r w:rsidR="004061AC"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D02347"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r w:rsidR="003259C8"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8F60F2"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2,689,383,175.16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49,546,879.34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182,782,829.27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2,556,147,225.23</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注：1、如果本报告期间发生转换入、红利再投业务，则总申购份额中包含该业务；     </w:t>
      </w:r>
    </w:p>
    <w:p w:rsidR="004061AC" w:rsidRPr="00414345" w:rsidRDefault="00F743D4" w:rsidP="00C15CAC">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2、如果本报告期间发生转换出业务，则总赎回份额中包含该业务。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ED2620" w:rsidP="00EE49FE">
      <w:pPr>
        <w:pStyle w:val="1"/>
        <w:tabs>
          <w:tab w:val="center" w:pos="4156"/>
          <w:tab w:val="right" w:pos="8312"/>
        </w:tabs>
        <w:spacing w:beforeLines="100" w:after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EE49FE">
      <w:pPr>
        <w:pStyle w:val="1"/>
        <w:spacing w:beforeLines="100" w:after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8</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Chars="200" w:firstLine="480"/>
        <w:rPr>
          <w:color w:val="000000"/>
          <w:sz w:val="24"/>
          <w:szCs w:val="24"/>
        </w:rPr>
      </w:pPr>
      <w:r>
        <w:rPr>
          <w:color w:val="000000"/>
          <w:sz w:val="24"/>
          <w:szCs w:val="24"/>
        </w:rPr>
        <w:t xml:space="preserve">1、中国证监会批准交银施罗德蓝筹股票证券投资基金募集的文件； </w:t>
      </w:r>
    </w:p>
    <w:p>
      <w:pPr>
        <w:spacing w:before="29" w:line="288" w:lineRule="auto"/>
        <w:ind w:firstLineChars="200" w:firstLine="480"/>
        <w:rPr>
          <w:color w:val="000000"/>
          <w:sz w:val="24"/>
          <w:szCs w:val="24"/>
        </w:rPr>
      </w:pPr>
      <w:r>
        <w:rPr>
          <w:color w:val="000000"/>
          <w:sz w:val="24"/>
          <w:szCs w:val="24"/>
        </w:rPr>
        <w:t xml:space="preserve">2、《交银施罗德蓝筹混合型证券投资基金基金合同》； </w:t>
      </w:r>
    </w:p>
    <w:p>
      <w:pPr>
        <w:spacing w:before="29" w:line="288" w:lineRule="auto"/>
        <w:ind w:firstLineChars="200" w:firstLine="480"/>
        <w:rPr>
          <w:color w:val="000000"/>
          <w:sz w:val="24"/>
          <w:szCs w:val="24"/>
        </w:rPr>
      </w:pPr>
      <w:r>
        <w:rPr>
          <w:color w:val="000000"/>
          <w:sz w:val="24"/>
          <w:szCs w:val="24"/>
        </w:rPr>
        <w:t xml:space="preserve">3、《交银施罗德蓝筹混合型证券投资基金招募说明书》； </w:t>
      </w:r>
    </w:p>
    <w:p>
      <w:pPr>
        <w:spacing w:before="29" w:line="288" w:lineRule="auto"/>
        <w:ind w:firstLineChars="200" w:firstLine="480"/>
        <w:rPr>
          <w:color w:val="000000"/>
          <w:sz w:val="24"/>
          <w:szCs w:val="24"/>
        </w:rPr>
      </w:pPr>
      <w:r>
        <w:rPr>
          <w:color w:val="000000"/>
          <w:sz w:val="24"/>
          <w:szCs w:val="24"/>
        </w:rPr>
        <w:t xml:space="preserve">4、《交银施罗德蓝筹混合型证券投资基金托管协议》； </w:t>
      </w:r>
    </w:p>
    <w:p>
      <w:pPr>
        <w:spacing w:before="29" w:line="288" w:lineRule="auto"/>
        <w:ind w:firstLineChars="200" w:firstLine="480"/>
        <w:rPr>
          <w:color w:val="000000"/>
          <w:sz w:val="24"/>
          <w:szCs w:val="24"/>
        </w:rPr>
      </w:pPr>
      <w:r>
        <w:rPr>
          <w:color w:val="000000"/>
          <w:sz w:val="24"/>
          <w:szCs w:val="24"/>
        </w:rPr>
        <w:t xml:space="preserve">5、关于募集交银施罗德蓝筹股票证券投资基金之法律意见书； </w:t>
      </w:r>
    </w:p>
    <w:p>
      <w:pPr>
        <w:spacing w:before="29" w:line="288" w:lineRule="auto"/>
        <w:ind w:firstLineChars="200" w:firstLine="480"/>
        <w:rPr>
          <w:color w:val="000000"/>
          <w:sz w:val="24"/>
          <w:szCs w:val="24"/>
        </w:rPr>
      </w:pPr>
      <w:r>
        <w:rPr>
          <w:color w:val="000000"/>
          <w:sz w:val="24"/>
          <w:szCs w:val="24"/>
        </w:rPr>
        <w:t xml:space="preserve">6、基金管理人业务资格批件、营业执照； </w:t>
      </w:r>
    </w:p>
    <w:p>
      <w:pPr>
        <w:spacing w:before="29" w:line="288" w:lineRule="auto"/>
        <w:ind w:firstLineChars="200" w:firstLine="480"/>
        <w:rPr>
          <w:color w:val="000000"/>
          <w:sz w:val="24"/>
          <w:szCs w:val="24"/>
        </w:rPr>
      </w:pPr>
      <w:r>
        <w:rPr>
          <w:color w:val="000000"/>
          <w:sz w:val="24"/>
          <w:szCs w:val="24"/>
        </w:rPr>
        <w:t xml:space="preserve">7、基金托管人业务资格批件、营业执照；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8、报告期内交银施罗德蓝筹混合型证券投资基金在指定报刊上各项公告的原稿。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Chars="200" w:firstLine="480"/>
        <w:rPr>
          <w:color w:val="000000"/>
          <w:sz w:val="24"/>
          <w:szCs w:val="24"/>
        </w:rPr>
      </w:pPr>
      <w:r>
        <w:rPr>
          <w:color w:val="000000"/>
          <w:sz w:val="24"/>
          <w:szCs w:val="24"/>
        </w:rPr>
        <w:t xml:space="preserve">投资者可在办公时间内至基金管理人的办公场所免费查阅备查文件，或者登录基金管理人的网站(www.fund001.com，www.bocomschroder.com)查阅。在支付工本费后，投资者可在合理时间内取得上述文件的复制件或复印件。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A33" w:rsidRDefault="005A0A33" w:rsidP="00876D65">
      <w:r>
        <w:separator/>
      </w:r>
    </w:p>
  </w:endnote>
  <w:endnote w:type="continuationSeparator" w:id="1">
    <w:p w:rsidR="005A0A33" w:rsidRDefault="005A0A33"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0C" w:rsidRPr="001D0DB0" w:rsidRDefault="004D340C" w:rsidP="004D340C">
    <w:pPr>
      <w:pStyle w:val="a6"/>
      <w:jc w:val="center"/>
    </w:pPr>
    <w:r>
      <w:rPr>
        <w:rFonts w:hint="eastAsia"/>
        <w:kern w:val="0"/>
        <w:szCs w:val="21"/>
      </w:rPr>
      <w:t>第</w:t>
    </w:r>
    <w:r w:rsidR="0052479B">
      <w:rPr>
        <w:kern w:val="0"/>
        <w:szCs w:val="21"/>
      </w:rPr>
      <w:fldChar w:fldCharType="begin"/>
    </w:r>
    <w:r>
      <w:rPr>
        <w:kern w:val="0"/>
        <w:szCs w:val="21"/>
      </w:rPr>
      <w:instrText xml:space="preserve"> PAGE </w:instrText>
    </w:r>
    <w:r w:rsidR="0052479B">
      <w:rPr>
        <w:kern w:val="0"/>
        <w:szCs w:val="21"/>
      </w:rPr>
      <w:fldChar w:fldCharType="separate"/>
    </w:r>
    <w:r w:rsidR="00EE49FE">
      <w:rPr>
        <w:noProof/>
        <w:kern w:val="0"/>
        <w:szCs w:val="21"/>
      </w:rPr>
      <w:t>1</w:t>
    </w:r>
    <w:r w:rsidR="0052479B">
      <w:rPr>
        <w:kern w:val="0"/>
        <w:szCs w:val="21"/>
      </w:rPr>
      <w:fldChar w:fldCharType="end"/>
    </w:r>
    <w:r>
      <w:rPr>
        <w:rFonts w:hint="eastAsia"/>
        <w:kern w:val="0"/>
        <w:szCs w:val="21"/>
      </w:rPr>
      <w:t>页共</w:t>
    </w:r>
    <w:r w:rsidR="0052479B">
      <w:rPr>
        <w:kern w:val="0"/>
        <w:szCs w:val="21"/>
      </w:rPr>
      <w:fldChar w:fldCharType="begin"/>
    </w:r>
    <w:r>
      <w:rPr>
        <w:kern w:val="0"/>
        <w:szCs w:val="21"/>
      </w:rPr>
      <w:instrText xml:space="preserve"> NUMPAGES </w:instrText>
    </w:r>
    <w:r w:rsidR="0052479B">
      <w:rPr>
        <w:kern w:val="0"/>
        <w:szCs w:val="21"/>
      </w:rPr>
      <w:fldChar w:fldCharType="separate"/>
    </w:r>
    <w:r w:rsidR="00EE49FE">
      <w:rPr>
        <w:noProof/>
        <w:kern w:val="0"/>
        <w:szCs w:val="21"/>
      </w:rPr>
      <w:t>15</w:t>
    </w:r>
    <w:r w:rsidR="0052479B">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A33" w:rsidRDefault="005A0A33" w:rsidP="00876D65">
      <w:r>
        <w:separator/>
      </w:r>
    </w:p>
  </w:footnote>
  <w:footnote w:type="continuationSeparator" w:id="1">
    <w:p w:rsidR="005A0A33" w:rsidRDefault="005A0A33" w:rsidP="0087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50AD"/>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A33"/>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04BE1"/>
    <w:rsid w:val="00E215BA"/>
    <w:rsid w:val="00E36549"/>
    <w:rsid w:val="00E40D31"/>
    <w:rsid w:val="00E41260"/>
    <w:rsid w:val="00E44E18"/>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13" Target="stylesWithEffects.xml" Type="http://schemas.microsoft.com/office/2007/relationships/stylesWithEffect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AE05-B3B4-4DEC-B1E6-C012F8D9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15</Pages>
  <Words>3756</Words>
  <Characters>21412</Characters>
  <Application>Microsoft Office Word</Application>
  <DocSecurity>0</DocSecurity>
  <Lines>178</Lines>
  <Paragraphs>50</Paragraphs>
  <ScaleCrop>false</ScaleCrop>
  <Company/>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China</cp:lastModifiedBy>
  <dcterms:modified xsi:type="dcterms:W3CDTF">2017-07-10T10:13:00Z</dcterms:modified>
  <cp:revision>565</cp:revision>
</cp:coreProperties>
</file>