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bookmarkStart w:id="0" w:name="_GoBack"/>
      <w:bookmarkEnd w:id="0"/>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95649" w:rsidRDefault="003256C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95649" w:rsidRDefault="003256C4">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95649" w:rsidRDefault="003256C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95649" w:rsidRDefault="003256C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95649" w:rsidRDefault="003256C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2,925,729,440.23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256C4" w:rsidRPr="00414345" w:rsidTr="003256C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256C4" w:rsidRPr="00414345" w:rsidTr="003256C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133,716,683.08</w:t>
            </w:r>
          </w:p>
        </w:tc>
      </w:tr>
      <w:tr w:rsidR="003256C4" w:rsidRPr="00414345" w:rsidTr="003256C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356,220,584.74</w:t>
            </w:r>
          </w:p>
        </w:tc>
      </w:tr>
      <w:tr w:rsidR="003256C4" w:rsidRPr="00414345" w:rsidTr="003256C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9761AF">
            <w:pPr>
              <w:adjustRightInd w:val="0"/>
              <w:spacing w:before="29" w:line="288" w:lineRule="auto"/>
              <w:ind w:left="17"/>
              <w:jc w:val="right"/>
              <w:rPr>
                <w:color w:val="000000"/>
                <w:sz w:val="24"/>
                <w:szCs w:val="24"/>
              </w:rPr>
            </w:pPr>
            <w:r w:rsidRPr="00414345">
              <w:rPr>
                <w:color w:val="000000"/>
                <w:sz w:val="24"/>
                <w:szCs w:val="24"/>
              </w:rPr>
              <w:t>0.127</w:t>
            </w:r>
            <w:r w:rsidR="009761AF">
              <w:rPr>
                <w:color w:val="000000"/>
                <w:sz w:val="24"/>
                <w:szCs w:val="24"/>
              </w:rPr>
              <w:t>7</w:t>
            </w:r>
          </w:p>
        </w:tc>
      </w:tr>
      <w:tr w:rsidR="003256C4" w:rsidRPr="00414345" w:rsidTr="003256C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4,926,069,783.66</w:t>
            </w:r>
          </w:p>
        </w:tc>
      </w:tr>
      <w:tr w:rsidR="003256C4" w:rsidRPr="00414345" w:rsidTr="003256C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1.6837</w:t>
            </w:r>
          </w:p>
        </w:tc>
      </w:tr>
    </w:tbl>
    <w:p w:rsidR="00095649" w:rsidRDefault="003256C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95649">
        <w:trPr>
          <w:jc w:val="center"/>
        </w:trPr>
        <w:tc>
          <w:tcPr>
            <w:tcW w:w="1701" w:type="dxa"/>
            <w:vAlign w:val="center"/>
          </w:tcPr>
          <w:p w:rsidR="00095649" w:rsidRDefault="003256C4">
            <w:pPr>
              <w:jc w:val="left"/>
            </w:pPr>
            <w:r>
              <w:rPr>
                <w:color w:val="000000"/>
                <w:sz w:val="24"/>
                <w:szCs w:val="24"/>
              </w:rPr>
              <w:t>过去三个月</w:t>
            </w:r>
          </w:p>
        </w:tc>
        <w:tc>
          <w:tcPr>
            <w:tcW w:w="1045" w:type="dxa"/>
            <w:vAlign w:val="center"/>
          </w:tcPr>
          <w:p w:rsidR="00095649" w:rsidRDefault="003256C4">
            <w:pPr>
              <w:jc w:val="center"/>
            </w:pPr>
            <w:r>
              <w:rPr>
                <w:color w:val="000000"/>
                <w:sz w:val="24"/>
                <w:szCs w:val="24"/>
              </w:rPr>
              <w:t>9.41%</w:t>
            </w:r>
          </w:p>
        </w:tc>
        <w:tc>
          <w:tcPr>
            <w:tcW w:w="1344" w:type="dxa"/>
            <w:vAlign w:val="center"/>
          </w:tcPr>
          <w:p w:rsidR="00095649" w:rsidRDefault="003256C4">
            <w:pPr>
              <w:jc w:val="center"/>
            </w:pPr>
            <w:r>
              <w:rPr>
                <w:color w:val="000000"/>
                <w:sz w:val="24"/>
                <w:szCs w:val="24"/>
              </w:rPr>
              <w:t>1.25%</w:t>
            </w:r>
          </w:p>
        </w:tc>
        <w:tc>
          <w:tcPr>
            <w:tcW w:w="1194" w:type="dxa"/>
            <w:vAlign w:val="center"/>
          </w:tcPr>
          <w:p w:rsidR="00095649" w:rsidRDefault="003256C4">
            <w:pPr>
              <w:jc w:val="center"/>
            </w:pPr>
            <w:r>
              <w:rPr>
                <w:color w:val="000000"/>
                <w:sz w:val="24"/>
                <w:szCs w:val="24"/>
              </w:rPr>
              <w:t>-0.42%</w:t>
            </w:r>
          </w:p>
        </w:tc>
        <w:tc>
          <w:tcPr>
            <w:tcW w:w="1492" w:type="dxa"/>
            <w:vAlign w:val="center"/>
          </w:tcPr>
          <w:p w:rsidR="00095649" w:rsidRDefault="003256C4">
            <w:pPr>
              <w:jc w:val="center"/>
            </w:pPr>
            <w:r>
              <w:rPr>
                <w:color w:val="000000"/>
                <w:sz w:val="24"/>
                <w:szCs w:val="24"/>
              </w:rPr>
              <w:t>0.54%</w:t>
            </w:r>
          </w:p>
        </w:tc>
        <w:tc>
          <w:tcPr>
            <w:tcW w:w="1194" w:type="dxa"/>
            <w:vAlign w:val="center"/>
          </w:tcPr>
          <w:p w:rsidR="00095649" w:rsidRDefault="003256C4">
            <w:pPr>
              <w:jc w:val="center"/>
            </w:pPr>
            <w:r>
              <w:rPr>
                <w:color w:val="000000"/>
                <w:sz w:val="24"/>
                <w:szCs w:val="24"/>
              </w:rPr>
              <w:t>9.83%</w:t>
            </w:r>
          </w:p>
        </w:tc>
        <w:tc>
          <w:tcPr>
            <w:tcW w:w="898" w:type="dxa"/>
            <w:vAlign w:val="center"/>
          </w:tcPr>
          <w:p w:rsidR="00095649" w:rsidRDefault="003256C4">
            <w:pPr>
              <w:jc w:val="center"/>
            </w:pPr>
            <w:r>
              <w:rPr>
                <w:color w:val="000000"/>
                <w:sz w:val="24"/>
                <w:szCs w:val="24"/>
              </w:rPr>
              <w:t>0.71%</w:t>
            </w:r>
          </w:p>
        </w:tc>
      </w:tr>
    </w:tbl>
    <w:p w:rsidR="00095649" w:rsidRDefault="003256C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95649">
        <w:trPr>
          <w:jc w:val="center"/>
        </w:trPr>
        <w:tc>
          <w:tcPr>
            <w:tcW w:w="846" w:type="dxa"/>
            <w:vAlign w:val="center"/>
          </w:tcPr>
          <w:p w:rsidR="00095649" w:rsidRDefault="003256C4">
            <w:pPr>
              <w:jc w:val="center"/>
            </w:pPr>
            <w:r>
              <w:rPr>
                <w:color w:val="000000"/>
                <w:sz w:val="24"/>
                <w:szCs w:val="24"/>
              </w:rPr>
              <w:t>唐倩</w:t>
            </w:r>
          </w:p>
        </w:tc>
        <w:tc>
          <w:tcPr>
            <w:tcW w:w="845" w:type="dxa"/>
            <w:vAlign w:val="center"/>
          </w:tcPr>
          <w:p w:rsidR="00095649" w:rsidRDefault="003256C4">
            <w:pPr>
              <w:jc w:val="center"/>
            </w:pPr>
            <w:r>
              <w:rPr>
                <w:color w:val="000000"/>
                <w:sz w:val="24"/>
                <w:szCs w:val="24"/>
              </w:rPr>
              <w:t>交银稳健配置混合的基金经理、公</w:t>
            </w:r>
            <w:r>
              <w:rPr>
                <w:color w:val="000000"/>
                <w:sz w:val="24"/>
                <w:szCs w:val="24"/>
              </w:rPr>
              <w:lastRenderedPageBreak/>
              <w:t>司首席基金经理</w:t>
            </w:r>
          </w:p>
        </w:tc>
        <w:tc>
          <w:tcPr>
            <w:tcW w:w="1549" w:type="dxa"/>
            <w:vAlign w:val="center"/>
          </w:tcPr>
          <w:p w:rsidR="00095649" w:rsidRDefault="003256C4">
            <w:pPr>
              <w:jc w:val="center"/>
            </w:pPr>
            <w:r>
              <w:rPr>
                <w:color w:val="000000"/>
                <w:sz w:val="24"/>
                <w:szCs w:val="24"/>
              </w:rPr>
              <w:lastRenderedPageBreak/>
              <w:t>2013-12-12</w:t>
            </w:r>
          </w:p>
        </w:tc>
        <w:tc>
          <w:tcPr>
            <w:tcW w:w="1548" w:type="dxa"/>
            <w:vAlign w:val="center"/>
          </w:tcPr>
          <w:p w:rsidR="00095649" w:rsidRDefault="003256C4">
            <w:pPr>
              <w:jc w:val="center"/>
            </w:pPr>
            <w:r>
              <w:rPr>
                <w:color w:val="000000"/>
                <w:sz w:val="24"/>
                <w:szCs w:val="24"/>
              </w:rPr>
              <w:t>-</w:t>
            </w:r>
          </w:p>
        </w:tc>
        <w:tc>
          <w:tcPr>
            <w:tcW w:w="1407" w:type="dxa"/>
            <w:vAlign w:val="center"/>
          </w:tcPr>
          <w:p w:rsidR="00095649" w:rsidRDefault="003256C4">
            <w:pPr>
              <w:jc w:val="center"/>
            </w:pPr>
            <w:r>
              <w:rPr>
                <w:color w:val="000000"/>
                <w:sz w:val="24"/>
                <w:szCs w:val="24"/>
              </w:rPr>
              <w:t>17</w:t>
            </w:r>
            <w:r>
              <w:rPr>
                <w:color w:val="000000"/>
                <w:sz w:val="24"/>
                <w:szCs w:val="24"/>
              </w:rPr>
              <w:t>年</w:t>
            </w:r>
          </w:p>
        </w:tc>
        <w:tc>
          <w:tcPr>
            <w:tcW w:w="2673" w:type="dxa"/>
            <w:vAlign w:val="center"/>
          </w:tcPr>
          <w:p w:rsidR="00095649" w:rsidRDefault="003256C4">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w:t>
            </w:r>
            <w:r>
              <w:rPr>
                <w:color w:val="000000"/>
                <w:sz w:val="24"/>
                <w:szCs w:val="24"/>
              </w:rPr>
              <w:lastRenderedPageBreak/>
              <w:t>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年加入交银施罗德基金管理有限公司，历任权益部副总经理。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95649" w:rsidRDefault="003256C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95649" w:rsidRDefault="003256C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95649" w:rsidRDefault="003256C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95649" w:rsidRDefault="003256C4">
      <w:pPr>
        <w:spacing w:before="29" w:line="288" w:lineRule="auto"/>
        <w:ind w:firstLineChars="200" w:firstLine="480"/>
        <w:rPr>
          <w:color w:val="000000"/>
          <w:sz w:val="24"/>
          <w:szCs w:val="24"/>
        </w:rPr>
      </w:pPr>
      <w:r>
        <w:rPr>
          <w:color w:val="000000"/>
          <w:sz w:val="24"/>
          <w:szCs w:val="24"/>
        </w:rPr>
        <w:t>就市场而言，九月份之前市场一直在上涨，直至十一月下旬，随着资产管理新规征求意见稿的发布，长期债券利率快速上升，一些股票也出现了较大的调整。</w:t>
      </w:r>
    </w:p>
    <w:p w:rsidR="00095649" w:rsidRDefault="003256C4">
      <w:pPr>
        <w:spacing w:before="29" w:line="288" w:lineRule="auto"/>
        <w:ind w:firstLineChars="200" w:firstLine="480"/>
        <w:rPr>
          <w:color w:val="000000"/>
          <w:sz w:val="24"/>
          <w:szCs w:val="24"/>
        </w:rPr>
      </w:pPr>
      <w:r>
        <w:rPr>
          <w:color w:val="000000"/>
          <w:sz w:val="24"/>
          <w:szCs w:val="24"/>
        </w:rPr>
        <w:t>整体来看，基金重仓持有的消费、医药和地产等个股获得了较好的超额收益，估值和业绩这两方面都有获益。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目前而言，相较于</w:t>
      </w:r>
      <w:r w:rsidRPr="00414345">
        <w:rPr>
          <w:color w:val="000000"/>
          <w:sz w:val="24"/>
          <w:szCs w:val="24"/>
        </w:rPr>
        <w:t>2017</w:t>
      </w:r>
      <w:r w:rsidRPr="00414345">
        <w:rPr>
          <w:color w:val="000000"/>
          <w:sz w:val="24"/>
          <w:szCs w:val="24"/>
        </w:rPr>
        <w:t>年年初，优质蓝筹和成长股的估值普遍有明显的提升。展望</w:t>
      </w:r>
      <w:r w:rsidRPr="00414345">
        <w:rPr>
          <w:color w:val="000000"/>
          <w:sz w:val="24"/>
          <w:szCs w:val="24"/>
        </w:rPr>
        <w:t>2018</w:t>
      </w:r>
      <w:r w:rsidRPr="00414345">
        <w:rPr>
          <w:color w:val="000000"/>
          <w:sz w:val="24"/>
          <w:szCs w:val="24"/>
        </w:rPr>
        <w:t>年，预计</w:t>
      </w:r>
      <w:r w:rsidRPr="00414345">
        <w:rPr>
          <w:color w:val="000000"/>
          <w:sz w:val="24"/>
          <w:szCs w:val="24"/>
        </w:rPr>
        <w:t>A</w:t>
      </w:r>
      <w:r w:rsidRPr="00414345">
        <w:rPr>
          <w:color w:val="000000"/>
          <w:sz w:val="24"/>
          <w:szCs w:val="24"/>
        </w:rPr>
        <w:t>股估值继续提升的空间并不大，但是不少公司的经营可能进一步好转，理应获得合理的收益空间，预计</w:t>
      </w:r>
      <w:r w:rsidRPr="00414345">
        <w:rPr>
          <w:color w:val="000000"/>
          <w:sz w:val="24"/>
          <w:szCs w:val="24"/>
        </w:rPr>
        <w:t>2018</w:t>
      </w:r>
      <w:r w:rsidRPr="00414345">
        <w:rPr>
          <w:color w:val="000000"/>
          <w:sz w:val="24"/>
          <w:szCs w:val="24"/>
        </w:rPr>
        <w:t>年的投资难度会相应地较</w:t>
      </w:r>
      <w:r w:rsidRPr="00414345">
        <w:rPr>
          <w:color w:val="000000"/>
          <w:sz w:val="24"/>
          <w:szCs w:val="24"/>
        </w:rPr>
        <w:t>2017</w:t>
      </w:r>
      <w:r w:rsidRPr="00414345">
        <w:rPr>
          <w:color w:val="000000"/>
          <w:sz w:val="24"/>
          <w:szCs w:val="24"/>
        </w:rPr>
        <w:t>年加大。</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1.6837</w:t>
      </w:r>
      <w:r w:rsidRPr="00414345">
        <w:rPr>
          <w:color w:val="000000"/>
          <w:sz w:val="24"/>
          <w:szCs w:val="24"/>
        </w:rPr>
        <w:t>元，本报告期份额净值增长率为</w:t>
      </w:r>
      <w:r w:rsidRPr="00414345">
        <w:rPr>
          <w:color w:val="000000"/>
          <w:sz w:val="24"/>
          <w:szCs w:val="24"/>
        </w:rPr>
        <w:t>9.41%</w:t>
      </w:r>
      <w:r w:rsidRPr="00414345">
        <w:rPr>
          <w:color w:val="000000"/>
          <w:sz w:val="24"/>
          <w:szCs w:val="24"/>
        </w:rPr>
        <w:t>，同期业绩比较基准增长率为</w:t>
      </w:r>
      <w:r w:rsidR="00FC596C">
        <w:rPr>
          <w:color w:val="000000"/>
          <w:sz w:val="24"/>
          <w:szCs w:val="24"/>
        </w:rPr>
        <w:t>-0.42</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4,430,060,342.02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4,430,060,342.02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249,430,469.48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249,430,469.48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149,900,564.95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3.03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83,829,422.29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36,370,928.84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0.73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4,949,591,727.58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3,553,351,008.22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65,103,253.75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97,260.05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49,457,886.48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620,508,682.24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141,475,842.12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32,323.20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4,430,060,342.02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89.93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95649">
        <w:trPr>
          <w:jc w:val="center"/>
        </w:trPr>
        <w:tc>
          <w:tcPr>
            <w:tcW w:w="855" w:type="dxa"/>
            <w:vAlign w:val="center"/>
          </w:tcPr>
          <w:p w:rsidR="00095649" w:rsidRDefault="003256C4">
            <w:pPr>
              <w:jc w:val="center"/>
            </w:pPr>
            <w:r>
              <w:rPr>
                <w:color w:val="000000"/>
                <w:sz w:val="24"/>
                <w:szCs w:val="24"/>
              </w:rPr>
              <w:t>1</w:t>
            </w:r>
          </w:p>
        </w:tc>
        <w:tc>
          <w:tcPr>
            <w:tcW w:w="1334" w:type="dxa"/>
            <w:vAlign w:val="center"/>
          </w:tcPr>
          <w:p w:rsidR="00095649" w:rsidRDefault="003256C4">
            <w:pPr>
              <w:jc w:val="center"/>
            </w:pPr>
            <w:r>
              <w:rPr>
                <w:color w:val="000000"/>
                <w:sz w:val="24"/>
                <w:szCs w:val="24"/>
              </w:rPr>
              <w:t>601012</w:t>
            </w:r>
          </w:p>
        </w:tc>
        <w:tc>
          <w:tcPr>
            <w:tcW w:w="1777" w:type="dxa"/>
            <w:vAlign w:val="center"/>
          </w:tcPr>
          <w:p w:rsidR="00095649" w:rsidRDefault="003256C4">
            <w:pPr>
              <w:jc w:val="center"/>
            </w:pPr>
            <w:r>
              <w:rPr>
                <w:color w:val="000000"/>
                <w:sz w:val="24"/>
                <w:szCs w:val="24"/>
              </w:rPr>
              <w:t>隆基股份</w:t>
            </w:r>
          </w:p>
        </w:tc>
        <w:tc>
          <w:tcPr>
            <w:tcW w:w="1334" w:type="dxa"/>
            <w:vAlign w:val="center"/>
          </w:tcPr>
          <w:p w:rsidR="00095649" w:rsidRDefault="003256C4">
            <w:pPr>
              <w:jc w:val="right"/>
            </w:pPr>
            <w:r>
              <w:rPr>
                <w:color w:val="000000"/>
                <w:sz w:val="24"/>
                <w:szCs w:val="24"/>
              </w:rPr>
              <w:t>12,919,744</w:t>
            </w:r>
          </w:p>
        </w:tc>
        <w:tc>
          <w:tcPr>
            <w:tcW w:w="1924" w:type="dxa"/>
            <w:vAlign w:val="center"/>
          </w:tcPr>
          <w:p w:rsidR="00095649" w:rsidRDefault="003256C4">
            <w:pPr>
              <w:jc w:val="right"/>
            </w:pPr>
            <w:r>
              <w:rPr>
                <w:color w:val="000000"/>
                <w:sz w:val="24"/>
                <w:szCs w:val="24"/>
              </w:rPr>
              <w:t>470,795,471.36</w:t>
            </w:r>
          </w:p>
        </w:tc>
        <w:tc>
          <w:tcPr>
            <w:tcW w:w="1644" w:type="dxa"/>
            <w:vAlign w:val="center"/>
          </w:tcPr>
          <w:p w:rsidR="00095649" w:rsidRDefault="003256C4">
            <w:pPr>
              <w:jc w:val="right"/>
            </w:pPr>
            <w:r>
              <w:rPr>
                <w:color w:val="000000"/>
                <w:sz w:val="24"/>
                <w:szCs w:val="24"/>
              </w:rPr>
              <w:t>9.56</w:t>
            </w:r>
          </w:p>
        </w:tc>
      </w:tr>
      <w:tr w:rsidR="00095649">
        <w:trPr>
          <w:jc w:val="center"/>
        </w:trPr>
        <w:tc>
          <w:tcPr>
            <w:tcW w:w="855" w:type="dxa"/>
            <w:vAlign w:val="center"/>
          </w:tcPr>
          <w:p w:rsidR="00095649" w:rsidRDefault="003256C4">
            <w:pPr>
              <w:jc w:val="center"/>
            </w:pPr>
            <w:r>
              <w:rPr>
                <w:color w:val="000000"/>
                <w:sz w:val="24"/>
                <w:szCs w:val="24"/>
              </w:rPr>
              <w:t>2</w:t>
            </w:r>
          </w:p>
        </w:tc>
        <w:tc>
          <w:tcPr>
            <w:tcW w:w="1334" w:type="dxa"/>
            <w:vAlign w:val="center"/>
          </w:tcPr>
          <w:p w:rsidR="00095649" w:rsidRDefault="003256C4">
            <w:pPr>
              <w:jc w:val="center"/>
            </w:pPr>
            <w:r>
              <w:rPr>
                <w:color w:val="000000"/>
                <w:sz w:val="24"/>
                <w:szCs w:val="24"/>
              </w:rPr>
              <w:t>000002</w:t>
            </w:r>
          </w:p>
        </w:tc>
        <w:tc>
          <w:tcPr>
            <w:tcW w:w="1777" w:type="dxa"/>
            <w:vAlign w:val="center"/>
          </w:tcPr>
          <w:p w:rsidR="00095649" w:rsidRDefault="003256C4">
            <w:pPr>
              <w:jc w:val="center"/>
            </w:pPr>
            <w:r>
              <w:rPr>
                <w:color w:val="000000"/>
                <w:sz w:val="24"/>
                <w:szCs w:val="24"/>
              </w:rPr>
              <w:t>万</w:t>
            </w:r>
            <w:r>
              <w:rPr>
                <w:color w:val="000000"/>
                <w:sz w:val="24"/>
                <w:szCs w:val="24"/>
              </w:rPr>
              <w:t xml:space="preserve">  </w:t>
            </w:r>
            <w:r>
              <w:rPr>
                <w:color w:val="000000"/>
                <w:sz w:val="24"/>
                <w:szCs w:val="24"/>
              </w:rPr>
              <w:t>科Ａ</w:t>
            </w:r>
          </w:p>
        </w:tc>
        <w:tc>
          <w:tcPr>
            <w:tcW w:w="1334" w:type="dxa"/>
            <w:vAlign w:val="center"/>
          </w:tcPr>
          <w:p w:rsidR="00095649" w:rsidRDefault="003256C4">
            <w:pPr>
              <w:jc w:val="right"/>
            </w:pPr>
            <w:r>
              <w:rPr>
                <w:color w:val="000000"/>
                <w:sz w:val="24"/>
                <w:szCs w:val="24"/>
              </w:rPr>
              <w:t>12,137,089</w:t>
            </w:r>
          </w:p>
        </w:tc>
        <w:tc>
          <w:tcPr>
            <w:tcW w:w="1924" w:type="dxa"/>
            <w:vAlign w:val="center"/>
          </w:tcPr>
          <w:p w:rsidR="00095649" w:rsidRDefault="003256C4">
            <w:pPr>
              <w:jc w:val="right"/>
            </w:pPr>
            <w:r>
              <w:rPr>
                <w:color w:val="000000"/>
                <w:sz w:val="24"/>
                <w:szCs w:val="24"/>
              </w:rPr>
              <w:t>376,977,984.34</w:t>
            </w:r>
          </w:p>
        </w:tc>
        <w:tc>
          <w:tcPr>
            <w:tcW w:w="1644" w:type="dxa"/>
            <w:vAlign w:val="center"/>
          </w:tcPr>
          <w:p w:rsidR="00095649" w:rsidRDefault="003256C4">
            <w:pPr>
              <w:jc w:val="right"/>
            </w:pPr>
            <w:r>
              <w:rPr>
                <w:color w:val="000000"/>
                <w:sz w:val="24"/>
                <w:szCs w:val="24"/>
              </w:rPr>
              <w:t>7.65</w:t>
            </w:r>
          </w:p>
        </w:tc>
      </w:tr>
      <w:tr w:rsidR="00095649">
        <w:trPr>
          <w:jc w:val="center"/>
        </w:trPr>
        <w:tc>
          <w:tcPr>
            <w:tcW w:w="855" w:type="dxa"/>
            <w:vAlign w:val="center"/>
          </w:tcPr>
          <w:p w:rsidR="00095649" w:rsidRDefault="003256C4">
            <w:pPr>
              <w:jc w:val="center"/>
            </w:pPr>
            <w:r>
              <w:rPr>
                <w:color w:val="000000"/>
                <w:sz w:val="24"/>
                <w:szCs w:val="24"/>
              </w:rPr>
              <w:t>3</w:t>
            </w:r>
          </w:p>
        </w:tc>
        <w:tc>
          <w:tcPr>
            <w:tcW w:w="1334" w:type="dxa"/>
            <w:vAlign w:val="center"/>
          </w:tcPr>
          <w:p w:rsidR="00095649" w:rsidRDefault="003256C4">
            <w:pPr>
              <w:jc w:val="center"/>
            </w:pPr>
            <w:r>
              <w:rPr>
                <w:color w:val="000000"/>
                <w:sz w:val="24"/>
                <w:szCs w:val="24"/>
              </w:rPr>
              <w:t>600887</w:t>
            </w:r>
          </w:p>
        </w:tc>
        <w:tc>
          <w:tcPr>
            <w:tcW w:w="1777" w:type="dxa"/>
            <w:vAlign w:val="center"/>
          </w:tcPr>
          <w:p w:rsidR="00095649" w:rsidRDefault="003256C4">
            <w:pPr>
              <w:jc w:val="center"/>
            </w:pPr>
            <w:r>
              <w:rPr>
                <w:color w:val="000000"/>
                <w:sz w:val="24"/>
                <w:szCs w:val="24"/>
              </w:rPr>
              <w:t>伊利股份</w:t>
            </w:r>
          </w:p>
        </w:tc>
        <w:tc>
          <w:tcPr>
            <w:tcW w:w="1334" w:type="dxa"/>
            <w:vAlign w:val="center"/>
          </w:tcPr>
          <w:p w:rsidR="00095649" w:rsidRDefault="003256C4">
            <w:pPr>
              <w:jc w:val="right"/>
            </w:pPr>
            <w:r>
              <w:rPr>
                <w:color w:val="000000"/>
                <w:sz w:val="24"/>
                <w:szCs w:val="24"/>
              </w:rPr>
              <w:t>11,488,013</w:t>
            </w:r>
          </w:p>
        </w:tc>
        <w:tc>
          <w:tcPr>
            <w:tcW w:w="1924" w:type="dxa"/>
            <w:vAlign w:val="center"/>
          </w:tcPr>
          <w:p w:rsidR="00095649" w:rsidRDefault="003256C4">
            <w:pPr>
              <w:jc w:val="right"/>
            </w:pPr>
            <w:r>
              <w:rPr>
                <w:color w:val="000000"/>
                <w:sz w:val="24"/>
                <w:szCs w:val="24"/>
              </w:rPr>
              <w:t>369,799,138.47</w:t>
            </w:r>
          </w:p>
        </w:tc>
        <w:tc>
          <w:tcPr>
            <w:tcW w:w="1644" w:type="dxa"/>
            <w:vAlign w:val="center"/>
          </w:tcPr>
          <w:p w:rsidR="00095649" w:rsidRDefault="003256C4">
            <w:pPr>
              <w:jc w:val="right"/>
            </w:pPr>
            <w:r>
              <w:rPr>
                <w:color w:val="000000"/>
                <w:sz w:val="24"/>
                <w:szCs w:val="24"/>
              </w:rPr>
              <w:t>7.51</w:t>
            </w:r>
          </w:p>
        </w:tc>
      </w:tr>
      <w:tr w:rsidR="00095649">
        <w:trPr>
          <w:jc w:val="center"/>
        </w:trPr>
        <w:tc>
          <w:tcPr>
            <w:tcW w:w="855" w:type="dxa"/>
            <w:vAlign w:val="center"/>
          </w:tcPr>
          <w:p w:rsidR="00095649" w:rsidRDefault="003256C4">
            <w:pPr>
              <w:jc w:val="center"/>
            </w:pPr>
            <w:r>
              <w:rPr>
                <w:color w:val="000000"/>
                <w:sz w:val="24"/>
                <w:szCs w:val="24"/>
              </w:rPr>
              <w:t>4</w:t>
            </w:r>
          </w:p>
        </w:tc>
        <w:tc>
          <w:tcPr>
            <w:tcW w:w="1334" w:type="dxa"/>
            <w:vAlign w:val="center"/>
          </w:tcPr>
          <w:p w:rsidR="00095649" w:rsidRDefault="003256C4">
            <w:pPr>
              <w:jc w:val="center"/>
            </w:pPr>
            <w:r>
              <w:rPr>
                <w:color w:val="000000"/>
                <w:sz w:val="24"/>
                <w:szCs w:val="24"/>
              </w:rPr>
              <w:t>002271</w:t>
            </w:r>
          </w:p>
        </w:tc>
        <w:tc>
          <w:tcPr>
            <w:tcW w:w="1777" w:type="dxa"/>
            <w:vAlign w:val="center"/>
          </w:tcPr>
          <w:p w:rsidR="00095649" w:rsidRDefault="003256C4">
            <w:pPr>
              <w:jc w:val="center"/>
            </w:pPr>
            <w:r>
              <w:rPr>
                <w:color w:val="000000"/>
                <w:sz w:val="24"/>
                <w:szCs w:val="24"/>
              </w:rPr>
              <w:t>东方雨虹</w:t>
            </w:r>
          </w:p>
        </w:tc>
        <w:tc>
          <w:tcPr>
            <w:tcW w:w="1334" w:type="dxa"/>
            <w:vAlign w:val="center"/>
          </w:tcPr>
          <w:p w:rsidR="00095649" w:rsidRDefault="003256C4">
            <w:pPr>
              <w:jc w:val="right"/>
            </w:pPr>
            <w:r>
              <w:rPr>
                <w:color w:val="000000"/>
                <w:sz w:val="24"/>
                <w:szCs w:val="24"/>
              </w:rPr>
              <w:t>9,241,582</w:t>
            </w:r>
          </w:p>
        </w:tc>
        <w:tc>
          <w:tcPr>
            <w:tcW w:w="1924" w:type="dxa"/>
            <w:vAlign w:val="center"/>
          </w:tcPr>
          <w:p w:rsidR="00095649" w:rsidRDefault="003256C4">
            <w:pPr>
              <w:jc w:val="right"/>
            </w:pPr>
            <w:r>
              <w:rPr>
                <w:color w:val="000000"/>
                <w:sz w:val="24"/>
                <w:szCs w:val="24"/>
              </w:rPr>
              <w:t>369,293,616.72</w:t>
            </w:r>
          </w:p>
        </w:tc>
        <w:tc>
          <w:tcPr>
            <w:tcW w:w="1644" w:type="dxa"/>
            <w:vAlign w:val="center"/>
          </w:tcPr>
          <w:p w:rsidR="00095649" w:rsidRDefault="003256C4">
            <w:pPr>
              <w:jc w:val="right"/>
            </w:pPr>
            <w:r>
              <w:rPr>
                <w:color w:val="000000"/>
                <w:sz w:val="24"/>
                <w:szCs w:val="24"/>
              </w:rPr>
              <w:t>7.50</w:t>
            </w:r>
          </w:p>
        </w:tc>
      </w:tr>
      <w:tr w:rsidR="00095649">
        <w:trPr>
          <w:jc w:val="center"/>
        </w:trPr>
        <w:tc>
          <w:tcPr>
            <w:tcW w:w="855" w:type="dxa"/>
            <w:vAlign w:val="center"/>
          </w:tcPr>
          <w:p w:rsidR="00095649" w:rsidRDefault="003256C4">
            <w:pPr>
              <w:jc w:val="center"/>
            </w:pPr>
            <w:r>
              <w:rPr>
                <w:color w:val="000000"/>
                <w:sz w:val="24"/>
                <w:szCs w:val="24"/>
              </w:rPr>
              <w:t>5</w:t>
            </w:r>
          </w:p>
        </w:tc>
        <w:tc>
          <w:tcPr>
            <w:tcW w:w="1334" w:type="dxa"/>
            <w:vAlign w:val="center"/>
          </w:tcPr>
          <w:p w:rsidR="00095649" w:rsidRDefault="003256C4">
            <w:pPr>
              <w:jc w:val="center"/>
            </w:pPr>
            <w:r>
              <w:rPr>
                <w:color w:val="000000"/>
                <w:sz w:val="24"/>
                <w:szCs w:val="24"/>
              </w:rPr>
              <w:t>600519</w:t>
            </w:r>
          </w:p>
        </w:tc>
        <w:tc>
          <w:tcPr>
            <w:tcW w:w="1777" w:type="dxa"/>
            <w:vAlign w:val="center"/>
          </w:tcPr>
          <w:p w:rsidR="00095649" w:rsidRDefault="003256C4">
            <w:pPr>
              <w:jc w:val="center"/>
            </w:pPr>
            <w:r>
              <w:rPr>
                <w:color w:val="000000"/>
                <w:sz w:val="24"/>
                <w:szCs w:val="24"/>
              </w:rPr>
              <w:t>贵州茅台</w:t>
            </w:r>
          </w:p>
        </w:tc>
        <w:tc>
          <w:tcPr>
            <w:tcW w:w="1334" w:type="dxa"/>
            <w:vAlign w:val="center"/>
          </w:tcPr>
          <w:p w:rsidR="00095649" w:rsidRDefault="003256C4">
            <w:pPr>
              <w:jc w:val="right"/>
            </w:pPr>
            <w:r>
              <w:rPr>
                <w:color w:val="000000"/>
                <w:sz w:val="24"/>
                <w:szCs w:val="24"/>
              </w:rPr>
              <w:t>477,921</w:t>
            </w:r>
          </w:p>
        </w:tc>
        <w:tc>
          <w:tcPr>
            <w:tcW w:w="1924" w:type="dxa"/>
            <w:vAlign w:val="center"/>
          </w:tcPr>
          <w:p w:rsidR="00095649" w:rsidRDefault="003256C4">
            <w:pPr>
              <w:jc w:val="right"/>
            </w:pPr>
            <w:r>
              <w:rPr>
                <w:color w:val="000000"/>
                <w:sz w:val="24"/>
                <w:szCs w:val="24"/>
              </w:rPr>
              <w:t>333,345,118.29</w:t>
            </w:r>
          </w:p>
        </w:tc>
        <w:tc>
          <w:tcPr>
            <w:tcW w:w="1644" w:type="dxa"/>
            <w:vAlign w:val="center"/>
          </w:tcPr>
          <w:p w:rsidR="00095649" w:rsidRDefault="003256C4">
            <w:pPr>
              <w:jc w:val="right"/>
            </w:pPr>
            <w:r>
              <w:rPr>
                <w:color w:val="000000"/>
                <w:sz w:val="24"/>
                <w:szCs w:val="24"/>
              </w:rPr>
              <w:t>6.77</w:t>
            </w:r>
          </w:p>
        </w:tc>
      </w:tr>
      <w:tr w:rsidR="00095649">
        <w:trPr>
          <w:jc w:val="center"/>
        </w:trPr>
        <w:tc>
          <w:tcPr>
            <w:tcW w:w="855" w:type="dxa"/>
            <w:vAlign w:val="center"/>
          </w:tcPr>
          <w:p w:rsidR="00095649" w:rsidRDefault="003256C4">
            <w:pPr>
              <w:jc w:val="center"/>
            </w:pPr>
            <w:r>
              <w:rPr>
                <w:color w:val="000000"/>
                <w:sz w:val="24"/>
                <w:szCs w:val="24"/>
              </w:rPr>
              <w:t>6</w:t>
            </w:r>
          </w:p>
        </w:tc>
        <w:tc>
          <w:tcPr>
            <w:tcW w:w="1334" w:type="dxa"/>
            <w:vAlign w:val="center"/>
          </w:tcPr>
          <w:p w:rsidR="00095649" w:rsidRDefault="003256C4">
            <w:pPr>
              <w:jc w:val="center"/>
            </w:pPr>
            <w:r>
              <w:rPr>
                <w:color w:val="000000"/>
                <w:sz w:val="24"/>
                <w:szCs w:val="24"/>
              </w:rPr>
              <w:t>600298</w:t>
            </w:r>
          </w:p>
        </w:tc>
        <w:tc>
          <w:tcPr>
            <w:tcW w:w="1777" w:type="dxa"/>
            <w:vAlign w:val="center"/>
          </w:tcPr>
          <w:p w:rsidR="00095649" w:rsidRDefault="003256C4">
            <w:pPr>
              <w:jc w:val="center"/>
            </w:pPr>
            <w:r>
              <w:rPr>
                <w:color w:val="000000"/>
                <w:sz w:val="24"/>
                <w:szCs w:val="24"/>
              </w:rPr>
              <w:t>安琪酵母</w:t>
            </w:r>
          </w:p>
        </w:tc>
        <w:tc>
          <w:tcPr>
            <w:tcW w:w="1334" w:type="dxa"/>
            <w:vAlign w:val="center"/>
          </w:tcPr>
          <w:p w:rsidR="00095649" w:rsidRDefault="003256C4">
            <w:pPr>
              <w:jc w:val="right"/>
            </w:pPr>
            <w:r>
              <w:rPr>
                <w:color w:val="000000"/>
                <w:sz w:val="24"/>
                <w:szCs w:val="24"/>
              </w:rPr>
              <w:t>10,148,284</w:t>
            </w:r>
          </w:p>
        </w:tc>
        <w:tc>
          <w:tcPr>
            <w:tcW w:w="1924" w:type="dxa"/>
            <w:vAlign w:val="center"/>
          </w:tcPr>
          <w:p w:rsidR="00095649" w:rsidRDefault="003256C4">
            <w:pPr>
              <w:jc w:val="right"/>
            </w:pPr>
            <w:r>
              <w:rPr>
                <w:color w:val="000000"/>
                <w:sz w:val="24"/>
                <w:szCs w:val="24"/>
              </w:rPr>
              <w:t>332,051,852.48</w:t>
            </w:r>
          </w:p>
        </w:tc>
        <w:tc>
          <w:tcPr>
            <w:tcW w:w="1644" w:type="dxa"/>
            <w:vAlign w:val="center"/>
          </w:tcPr>
          <w:p w:rsidR="00095649" w:rsidRDefault="003256C4">
            <w:pPr>
              <w:jc w:val="right"/>
            </w:pPr>
            <w:r>
              <w:rPr>
                <w:color w:val="000000"/>
                <w:sz w:val="24"/>
                <w:szCs w:val="24"/>
              </w:rPr>
              <w:t>6.74</w:t>
            </w:r>
          </w:p>
        </w:tc>
      </w:tr>
      <w:tr w:rsidR="00095649">
        <w:trPr>
          <w:jc w:val="center"/>
        </w:trPr>
        <w:tc>
          <w:tcPr>
            <w:tcW w:w="855" w:type="dxa"/>
            <w:vAlign w:val="center"/>
          </w:tcPr>
          <w:p w:rsidR="00095649" w:rsidRDefault="003256C4">
            <w:pPr>
              <w:jc w:val="center"/>
            </w:pPr>
            <w:r>
              <w:rPr>
                <w:color w:val="000000"/>
                <w:sz w:val="24"/>
                <w:szCs w:val="24"/>
              </w:rPr>
              <w:t>7</w:t>
            </w:r>
          </w:p>
        </w:tc>
        <w:tc>
          <w:tcPr>
            <w:tcW w:w="1334" w:type="dxa"/>
            <w:vAlign w:val="center"/>
          </w:tcPr>
          <w:p w:rsidR="00095649" w:rsidRDefault="003256C4">
            <w:pPr>
              <w:jc w:val="center"/>
            </w:pPr>
            <w:r>
              <w:rPr>
                <w:color w:val="000000"/>
                <w:sz w:val="24"/>
                <w:szCs w:val="24"/>
              </w:rPr>
              <w:t>000538</w:t>
            </w:r>
          </w:p>
        </w:tc>
        <w:tc>
          <w:tcPr>
            <w:tcW w:w="1777" w:type="dxa"/>
            <w:vAlign w:val="center"/>
          </w:tcPr>
          <w:p w:rsidR="00095649" w:rsidRDefault="003256C4">
            <w:pPr>
              <w:jc w:val="center"/>
            </w:pPr>
            <w:r>
              <w:rPr>
                <w:color w:val="000000"/>
                <w:sz w:val="24"/>
                <w:szCs w:val="24"/>
              </w:rPr>
              <w:t>云南白药</w:t>
            </w:r>
          </w:p>
        </w:tc>
        <w:tc>
          <w:tcPr>
            <w:tcW w:w="1334" w:type="dxa"/>
            <w:vAlign w:val="center"/>
          </w:tcPr>
          <w:p w:rsidR="00095649" w:rsidRDefault="003256C4">
            <w:pPr>
              <w:jc w:val="right"/>
            </w:pPr>
            <w:r>
              <w:rPr>
                <w:color w:val="000000"/>
                <w:sz w:val="24"/>
                <w:szCs w:val="24"/>
              </w:rPr>
              <w:t>3,049,674</w:t>
            </w:r>
          </w:p>
        </w:tc>
        <w:tc>
          <w:tcPr>
            <w:tcW w:w="1924" w:type="dxa"/>
            <w:vAlign w:val="center"/>
          </w:tcPr>
          <w:p w:rsidR="00095649" w:rsidRDefault="003256C4">
            <w:pPr>
              <w:jc w:val="right"/>
            </w:pPr>
            <w:r>
              <w:rPr>
                <w:color w:val="000000"/>
                <w:sz w:val="24"/>
                <w:szCs w:val="24"/>
              </w:rPr>
              <w:t>310,426,316.46</w:t>
            </w:r>
          </w:p>
        </w:tc>
        <w:tc>
          <w:tcPr>
            <w:tcW w:w="1644" w:type="dxa"/>
            <w:vAlign w:val="center"/>
          </w:tcPr>
          <w:p w:rsidR="00095649" w:rsidRDefault="003256C4">
            <w:pPr>
              <w:jc w:val="right"/>
            </w:pPr>
            <w:r>
              <w:rPr>
                <w:color w:val="000000"/>
                <w:sz w:val="24"/>
                <w:szCs w:val="24"/>
              </w:rPr>
              <w:t>6.30</w:t>
            </w:r>
          </w:p>
        </w:tc>
      </w:tr>
      <w:tr w:rsidR="00095649">
        <w:trPr>
          <w:jc w:val="center"/>
        </w:trPr>
        <w:tc>
          <w:tcPr>
            <w:tcW w:w="855" w:type="dxa"/>
            <w:vAlign w:val="center"/>
          </w:tcPr>
          <w:p w:rsidR="00095649" w:rsidRDefault="003256C4">
            <w:pPr>
              <w:jc w:val="center"/>
            </w:pPr>
            <w:r>
              <w:rPr>
                <w:color w:val="000000"/>
                <w:sz w:val="24"/>
                <w:szCs w:val="24"/>
              </w:rPr>
              <w:t>8</w:t>
            </w:r>
          </w:p>
        </w:tc>
        <w:tc>
          <w:tcPr>
            <w:tcW w:w="1334" w:type="dxa"/>
            <w:vAlign w:val="center"/>
          </w:tcPr>
          <w:p w:rsidR="00095649" w:rsidRDefault="003256C4">
            <w:pPr>
              <w:jc w:val="center"/>
            </w:pPr>
            <w:r>
              <w:rPr>
                <w:color w:val="000000"/>
                <w:sz w:val="24"/>
                <w:szCs w:val="24"/>
              </w:rPr>
              <w:t>600056</w:t>
            </w:r>
          </w:p>
        </w:tc>
        <w:tc>
          <w:tcPr>
            <w:tcW w:w="1777" w:type="dxa"/>
            <w:vAlign w:val="center"/>
          </w:tcPr>
          <w:p w:rsidR="00095649" w:rsidRDefault="003256C4">
            <w:pPr>
              <w:jc w:val="center"/>
            </w:pPr>
            <w:r>
              <w:rPr>
                <w:color w:val="000000"/>
                <w:sz w:val="24"/>
                <w:szCs w:val="24"/>
              </w:rPr>
              <w:t>中国医药</w:t>
            </w:r>
          </w:p>
        </w:tc>
        <w:tc>
          <w:tcPr>
            <w:tcW w:w="1334" w:type="dxa"/>
            <w:vAlign w:val="center"/>
          </w:tcPr>
          <w:p w:rsidR="00095649" w:rsidRDefault="003256C4">
            <w:pPr>
              <w:jc w:val="right"/>
            </w:pPr>
            <w:r>
              <w:rPr>
                <w:color w:val="000000"/>
                <w:sz w:val="24"/>
                <w:szCs w:val="24"/>
              </w:rPr>
              <w:t>10,539,214</w:t>
            </w:r>
          </w:p>
        </w:tc>
        <w:tc>
          <w:tcPr>
            <w:tcW w:w="1924" w:type="dxa"/>
            <w:vAlign w:val="center"/>
          </w:tcPr>
          <w:p w:rsidR="00095649" w:rsidRDefault="003256C4">
            <w:pPr>
              <w:jc w:val="right"/>
            </w:pPr>
            <w:r>
              <w:rPr>
                <w:color w:val="000000"/>
                <w:sz w:val="24"/>
                <w:szCs w:val="24"/>
              </w:rPr>
              <w:t>262,321,036.46</w:t>
            </w:r>
          </w:p>
        </w:tc>
        <w:tc>
          <w:tcPr>
            <w:tcW w:w="1644" w:type="dxa"/>
            <w:vAlign w:val="center"/>
          </w:tcPr>
          <w:p w:rsidR="00095649" w:rsidRDefault="003256C4">
            <w:pPr>
              <w:jc w:val="right"/>
            </w:pPr>
            <w:r>
              <w:rPr>
                <w:color w:val="000000"/>
                <w:sz w:val="24"/>
                <w:szCs w:val="24"/>
              </w:rPr>
              <w:t>5.33</w:t>
            </w:r>
          </w:p>
        </w:tc>
      </w:tr>
      <w:tr w:rsidR="00095649">
        <w:trPr>
          <w:jc w:val="center"/>
        </w:trPr>
        <w:tc>
          <w:tcPr>
            <w:tcW w:w="855" w:type="dxa"/>
            <w:vAlign w:val="center"/>
          </w:tcPr>
          <w:p w:rsidR="00095649" w:rsidRDefault="003256C4">
            <w:pPr>
              <w:jc w:val="center"/>
            </w:pPr>
            <w:r>
              <w:rPr>
                <w:color w:val="000000"/>
                <w:sz w:val="24"/>
                <w:szCs w:val="24"/>
              </w:rPr>
              <w:t>9</w:t>
            </w:r>
          </w:p>
        </w:tc>
        <w:tc>
          <w:tcPr>
            <w:tcW w:w="1334" w:type="dxa"/>
            <w:vAlign w:val="center"/>
          </w:tcPr>
          <w:p w:rsidR="00095649" w:rsidRDefault="003256C4">
            <w:pPr>
              <w:jc w:val="center"/>
            </w:pPr>
            <w:r>
              <w:rPr>
                <w:color w:val="000000"/>
                <w:sz w:val="24"/>
                <w:szCs w:val="24"/>
              </w:rPr>
              <w:t>000333</w:t>
            </w:r>
          </w:p>
        </w:tc>
        <w:tc>
          <w:tcPr>
            <w:tcW w:w="1777" w:type="dxa"/>
            <w:vAlign w:val="center"/>
          </w:tcPr>
          <w:p w:rsidR="00095649" w:rsidRDefault="003256C4">
            <w:pPr>
              <w:jc w:val="center"/>
            </w:pPr>
            <w:r>
              <w:rPr>
                <w:color w:val="000000"/>
                <w:sz w:val="24"/>
                <w:szCs w:val="24"/>
              </w:rPr>
              <w:t>美的集团</w:t>
            </w:r>
          </w:p>
        </w:tc>
        <w:tc>
          <w:tcPr>
            <w:tcW w:w="1334" w:type="dxa"/>
            <w:vAlign w:val="center"/>
          </w:tcPr>
          <w:p w:rsidR="00095649" w:rsidRDefault="003256C4">
            <w:pPr>
              <w:jc w:val="right"/>
            </w:pPr>
            <w:r>
              <w:rPr>
                <w:color w:val="000000"/>
                <w:sz w:val="24"/>
                <w:szCs w:val="24"/>
              </w:rPr>
              <w:t>4,646,711</w:t>
            </w:r>
          </w:p>
        </w:tc>
        <w:tc>
          <w:tcPr>
            <w:tcW w:w="1924" w:type="dxa"/>
            <w:vAlign w:val="center"/>
          </w:tcPr>
          <w:p w:rsidR="00095649" w:rsidRDefault="003256C4">
            <w:pPr>
              <w:jc w:val="right"/>
            </w:pPr>
            <w:r>
              <w:rPr>
                <w:color w:val="000000"/>
                <w:sz w:val="24"/>
                <w:szCs w:val="24"/>
              </w:rPr>
              <w:t>257,567,190.73</w:t>
            </w:r>
          </w:p>
        </w:tc>
        <w:tc>
          <w:tcPr>
            <w:tcW w:w="1644" w:type="dxa"/>
            <w:vAlign w:val="center"/>
          </w:tcPr>
          <w:p w:rsidR="00095649" w:rsidRDefault="003256C4">
            <w:pPr>
              <w:jc w:val="right"/>
            </w:pPr>
            <w:r>
              <w:rPr>
                <w:color w:val="000000"/>
                <w:sz w:val="24"/>
                <w:szCs w:val="24"/>
              </w:rPr>
              <w:t>5.23</w:t>
            </w:r>
          </w:p>
        </w:tc>
      </w:tr>
      <w:tr w:rsidR="00095649">
        <w:trPr>
          <w:jc w:val="center"/>
        </w:trPr>
        <w:tc>
          <w:tcPr>
            <w:tcW w:w="855" w:type="dxa"/>
            <w:vAlign w:val="center"/>
          </w:tcPr>
          <w:p w:rsidR="00095649" w:rsidRDefault="003256C4">
            <w:pPr>
              <w:jc w:val="center"/>
            </w:pPr>
            <w:r>
              <w:rPr>
                <w:color w:val="000000"/>
                <w:sz w:val="24"/>
                <w:szCs w:val="24"/>
              </w:rPr>
              <w:t>10</w:t>
            </w:r>
          </w:p>
        </w:tc>
        <w:tc>
          <w:tcPr>
            <w:tcW w:w="1334" w:type="dxa"/>
            <w:vAlign w:val="center"/>
          </w:tcPr>
          <w:p w:rsidR="00095649" w:rsidRDefault="003256C4">
            <w:pPr>
              <w:jc w:val="center"/>
            </w:pPr>
            <w:r>
              <w:rPr>
                <w:color w:val="000000"/>
                <w:sz w:val="24"/>
                <w:szCs w:val="24"/>
              </w:rPr>
              <w:t>600622</w:t>
            </w:r>
          </w:p>
        </w:tc>
        <w:tc>
          <w:tcPr>
            <w:tcW w:w="1777" w:type="dxa"/>
            <w:vAlign w:val="center"/>
          </w:tcPr>
          <w:p w:rsidR="00095649" w:rsidRDefault="003256C4">
            <w:pPr>
              <w:jc w:val="center"/>
            </w:pPr>
            <w:r>
              <w:rPr>
                <w:color w:val="000000"/>
                <w:sz w:val="24"/>
                <w:szCs w:val="24"/>
              </w:rPr>
              <w:t>光大嘉宝</w:t>
            </w:r>
          </w:p>
        </w:tc>
        <w:tc>
          <w:tcPr>
            <w:tcW w:w="1334" w:type="dxa"/>
            <w:vAlign w:val="center"/>
          </w:tcPr>
          <w:p w:rsidR="00095649" w:rsidRDefault="003256C4">
            <w:pPr>
              <w:jc w:val="right"/>
            </w:pPr>
            <w:r>
              <w:rPr>
                <w:color w:val="000000"/>
                <w:sz w:val="24"/>
                <w:szCs w:val="24"/>
              </w:rPr>
              <w:t>13,552,070</w:t>
            </w:r>
          </w:p>
        </w:tc>
        <w:tc>
          <w:tcPr>
            <w:tcW w:w="1924" w:type="dxa"/>
            <w:vAlign w:val="center"/>
          </w:tcPr>
          <w:p w:rsidR="00095649" w:rsidRDefault="003256C4">
            <w:pPr>
              <w:jc w:val="right"/>
            </w:pPr>
            <w:r>
              <w:rPr>
                <w:color w:val="000000"/>
                <w:sz w:val="24"/>
                <w:szCs w:val="24"/>
              </w:rPr>
              <w:t>243,530,697.90</w:t>
            </w:r>
          </w:p>
        </w:tc>
        <w:tc>
          <w:tcPr>
            <w:tcW w:w="1644" w:type="dxa"/>
            <w:vAlign w:val="center"/>
          </w:tcPr>
          <w:p w:rsidR="00095649" w:rsidRDefault="003256C4">
            <w:pPr>
              <w:jc w:val="right"/>
            </w:pPr>
            <w:r>
              <w:rPr>
                <w:color w:val="000000"/>
                <w:sz w:val="24"/>
                <w:szCs w:val="24"/>
              </w:rPr>
              <w:t>4.94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209,568,000.00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209,568,000.00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2,469.48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249,430,469.48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95649">
        <w:trPr>
          <w:jc w:val="center"/>
        </w:trPr>
        <w:tc>
          <w:tcPr>
            <w:tcW w:w="850" w:type="dxa"/>
            <w:vAlign w:val="center"/>
          </w:tcPr>
          <w:p w:rsidR="00095649" w:rsidRDefault="003256C4">
            <w:pPr>
              <w:jc w:val="center"/>
            </w:pPr>
            <w:r>
              <w:rPr>
                <w:color w:val="000000"/>
                <w:sz w:val="24"/>
                <w:szCs w:val="24"/>
              </w:rPr>
              <w:lastRenderedPageBreak/>
              <w:t>1</w:t>
            </w:r>
          </w:p>
        </w:tc>
        <w:tc>
          <w:tcPr>
            <w:tcW w:w="1475" w:type="dxa"/>
            <w:vAlign w:val="center"/>
          </w:tcPr>
          <w:p w:rsidR="00095649" w:rsidRDefault="003256C4">
            <w:pPr>
              <w:jc w:val="center"/>
            </w:pPr>
            <w:r>
              <w:rPr>
                <w:color w:val="000000"/>
                <w:sz w:val="24"/>
                <w:szCs w:val="24"/>
              </w:rPr>
              <w:t>170204</w:t>
            </w:r>
          </w:p>
        </w:tc>
        <w:tc>
          <w:tcPr>
            <w:tcW w:w="1769" w:type="dxa"/>
            <w:vAlign w:val="center"/>
          </w:tcPr>
          <w:p w:rsidR="00095649" w:rsidRDefault="003256C4">
            <w:pPr>
              <w:jc w:val="center"/>
            </w:pPr>
            <w:r>
              <w:rPr>
                <w:color w:val="000000"/>
                <w:sz w:val="24"/>
                <w:szCs w:val="24"/>
              </w:rPr>
              <w:t>17</w:t>
            </w:r>
            <w:r>
              <w:rPr>
                <w:color w:val="000000"/>
                <w:sz w:val="24"/>
                <w:szCs w:val="24"/>
              </w:rPr>
              <w:t>国开</w:t>
            </w:r>
            <w:r>
              <w:rPr>
                <w:color w:val="000000"/>
                <w:sz w:val="24"/>
                <w:szCs w:val="24"/>
              </w:rPr>
              <w:t>04</w:t>
            </w:r>
          </w:p>
        </w:tc>
        <w:tc>
          <w:tcPr>
            <w:tcW w:w="1387" w:type="dxa"/>
            <w:vAlign w:val="center"/>
          </w:tcPr>
          <w:p w:rsidR="00095649" w:rsidRDefault="003256C4">
            <w:pPr>
              <w:jc w:val="right"/>
            </w:pPr>
            <w:r>
              <w:rPr>
                <w:color w:val="000000"/>
                <w:sz w:val="24"/>
                <w:szCs w:val="24"/>
              </w:rPr>
              <w:t>1,500,000</w:t>
            </w:r>
          </w:p>
        </w:tc>
        <w:tc>
          <w:tcPr>
            <w:tcW w:w="2150" w:type="dxa"/>
            <w:vAlign w:val="center"/>
          </w:tcPr>
          <w:p w:rsidR="00095649" w:rsidRDefault="003256C4">
            <w:pPr>
              <w:jc w:val="right"/>
            </w:pPr>
            <w:r>
              <w:rPr>
                <w:color w:val="000000"/>
                <w:sz w:val="24"/>
                <w:szCs w:val="24"/>
              </w:rPr>
              <w:t>149,700,000.00</w:t>
            </w:r>
          </w:p>
        </w:tc>
        <w:tc>
          <w:tcPr>
            <w:tcW w:w="1237" w:type="dxa"/>
            <w:vAlign w:val="center"/>
          </w:tcPr>
          <w:p w:rsidR="00095649" w:rsidRDefault="003256C4">
            <w:pPr>
              <w:jc w:val="right"/>
            </w:pPr>
            <w:r>
              <w:rPr>
                <w:color w:val="000000"/>
                <w:sz w:val="24"/>
                <w:szCs w:val="24"/>
              </w:rPr>
              <w:t>3.04</w:t>
            </w:r>
          </w:p>
        </w:tc>
      </w:tr>
      <w:tr w:rsidR="00095649">
        <w:trPr>
          <w:jc w:val="center"/>
        </w:trPr>
        <w:tc>
          <w:tcPr>
            <w:tcW w:w="850" w:type="dxa"/>
            <w:vAlign w:val="center"/>
          </w:tcPr>
          <w:p w:rsidR="00095649" w:rsidRDefault="003256C4">
            <w:pPr>
              <w:jc w:val="center"/>
            </w:pPr>
            <w:r>
              <w:rPr>
                <w:color w:val="000000"/>
                <w:sz w:val="24"/>
                <w:szCs w:val="24"/>
              </w:rPr>
              <w:t>2</w:t>
            </w:r>
          </w:p>
        </w:tc>
        <w:tc>
          <w:tcPr>
            <w:tcW w:w="1475" w:type="dxa"/>
            <w:vAlign w:val="center"/>
          </w:tcPr>
          <w:p w:rsidR="00095649" w:rsidRDefault="003256C4">
            <w:pPr>
              <w:jc w:val="center"/>
            </w:pPr>
            <w:r>
              <w:rPr>
                <w:color w:val="000000"/>
                <w:sz w:val="24"/>
                <w:szCs w:val="24"/>
              </w:rPr>
              <w:t>108601</w:t>
            </w:r>
          </w:p>
        </w:tc>
        <w:tc>
          <w:tcPr>
            <w:tcW w:w="1769" w:type="dxa"/>
            <w:vAlign w:val="center"/>
          </w:tcPr>
          <w:p w:rsidR="00095649" w:rsidRDefault="003256C4">
            <w:pPr>
              <w:jc w:val="center"/>
            </w:pPr>
            <w:r>
              <w:rPr>
                <w:color w:val="000000"/>
                <w:sz w:val="24"/>
                <w:szCs w:val="24"/>
              </w:rPr>
              <w:t>国开</w:t>
            </w:r>
            <w:r>
              <w:rPr>
                <w:color w:val="000000"/>
                <w:sz w:val="24"/>
                <w:szCs w:val="24"/>
              </w:rPr>
              <w:t>1703</w:t>
            </w:r>
          </w:p>
        </w:tc>
        <w:tc>
          <w:tcPr>
            <w:tcW w:w="1387" w:type="dxa"/>
            <w:vAlign w:val="center"/>
          </w:tcPr>
          <w:p w:rsidR="00095649" w:rsidRDefault="003256C4">
            <w:pPr>
              <w:jc w:val="right"/>
            </w:pPr>
            <w:r>
              <w:rPr>
                <w:color w:val="000000"/>
                <w:sz w:val="24"/>
                <w:szCs w:val="24"/>
              </w:rPr>
              <w:t>600,000</w:t>
            </w:r>
          </w:p>
        </w:tc>
        <w:tc>
          <w:tcPr>
            <w:tcW w:w="2150" w:type="dxa"/>
            <w:vAlign w:val="center"/>
          </w:tcPr>
          <w:p w:rsidR="00095649" w:rsidRDefault="003256C4">
            <w:pPr>
              <w:jc w:val="right"/>
            </w:pPr>
            <w:r>
              <w:rPr>
                <w:color w:val="000000"/>
                <w:sz w:val="24"/>
                <w:szCs w:val="24"/>
              </w:rPr>
              <w:t>59,868,000.00</w:t>
            </w:r>
          </w:p>
        </w:tc>
        <w:tc>
          <w:tcPr>
            <w:tcW w:w="1237" w:type="dxa"/>
            <w:vAlign w:val="center"/>
          </w:tcPr>
          <w:p w:rsidR="00095649" w:rsidRDefault="003256C4">
            <w:pPr>
              <w:jc w:val="right"/>
            </w:pPr>
            <w:r>
              <w:rPr>
                <w:color w:val="000000"/>
                <w:sz w:val="24"/>
                <w:szCs w:val="24"/>
              </w:rPr>
              <w:t>1.22</w:t>
            </w:r>
          </w:p>
        </w:tc>
      </w:tr>
      <w:tr w:rsidR="00095649">
        <w:trPr>
          <w:jc w:val="center"/>
        </w:trPr>
        <w:tc>
          <w:tcPr>
            <w:tcW w:w="850" w:type="dxa"/>
            <w:vAlign w:val="center"/>
          </w:tcPr>
          <w:p w:rsidR="00095649" w:rsidRDefault="003256C4">
            <w:pPr>
              <w:jc w:val="center"/>
            </w:pPr>
            <w:r>
              <w:rPr>
                <w:color w:val="000000"/>
                <w:sz w:val="24"/>
                <w:szCs w:val="24"/>
              </w:rPr>
              <w:t>3</w:t>
            </w:r>
          </w:p>
        </w:tc>
        <w:tc>
          <w:tcPr>
            <w:tcW w:w="1475" w:type="dxa"/>
            <w:vAlign w:val="center"/>
          </w:tcPr>
          <w:p w:rsidR="00095649" w:rsidRDefault="003256C4">
            <w:pPr>
              <w:jc w:val="center"/>
            </w:pPr>
            <w:r>
              <w:rPr>
                <w:color w:val="000000"/>
                <w:sz w:val="24"/>
                <w:szCs w:val="24"/>
              </w:rPr>
              <w:t>130013</w:t>
            </w:r>
          </w:p>
        </w:tc>
        <w:tc>
          <w:tcPr>
            <w:tcW w:w="1769" w:type="dxa"/>
            <w:vAlign w:val="center"/>
          </w:tcPr>
          <w:p w:rsidR="00095649" w:rsidRDefault="003256C4">
            <w:pPr>
              <w:jc w:val="center"/>
            </w:pPr>
            <w:r>
              <w:rPr>
                <w:color w:val="000000"/>
                <w:sz w:val="24"/>
                <w:szCs w:val="24"/>
              </w:rPr>
              <w:t>13</w:t>
            </w:r>
            <w:r>
              <w:rPr>
                <w:color w:val="000000"/>
                <w:sz w:val="24"/>
                <w:szCs w:val="24"/>
              </w:rPr>
              <w:t>附息国债</w:t>
            </w:r>
            <w:r>
              <w:rPr>
                <w:color w:val="000000"/>
                <w:sz w:val="24"/>
                <w:szCs w:val="24"/>
              </w:rPr>
              <w:t>13</w:t>
            </w:r>
          </w:p>
        </w:tc>
        <w:tc>
          <w:tcPr>
            <w:tcW w:w="1387" w:type="dxa"/>
            <w:vAlign w:val="center"/>
          </w:tcPr>
          <w:p w:rsidR="00095649" w:rsidRDefault="003256C4">
            <w:pPr>
              <w:jc w:val="right"/>
            </w:pPr>
            <w:r>
              <w:rPr>
                <w:color w:val="000000"/>
                <w:sz w:val="24"/>
                <w:szCs w:val="24"/>
              </w:rPr>
              <w:t>400,000</w:t>
            </w:r>
          </w:p>
        </w:tc>
        <w:tc>
          <w:tcPr>
            <w:tcW w:w="2150" w:type="dxa"/>
            <w:vAlign w:val="center"/>
          </w:tcPr>
          <w:p w:rsidR="00095649" w:rsidRDefault="003256C4">
            <w:pPr>
              <w:jc w:val="right"/>
            </w:pPr>
            <w:r>
              <w:rPr>
                <w:color w:val="000000"/>
                <w:sz w:val="24"/>
                <w:szCs w:val="24"/>
              </w:rPr>
              <w:t>39,860,000.00</w:t>
            </w:r>
          </w:p>
        </w:tc>
        <w:tc>
          <w:tcPr>
            <w:tcW w:w="1237" w:type="dxa"/>
            <w:vAlign w:val="center"/>
          </w:tcPr>
          <w:p w:rsidR="00095649" w:rsidRDefault="003256C4">
            <w:pPr>
              <w:jc w:val="right"/>
            </w:pPr>
            <w:r>
              <w:rPr>
                <w:color w:val="000000"/>
                <w:sz w:val="24"/>
                <w:szCs w:val="24"/>
              </w:rPr>
              <w:t>0.81</w:t>
            </w:r>
          </w:p>
        </w:tc>
      </w:tr>
      <w:tr w:rsidR="00095649">
        <w:trPr>
          <w:jc w:val="center"/>
        </w:trPr>
        <w:tc>
          <w:tcPr>
            <w:tcW w:w="850" w:type="dxa"/>
            <w:vAlign w:val="center"/>
          </w:tcPr>
          <w:p w:rsidR="00095649" w:rsidRDefault="003256C4">
            <w:pPr>
              <w:jc w:val="center"/>
            </w:pPr>
            <w:r>
              <w:rPr>
                <w:color w:val="000000"/>
                <w:sz w:val="24"/>
                <w:szCs w:val="24"/>
              </w:rPr>
              <w:t>4</w:t>
            </w:r>
          </w:p>
        </w:tc>
        <w:tc>
          <w:tcPr>
            <w:tcW w:w="1475" w:type="dxa"/>
            <w:vAlign w:val="center"/>
          </w:tcPr>
          <w:p w:rsidR="00095649" w:rsidRDefault="003256C4">
            <w:pPr>
              <w:jc w:val="center"/>
            </w:pPr>
            <w:r>
              <w:rPr>
                <w:color w:val="000000"/>
                <w:sz w:val="24"/>
                <w:szCs w:val="24"/>
              </w:rPr>
              <w:t>128023</w:t>
            </w:r>
          </w:p>
        </w:tc>
        <w:tc>
          <w:tcPr>
            <w:tcW w:w="1769" w:type="dxa"/>
            <w:vAlign w:val="center"/>
          </w:tcPr>
          <w:p w:rsidR="00095649" w:rsidRDefault="003256C4">
            <w:pPr>
              <w:jc w:val="center"/>
            </w:pPr>
            <w:r>
              <w:rPr>
                <w:color w:val="000000"/>
                <w:sz w:val="24"/>
                <w:szCs w:val="24"/>
              </w:rPr>
              <w:t>亚太转债</w:t>
            </w:r>
          </w:p>
        </w:tc>
        <w:tc>
          <w:tcPr>
            <w:tcW w:w="1387" w:type="dxa"/>
            <w:vAlign w:val="center"/>
          </w:tcPr>
          <w:p w:rsidR="00095649" w:rsidRDefault="003256C4">
            <w:pPr>
              <w:jc w:val="right"/>
            </w:pPr>
            <w:r>
              <w:rPr>
                <w:color w:val="000000"/>
                <w:sz w:val="24"/>
                <w:szCs w:val="24"/>
              </w:rPr>
              <w:t>26</w:t>
            </w:r>
          </w:p>
        </w:tc>
        <w:tc>
          <w:tcPr>
            <w:tcW w:w="2150" w:type="dxa"/>
            <w:vAlign w:val="center"/>
          </w:tcPr>
          <w:p w:rsidR="00095649" w:rsidRDefault="003256C4">
            <w:pPr>
              <w:jc w:val="right"/>
            </w:pPr>
            <w:r>
              <w:rPr>
                <w:color w:val="000000"/>
                <w:sz w:val="24"/>
                <w:szCs w:val="24"/>
              </w:rPr>
              <w:t>2,469.48</w:t>
            </w:r>
          </w:p>
        </w:tc>
        <w:tc>
          <w:tcPr>
            <w:tcW w:w="1237" w:type="dxa"/>
            <w:vAlign w:val="center"/>
          </w:tcPr>
          <w:p w:rsidR="00095649" w:rsidRDefault="003256C4">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525,847.54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24,115,631.00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6,164,036.23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5,565,414.07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36,370,928.84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2918E3" w:rsidRDefault="003256C4" w:rsidP="003256C4">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3256C4" w:rsidRPr="003256C4" w:rsidRDefault="003256C4" w:rsidP="003256C4">
      <w:pPr>
        <w:autoSpaceDE w:val="0"/>
        <w:autoSpaceDN w:val="0"/>
        <w:adjustRightInd w:val="0"/>
        <w:spacing w:before="29" w:line="288" w:lineRule="auto"/>
        <w:jc w:val="left"/>
        <w:rPr>
          <w:color w:val="000000"/>
          <w:sz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2,320,151,776.32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1,029,897,410.43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424,319,746.52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2,925,729,440.23</w:t>
            </w:r>
          </w:p>
        </w:tc>
      </w:tr>
    </w:tbl>
    <w:p w:rsidR="00095649" w:rsidRDefault="003256C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95649" w:rsidRDefault="003256C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095649" w:rsidRDefault="003256C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095649" w:rsidRDefault="003256C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095649" w:rsidRDefault="003256C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095649" w:rsidRDefault="003256C4">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095649" w:rsidRDefault="003256C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95649" w:rsidRDefault="003256C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95649" w:rsidRDefault="003256C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8F" w:rsidRDefault="00034D8F" w:rsidP="00876D65">
      <w:r>
        <w:separator/>
      </w:r>
    </w:p>
  </w:endnote>
  <w:endnote w:type="continuationSeparator" w:id="0">
    <w:p w:rsidR="00034D8F" w:rsidRDefault="00034D8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547B14">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547B14">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8F" w:rsidRDefault="00034D8F" w:rsidP="00876D65">
      <w:r>
        <w:separator/>
      </w:r>
    </w:p>
  </w:footnote>
  <w:footnote w:type="continuationSeparator" w:id="0">
    <w:p w:rsidR="00034D8F" w:rsidRDefault="00034D8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34D8F"/>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95649"/>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6C4"/>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47B14"/>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761A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596C"/>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C8D183-C391-4AAA-8E52-C6CE5128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539A-8E5D-4D65-A4F4-96B99847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11</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569</cp:revision>
  <dcterms:created xsi:type="dcterms:W3CDTF">2012-10-16T06:07:00Z</dcterms:created>
  <dcterms:modified xsi:type="dcterms:W3CDTF">2018-01-18T05:34:00Z</dcterms:modified>
</cp:coreProperties>
</file>