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w:t>
      </w:r>
      <w:proofErr w:type="gramStart"/>
      <w:r w:rsidRPr="005858C2">
        <w:rPr>
          <w:rFonts w:eastAsiaTheme="minorEastAsia"/>
          <w:b/>
          <w:sz w:val="36"/>
          <w:szCs w:val="36"/>
        </w:rPr>
        <w:t>施罗德境尚收益债券</w:t>
      </w:r>
      <w:proofErr w:type="gramEnd"/>
      <w:r w:rsidRPr="005858C2">
        <w:rPr>
          <w:rFonts w:eastAsiaTheme="minorEastAsia"/>
          <w:b/>
          <w:sz w:val="36"/>
          <w:szCs w:val="36"/>
        </w:rPr>
        <w:t>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655ABF">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C6005" w:rsidRDefault="00655AB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C6005" w:rsidRDefault="00655ABF">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C6005" w:rsidRDefault="00655AB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C6005" w:rsidRDefault="00655AB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CC6005" w:rsidRDefault="00655AB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655ABF">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银境尚</w:t>
            </w:r>
            <w:proofErr w:type="gramEnd"/>
            <w:r w:rsidRPr="007F52FA">
              <w:rPr>
                <w:color w:val="000000"/>
                <w:kern w:val="0"/>
                <w:sz w:val="24"/>
              </w:rPr>
              <w:t>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886,762,743.75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7F52FA">
              <w:rPr>
                <w:color w:val="000000"/>
                <w:kern w:val="0"/>
                <w:sz w:val="24"/>
              </w:rPr>
              <w:t>考量</w:t>
            </w:r>
            <w:proofErr w:type="gramEnd"/>
            <w:r w:rsidRPr="007F52FA">
              <w:rPr>
                <w:color w:val="000000"/>
                <w:kern w:val="0"/>
                <w:sz w:val="24"/>
              </w:rPr>
              <w:t>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两年期银行定期存款税后收益率</w:t>
            </w:r>
            <w:r w:rsidRPr="007F52FA">
              <w:rPr>
                <w:color w:val="000000"/>
                <w:kern w:val="0"/>
                <w:sz w:val="24"/>
              </w:rPr>
              <w:t>+1.25%</w:t>
            </w:r>
            <w:r w:rsidRPr="007F52FA">
              <w:rPr>
                <w:color w:val="000000"/>
                <w:kern w:val="0"/>
                <w:sz w:val="24"/>
              </w:rPr>
              <w:t>。</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519784</w:t>
            </w:r>
          </w:p>
        </w:tc>
        <w:tc>
          <w:tcPr>
            <w:tcW w:w="3048" w:type="dxa"/>
            <w:vAlign w:val="center"/>
          </w:tcPr>
          <w:p w:rsidR="00C23B30" w:rsidRPr="000E4C40" w:rsidRDefault="00C23B30" w:rsidP="00A52A9E">
            <w:pPr>
              <w:spacing w:before="29" w:line="288" w:lineRule="auto"/>
              <w:jc w:val="left"/>
              <w:rPr>
                <w:sz w:val="24"/>
              </w:rPr>
            </w:pPr>
            <w:r w:rsidRPr="000E4C40">
              <w:rPr>
                <w:sz w:val="24"/>
              </w:rPr>
              <w:t>519785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867,171,268.37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19,591,475.38</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655ABF">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银境尚</w:t>
            </w:r>
            <w:proofErr w:type="gramEnd"/>
            <w:r w:rsidRPr="007F52FA">
              <w:rPr>
                <w:sz w:val="24"/>
              </w:rPr>
              <w:t>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6,856,001.01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124,548.78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5,720,984.56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98,987.70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880,783,618.61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19,830,115.35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1.0122</w:t>
            </w:r>
          </w:p>
        </w:tc>
      </w:tr>
    </w:tbl>
    <w:p w:rsidR="00CC6005" w:rsidRDefault="00655AB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w:t>
      </w:r>
      <w:proofErr w:type="gramStart"/>
      <w:r w:rsidR="00A5643A" w:rsidRPr="007F52FA">
        <w:rPr>
          <w:b/>
          <w:color w:val="000000"/>
          <w:kern w:val="0"/>
          <w:sz w:val="24"/>
        </w:rPr>
        <w:t>银境尚</w:t>
      </w:r>
      <w:proofErr w:type="gramEnd"/>
      <w:r w:rsidR="00A5643A" w:rsidRPr="007F52FA">
        <w:rPr>
          <w:b/>
          <w:color w:val="000000"/>
          <w:kern w:val="0"/>
          <w:sz w:val="24"/>
        </w:rPr>
        <w:t>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C6005">
        <w:trPr>
          <w:jc w:val="center"/>
        </w:trPr>
        <w:tc>
          <w:tcPr>
            <w:tcW w:w="1266" w:type="dxa"/>
            <w:vAlign w:val="center"/>
          </w:tcPr>
          <w:p w:rsidR="00CC6005" w:rsidRDefault="00655ABF">
            <w:pPr>
              <w:jc w:val="left"/>
            </w:pPr>
            <w:r>
              <w:rPr>
                <w:color w:val="000000"/>
                <w:sz w:val="24"/>
              </w:rPr>
              <w:lastRenderedPageBreak/>
              <w:t>过去三个月</w:t>
            </w:r>
          </w:p>
        </w:tc>
        <w:tc>
          <w:tcPr>
            <w:tcW w:w="1267" w:type="dxa"/>
            <w:vAlign w:val="center"/>
          </w:tcPr>
          <w:p w:rsidR="00CC6005" w:rsidRDefault="00655ABF">
            <w:pPr>
              <w:jc w:val="center"/>
            </w:pPr>
            <w:r>
              <w:rPr>
                <w:color w:val="000000"/>
                <w:sz w:val="24"/>
              </w:rPr>
              <w:t>0.65%</w:t>
            </w:r>
          </w:p>
        </w:tc>
        <w:tc>
          <w:tcPr>
            <w:tcW w:w="1267" w:type="dxa"/>
            <w:vAlign w:val="center"/>
          </w:tcPr>
          <w:p w:rsidR="00CC6005" w:rsidRDefault="00655ABF">
            <w:pPr>
              <w:jc w:val="center"/>
            </w:pPr>
            <w:r>
              <w:rPr>
                <w:color w:val="000000"/>
                <w:sz w:val="24"/>
              </w:rPr>
              <w:t>0.05%</w:t>
            </w:r>
          </w:p>
        </w:tc>
        <w:tc>
          <w:tcPr>
            <w:tcW w:w="1267" w:type="dxa"/>
            <w:vAlign w:val="center"/>
          </w:tcPr>
          <w:p w:rsidR="00CC6005" w:rsidRDefault="00655ABF">
            <w:pPr>
              <w:jc w:val="center"/>
            </w:pPr>
            <w:r>
              <w:rPr>
                <w:color w:val="000000"/>
                <w:sz w:val="24"/>
              </w:rPr>
              <w:t>0.85%</w:t>
            </w:r>
          </w:p>
        </w:tc>
        <w:tc>
          <w:tcPr>
            <w:tcW w:w="1267" w:type="dxa"/>
            <w:vAlign w:val="center"/>
          </w:tcPr>
          <w:p w:rsidR="00CC6005" w:rsidRDefault="00655ABF">
            <w:pPr>
              <w:jc w:val="center"/>
            </w:pPr>
            <w:r>
              <w:rPr>
                <w:color w:val="000000"/>
                <w:sz w:val="24"/>
              </w:rPr>
              <w:t>0.01%</w:t>
            </w:r>
          </w:p>
        </w:tc>
        <w:tc>
          <w:tcPr>
            <w:tcW w:w="1267" w:type="dxa"/>
            <w:vAlign w:val="center"/>
          </w:tcPr>
          <w:p w:rsidR="00CC6005" w:rsidRDefault="00655ABF">
            <w:pPr>
              <w:jc w:val="center"/>
            </w:pPr>
            <w:r>
              <w:rPr>
                <w:color w:val="000000"/>
                <w:sz w:val="24"/>
              </w:rPr>
              <w:t>-0.20%</w:t>
            </w:r>
          </w:p>
        </w:tc>
        <w:tc>
          <w:tcPr>
            <w:tcW w:w="1267" w:type="dxa"/>
            <w:vAlign w:val="center"/>
          </w:tcPr>
          <w:p w:rsidR="00CC6005" w:rsidRDefault="00655ABF">
            <w:pPr>
              <w:jc w:val="center"/>
            </w:pPr>
            <w:r>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w:t>
      </w:r>
      <w:proofErr w:type="gramStart"/>
      <w:r w:rsidR="00FE7FBD" w:rsidRPr="007F52FA">
        <w:rPr>
          <w:b/>
          <w:color w:val="000000"/>
          <w:kern w:val="0"/>
          <w:sz w:val="24"/>
        </w:rPr>
        <w:t>银境尚</w:t>
      </w:r>
      <w:proofErr w:type="gramEnd"/>
      <w:r w:rsidR="00FE7FBD" w:rsidRPr="007F52FA">
        <w:rPr>
          <w:b/>
          <w:color w:val="000000"/>
          <w:kern w:val="0"/>
          <w:sz w:val="24"/>
        </w:rPr>
        <w:t>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C6005">
        <w:trPr>
          <w:jc w:val="center"/>
        </w:trPr>
        <w:tc>
          <w:tcPr>
            <w:tcW w:w="1266" w:type="dxa"/>
            <w:vAlign w:val="center"/>
          </w:tcPr>
          <w:p w:rsidR="00CC6005" w:rsidRDefault="00655ABF">
            <w:pPr>
              <w:jc w:val="left"/>
            </w:pPr>
            <w:r>
              <w:rPr>
                <w:color w:val="000000"/>
                <w:sz w:val="24"/>
              </w:rPr>
              <w:t>过去三个月</w:t>
            </w:r>
          </w:p>
        </w:tc>
        <w:tc>
          <w:tcPr>
            <w:tcW w:w="1267" w:type="dxa"/>
            <w:vAlign w:val="center"/>
          </w:tcPr>
          <w:p w:rsidR="00CC6005" w:rsidRDefault="00655ABF">
            <w:pPr>
              <w:jc w:val="center"/>
            </w:pPr>
            <w:r>
              <w:rPr>
                <w:color w:val="000000"/>
                <w:sz w:val="24"/>
              </w:rPr>
              <w:t>0.51%</w:t>
            </w:r>
          </w:p>
        </w:tc>
        <w:tc>
          <w:tcPr>
            <w:tcW w:w="1267" w:type="dxa"/>
            <w:vAlign w:val="center"/>
          </w:tcPr>
          <w:p w:rsidR="00CC6005" w:rsidRDefault="00655ABF">
            <w:pPr>
              <w:jc w:val="center"/>
            </w:pPr>
            <w:r>
              <w:rPr>
                <w:color w:val="000000"/>
                <w:sz w:val="24"/>
              </w:rPr>
              <w:t>0.05%</w:t>
            </w:r>
          </w:p>
        </w:tc>
        <w:tc>
          <w:tcPr>
            <w:tcW w:w="1267" w:type="dxa"/>
            <w:vAlign w:val="center"/>
          </w:tcPr>
          <w:p w:rsidR="00CC6005" w:rsidRDefault="00655ABF">
            <w:pPr>
              <w:jc w:val="center"/>
            </w:pPr>
            <w:r>
              <w:rPr>
                <w:color w:val="000000"/>
                <w:sz w:val="24"/>
              </w:rPr>
              <w:t>0.85%</w:t>
            </w:r>
          </w:p>
        </w:tc>
        <w:tc>
          <w:tcPr>
            <w:tcW w:w="1267" w:type="dxa"/>
            <w:vAlign w:val="center"/>
          </w:tcPr>
          <w:p w:rsidR="00CC6005" w:rsidRDefault="00655ABF">
            <w:pPr>
              <w:jc w:val="center"/>
            </w:pPr>
            <w:r>
              <w:rPr>
                <w:color w:val="000000"/>
                <w:sz w:val="24"/>
              </w:rPr>
              <w:t>0.01%</w:t>
            </w:r>
          </w:p>
        </w:tc>
        <w:tc>
          <w:tcPr>
            <w:tcW w:w="1267" w:type="dxa"/>
            <w:vAlign w:val="center"/>
          </w:tcPr>
          <w:p w:rsidR="00CC6005" w:rsidRDefault="00655ABF">
            <w:pPr>
              <w:jc w:val="center"/>
            </w:pPr>
            <w:r>
              <w:rPr>
                <w:color w:val="000000"/>
                <w:sz w:val="24"/>
              </w:rPr>
              <w:t>-0.34%</w:t>
            </w:r>
          </w:p>
        </w:tc>
        <w:tc>
          <w:tcPr>
            <w:tcW w:w="1267" w:type="dxa"/>
            <w:vAlign w:val="center"/>
          </w:tcPr>
          <w:p w:rsidR="00CC6005" w:rsidRDefault="00655ABF">
            <w:pPr>
              <w:jc w:val="center"/>
            </w:pPr>
            <w:r>
              <w:rPr>
                <w:color w:val="000000"/>
                <w:sz w:val="24"/>
              </w:rPr>
              <w:t>0.04%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w:t>
      </w:r>
      <w:proofErr w:type="gramStart"/>
      <w:r w:rsidRPr="007F52FA">
        <w:rPr>
          <w:color w:val="000000"/>
          <w:sz w:val="24"/>
        </w:rPr>
        <w:t>施罗德境尚收益债券</w:t>
      </w:r>
      <w:proofErr w:type="gramEnd"/>
      <w:r w:rsidRPr="007F52FA">
        <w:rPr>
          <w:color w:val="000000"/>
          <w:sz w:val="24"/>
        </w:rPr>
        <w:t>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w:t>
      </w:r>
      <w:proofErr w:type="gramStart"/>
      <w:r w:rsidR="0042785F" w:rsidRPr="007F52FA">
        <w:rPr>
          <w:color w:val="000000"/>
          <w:sz w:val="24"/>
        </w:rPr>
        <w:t>银境尚</w:t>
      </w:r>
      <w:proofErr w:type="gramEnd"/>
      <w:r w:rsidR="0042785F" w:rsidRPr="007F52FA">
        <w:rPr>
          <w:color w:val="000000"/>
          <w:sz w:val="24"/>
        </w:rPr>
        <w:t>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w:t>
      </w:r>
      <w:proofErr w:type="gramStart"/>
      <w:r w:rsidRPr="007F52FA">
        <w:rPr>
          <w:color w:val="000000"/>
          <w:sz w:val="24"/>
        </w:rPr>
        <w:t>基金基金</w:t>
      </w:r>
      <w:proofErr w:type="gramEnd"/>
      <w:r w:rsidRPr="007F52FA">
        <w:rPr>
          <w:color w:val="000000"/>
          <w:sz w:val="24"/>
        </w:rPr>
        <w:t>合同生效日为</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w:t>
      </w:r>
      <w:proofErr w:type="gramStart"/>
      <w:r w:rsidR="00FE7FBD" w:rsidRPr="007F52FA">
        <w:rPr>
          <w:color w:val="000000"/>
          <w:sz w:val="24"/>
        </w:rPr>
        <w:t>银境尚</w:t>
      </w:r>
      <w:proofErr w:type="gramEnd"/>
      <w:r w:rsidR="00FE7FBD" w:rsidRPr="007F52FA">
        <w:rPr>
          <w:color w:val="000000"/>
          <w:sz w:val="24"/>
        </w:rPr>
        <w:t>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w:t>
      </w:r>
      <w:proofErr w:type="gramStart"/>
      <w:r w:rsidRPr="007F52FA">
        <w:rPr>
          <w:color w:val="000000"/>
          <w:sz w:val="24"/>
        </w:rPr>
        <w:t>基金基金</w:t>
      </w:r>
      <w:proofErr w:type="gramEnd"/>
      <w:r w:rsidRPr="007F52FA">
        <w:rPr>
          <w:color w:val="000000"/>
          <w:sz w:val="24"/>
        </w:rPr>
        <w:t>合同生效日为</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655ABF">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roofErr w:type="gramStart"/>
            <w:r w:rsidRPr="007F52FA">
              <w:rPr>
                <w:color w:val="000000"/>
                <w:kern w:val="0"/>
                <w:sz w:val="24"/>
              </w:rPr>
              <w:t>任本基金</w:t>
            </w:r>
            <w:proofErr w:type="gramEnd"/>
            <w:r w:rsidRPr="007F52FA">
              <w:rPr>
                <w:color w:val="000000"/>
                <w:kern w:val="0"/>
                <w:sz w:val="24"/>
              </w:rPr>
              <w:t>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C6005">
        <w:trPr>
          <w:jc w:val="center"/>
        </w:trPr>
        <w:tc>
          <w:tcPr>
            <w:tcW w:w="946" w:type="dxa"/>
            <w:vAlign w:val="center"/>
          </w:tcPr>
          <w:p w:rsidR="00CC6005" w:rsidRDefault="00655ABF">
            <w:pPr>
              <w:jc w:val="center"/>
            </w:pPr>
            <w:r>
              <w:rPr>
                <w:color w:val="000000"/>
                <w:sz w:val="24"/>
              </w:rPr>
              <w:t>黄莹洁</w:t>
            </w:r>
          </w:p>
        </w:tc>
        <w:tc>
          <w:tcPr>
            <w:tcW w:w="924" w:type="dxa"/>
            <w:vAlign w:val="center"/>
          </w:tcPr>
          <w:p w:rsidR="00CC6005" w:rsidRDefault="00655ABF">
            <w:pPr>
              <w:jc w:val="center"/>
            </w:pPr>
            <w:r>
              <w:rPr>
                <w:color w:val="000000"/>
                <w:sz w:val="24"/>
              </w:rPr>
              <w:t>交银货币、交银理财</w:t>
            </w:r>
            <w:r>
              <w:rPr>
                <w:color w:val="000000"/>
                <w:sz w:val="24"/>
              </w:rPr>
              <w:t>21</w:t>
            </w:r>
            <w:r>
              <w:rPr>
                <w:color w:val="000000"/>
                <w:sz w:val="24"/>
              </w:rPr>
              <w:t>天债券、交银现金宝货</w:t>
            </w:r>
            <w:r>
              <w:rPr>
                <w:color w:val="000000"/>
                <w:sz w:val="24"/>
              </w:rPr>
              <w:lastRenderedPageBreak/>
              <w:t>币、交</w:t>
            </w:r>
            <w:proofErr w:type="gramStart"/>
            <w:r>
              <w:rPr>
                <w:color w:val="000000"/>
                <w:sz w:val="24"/>
              </w:rPr>
              <w:t>银丰享收益债券</w:t>
            </w:r>
            <w:proofErr w:type="gramEnd"/>
            <w:r>
              <w:rPr>
                <w:color w:val="000000"/>
                <w:sz w:val="24"/>
              </w:rPr>
              <w:t>、交银丰泽收益债券、交</w:t>
            </w:r>
            <w:proofErr w:type="gramStart"/>
            <w:r>
              <w:rPr>
                <w:color w:val="000000"/>
                <w:sz w:val="24"/>
              </w:rPr>
              <w:t>银裕通纯债</w:t>
            </w:r>
            <w:proofErr w:type="gramEnd"/>
            <w:r>
              <w:rPr>
                <w:color w:val="000000"/>
                <w:sz w:val="24"/>
              </w:rPr>
              <w:t>债券、交银活期通货币、交银天利宝货币、交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202" w:type="dxa"/>
            <w:vAlign w:val="center"/>
          </w:tcPr>
          <w:p w:rsidR="00CC6005" w:rsidRDefault="00655ABF">
            <w:pPr>
              <w:jc w:val="center"/>
            </w:pPr>
            <w:r>
              <w:rPr>
                <w:color w:val="000000"/>
                <w:sz w:val="24"/>
              </w:rPr>
              <w:lastRenderedPageBreak/>
              <w:t>2017-03-03</w:t>
            </w:r>
          </w:p>
        </w:tc>
        <w:tc>
          <w:tcPr>
            <w:tcW w:w="1300" w:type="dxa"/>
            <w:vAlign w:val="center"/>
          </w:tcPr>
          <w:p w:rsidR="00CC6005" w:rsidRDefault="00655ABF">
            <w:pPr>
              <w:jc w:val="center"/>
            </w:pPr>
            <w:r>
              <w:rPr>
                <w:color w:val="000000"/>
                <w:sz w:val="24"/>
              </w:rPr>
              <w:t>-</w:t>
            </w:r>
          </w:p>
        </w:tc>
        <w:tc>
          <w:tcPr>
            <w:tcW w:w="1245" w:type="dxa"/>
            <w:vAlign w:val="center"/>
          </w:tcPr>
          <w:p w:rsidR="00CC6005" w:rsidRDefault="00655ABF">
            <w:pPr>
              <w:jc w:val="center"/>
            </w:pPr>
            <w:r>
              <w:rPr>
                <w:color w:val="000000"/>
                <w:sz w:val="24"/>
              </w:rPr>
              <w:t>9</w:t>
            </w:r>
            <w:r>
              <w:rPr>
                <w:color w:val="000000"/>
                <w:sz w:val="24"/>
              </w:rPr>
              <w:t>年</w:t>
            </w:r>
          </w:p>
        </w:tc>
        <w:tc>
          <w:tcPr>
            <w:tcW w:w="3251" w:type="dxa"/>
            <w:vAlign w:val="center"/>
          </w:tcPr>
          <w:p w:rsidR="00CC6005" w:rsidRDefault="00655ABF">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年加入交银施罗德基金管理有限公司，历任中央交易室交易员。</w:t>
            </w:r>
          </w:p>
        </w:tc>
      </w:tr>
      <w:tr w:rsidR="00CC6005">
        <w:trPr>
          <w:jc w:val="center"/>
        </w:trPr>
        <w:tc>
          <w:tcPr>
            <w:tcW w:w="946" w:type="dxa"/>
            <w:vAlign w:val="center"/>
          </w:tcPr>
          <w:p w:rsidR="00CC6005" w:rsidRDefault="00655ABF">
            <w:pPr>
              <w:jc w:val="center"/>
            </w:pPr>
            <w:proofErr w:type="gramStart"/>
            <w:r>
              <w:rPr>
                <w:color w:val="000000"/>
                <w:sz w:val="24"/>
              </w:rPr>
              <w:lastRenderedPageBreak/>
              <w:t>连端清</w:t>
            </w:r>
            <w:proofErr w:type="gramEnd"/>
          </w:p>
        </w:tc>
        <w:tc>
          <w:tcPr>
            <w:tcW w:w="924" w:type="dxa"/>
            <w:vAlign w:val="center"/>
          </w:tcPr>
          <w:p w:rsidR="00CC6005" w:rsidRDefault="00655ABF">
            <w:pPr>
              <w:jc w:val="center"/>
            </w:pPr>
            <w:r>
              <w:rPr>
                <w:color w:val="000000"/>
                <w:sz w:val="24"/>
              </w:rPr>
              <w:t>交银货币、交银理财</w:t>
            </w:r>
            <w:r>
              <w:rPr>
                <w:color w:val="000000"/>
                <w:sz w:val="24"/>
              </w:rPr>
              <w:t>60</w:t>
            </w:r>
            <w:r>
              <w:rPr>
                <w:color w:val="000000"/>
                <w:sz w:val="24"/>
              </w:rPr>
              <w:t>天债券、</w:t>
            </w:r>
            <w:r>
              <w:rPr>
                <w:color w:val="000000"/>
                <w:sz w:val="24"/>
              </w:rPr>
              <w:lastRenderedPageBreak/>
              <w:t>交银丰盈收益债券、交银现金宝货币、交银丰润收益债券、交银活期通货币、交银天利宝货币、交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w:t>
            </w:r>
            <w:r>
              <w:rPr>
                <w:color w:val="000000"/>
                <w:sz w:val="24"/>
              </w:rPr>
              <w:lastRenderedPageBreak/>
              <w:t>益债券的基金经理</w:t>
            </w:r>
          </w:p>
        </w:tc>
        <w:tc>
          <w:tcPr>
            <w:tcW w:w="1202" w:type="dxa"/>
            <w:vAlign w:val="center"/>
          </w:tcPr>
          <w:p w:rsidR="00CC6005" w:rsidRDefault="00655ABF">
            <w:pPr>
              <w:jc w:val="center"/>
            </w:pPr>
            <w:r>
              <w:rPr>
                <w:color w:val="000000"/>
                <w:sz w:val="24"/>
              </w:rPr>
              <w:lastRenderedPageBreak/>
              <w:t>2017-03-03</w:t>
            </w:r>
          </w:p>
        </w:tc>
        <w:tc>
          <w:tcPr>
            <w:tcW w:w="1300" w:type="dxa"/>
            <w:vAlign w:val="center"/>
          </w:tcPr>
          <w:p w:rsidR="00CC6005" w:rsidRDefault="00655ABF">
            <w:pPr>
              <w:jc w:val="center"/>
            </w:pPr>
            <w:r>
              <w:rPr>
                <w:color w:val="000000"/>
                <w:sz w:val="24"/>
              </w:rPr>
              <w:t>-</w:t>
            </w:r>
          </w:p>
        </w:tc>
        <w:tc>
          <w:tcPr>
            <w:tcW w:w="1245" w:type="dxa"/>
            <w:vAlign w:val="center"/>
          </w:tcPr>
          <w:p w:rsidR="00CC6005" w:rsidRDefault="00655ABF">
            <w:pPr>
              <w:jc w:val="center"/>
            </w:pPr>
            <w:r>
              <w:rPr>
                <w:color w:val="000000"/>
                <w:sz w:val="24"/>
              </w:rPr>
              <w:t>4</w:t>
            </w:r>
            <w:r>
              <w:rPr>
                <w:color w:val="000000"/>
                <w:sz w:val="24"/>
              </w:rPr>
              <w:t>年</w:t>
            </w:r>
          </w:p>
        </w:tc>
        <w:tc>
          <w:tcPr>
            <w:tcW w:w="3251" w:type="dxa"/>
            <w:vAlign w:val="center"/>
          </w:tcPr>
          <w:p w:rsidR="00CC6005" w:rsidRDefault="00655ABF">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CC6005" w:rsidRDefault="00655ABF">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w:t>
      </w:r>
      <w:proofErr w:type="gramStart"/>
      <w:r>
        <w:rPr>
          <w:color w:val="000000"/>
          <w:sz w:val="24"/>
        </w:rPr>
        <w:t>作出</w:t>
      </w:r>
      <w:proofErr w:type="gramEnd"/>
      <w:r>
        <w:rPr>
          <w:color w:val="000000"/>
          <w:sz w:val="24"/>
        </w:rPr>
        <w:t>决定并公告</w:t>
      </w:r>
      <w:r>
        <w:rPr>
          <w:color w:val="000000"/>
          <w:sz w:val="24"/>
        </w:rPr>
        <w:t>(</w:t>
      </w:r>
      <w:r>
        <w:rPr>
          <w:color w:val="000000"/>
          <w:sz w:val="24"/>
        </w:rPr>
        <w:t>如适用</w:t>
      </w:r>
      <w:r>
        <w:rPr>
          <w:color w:val="000000"/>
          <w:sz w:val="24"/>
        </w:rPr>
        <w:t>)</w:t>
      </w:r>
      <w:r>
        <w:rPr>
          <w:color w:val="000000"/>
          <w:sz w:val="24"/>
        </w:rPr>
        <w:t>之日为准；</w:t>
      </w:r>
    </w:p>
    <w:p w:rsidR="00CC6005" w:rsidRDefault="00655ABF">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CC6005" w:rsidRDefault="00655AB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C6005" w:rsidRDefault="00655ABF">
      <w:pPr>
        <w:spacing w:before="29" w:line="288" w:lineRule="auto"/>
        <w:ind w:firstLineChars="200" w:firstLine="480"/>
        <w:rPr>
          <w:color w:val="000000"/>
          <w:sz w:val="24"/>
        </w:rPr>
      </w:pPr>
      <w:r>
        <w:rPr>
          <w:color w:val="000000"/>
          <w:sz w:val="24"/>
        </w:rPr>
        <w:t>公司建立资</w:t>
      </w:r>
      <w:r>
        <w:rPr>
          <w:color w:val="000000"/>
          <w:sz w:val="24"/>
        </w:rPr>
        <w:t>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C6005" w:rsidRDefault="00655AB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w:t>
      </w:r>
      <w:r>
        <w:rPr>
          <w:color w:val="000000"/>
          <w:sz w:val="24"/>
        </w:rPr>
        <w:t>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w:t>
      </w:r>
      <w:r w:rsidRPr="007F52FA">
        <w:rPr>
          <w:color w:val="000000"/>
          <w:sz w:val="24"/>
        </w:rPr>
        <w:lastRenderedPageBreak/>
        <w:t>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C6005" w:rsidRDefault="00655ABF">
      <w:pPr>
        <w:spacing w:before="29" w:line="288" w:lineRule="auto"/>
        <w:ind w:firstLineChars="200" w:firstLine="480"/>
        <w:rPr>
          <w:color w:val="000000"/>
          <w:sz w:val="24"/>
        </w:rPr>
      </w:pPr>
      <w:r>
        <w:rPr>
          <w:color w:val="000000"/>
          <w:sz w:val="24"/>
        </w:rPr>
        <w:t>本报告期内，经济数据连续低于预期，除了环保限产的政策影响，今年上半年支撑力比较强的因素如房地产、基建和出口均显出一定的疲态。通胀方面，低于季节性周期变化的食品价格显著拉低</w:t>
      </w:r>
      <w:r>
        <w:rPr>
          <w:color w:val="000000"/>
          <w:sz w:val="24"/>
        </w:rPr>
        <w:t>CPI</w:t>
      </w:r>
      <w:r>
        <w:rPr>
          <w:color w:val="000000"/>
          <w:sz w:val="24"/>
        </w:rPr>
        <w:t>同比，但是非食品</w:t>
      </w:r>
      <w:proofErr w:type="gramStart"/>
      <w:r>
        <w:rPr>
          <w:color w:val="000000"/>
          <w:sz w:val="24"/>
        </w:rPr>
        <w:t>项持续</w:t>
      </w:r>
      <w:proofErr w:type="gramEnd"/>
      <w:r>
        <w:rPr>
          <w:color w:val="000000"/>
          <w:sz w:val="24"/>
        </w:rPr>
        <w:t>高于</w:t>
      </w:r>
      <w:r>
        <w:rPr>
          <w:color w:val="000000"/>
          <w:sz w:val="24"/>
        </w:rPr>
        <w:t>其季节性周期变化，其中原油、服务类价格上涨是主因。货币政策稳健中性的基调不变，流动性总体紧平衡。</w:t>
      </w:r>
    </w:p>
    <w:p w:rsidR="00CC6005" w:rsidRDefault="00655ABF">
      <w:pPr>
        <w:spacing w:before="29" w:line="288" w:lineRule="auto"/>
        <w:ind w:firstLineChars="200" w:firstLine="480"/>
        <w:rPr>
          <w:color w:val="000000"/>
          <w:sz w:val="24"/>
        </w:rPr>
      </w:pPr>
      <w:r>
        <w:rPr>
          <w:color w:val="000000"/>
          <w:sz w:val="24"/>
        </w:rPr>
        <w:t>基金操作方面，本基金以与封闭期适度匹配的债券配置进行杠杆套息操作，报告期内运作稳健。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展望四季度，经济虽有韧性，但在出口、基建和房地产下行的拖累下，</w:t>
      </w:r>
      <w:r w:rsidRPr="007F52FA">
        <w:rPr>
          <w:color w:val="000000"/>
          <w:sz w:val="24"/>
        </w:rPr>
        <w:t>GDP</w:t>
      </w:r>
      <w:r w:rsidRPr="007F52FA">
        <w:rPr>
          <w:color w:val="000000"/>
          <w:sz w:val="24"/>
        </w:rPr>
        <w:t>名义增速逐步下行概率较大，市场对于通胀的预期逐渐抬升，后续需密切关注食品价格变化以及</w:t>
      </w:r>
      <w:r w:rsidRPr="007F52FA">
        <w:rPr>
          <w:color w:val="000000"/>
          <w:sz w:val="24"/>
        </w:rPr>
        <w:t>PPI</w:t>
      </w:r>
      <w:r w:rsidRPr="007F52FA">
        <w:rPr>
          <w:color w:val="000000"/>
          <w:sz w:val="24"/>
        </w:rPr>
        <w:t>向</w:t>
      </w:r>
      <w:r w:rsidRPr="007F52FA">
        <w:rPr>
          <w:color w:val="000000"/>
          <w:sz w:val="24"/>
        </w:rPr>
        <w:t>CPI</w:t>
      </w:r>
      <w:r w:rsidRPr="007F52FA">
        <w:rPr>
          <w:color w:val="000000"/>
          <w:sz w:val="24"/>
        </w:rPr>
        <w:t>的传导是否顺畅。此前快速增加的理财、同业存单规模已逐步降低增速，这表明金融去杠杆已经颇有成效，但是我们预计去杠杆政策仍将延续，货币政策将会保持不紧不松的状态，流动性压力会始终存在。组合管理方面，本基金预计将维持合理</w:t>
      </w:r>
      <w:proofErr w:type="gramStart"/>
      <w:r w:rsidRPr="007F52FA">
        <w:rPr>
          <w:color w:val="000000"/>
          <w:sz w:val="24"/>
        </w:rPr>
        <w:t>仓位</w:t>
      </w:r>
      <w:proofErr w:type="gramEnd"/>
      <w:r w:rsidRPr="007F52FA">
        <w:rPr>
          <w:color w:val="000000"/>
          <w:sz w:val="24"/>
        </w:rPr>
        <w:t>，采用中</w:t>
      </w:r>
      <w:proofErr w:type="gramStart"/>
      <w:r w:rsidRPr="007F52FA">
        <w:rPr>
          <w:color w:val="000000"/>
          <w:sz w:val="24"/>
        </w:rPr>
        <w:t>短久期</w:t>
      </w:r>
      <w:proofErr w:type="gramEnd"/>
      <w:r w:rsidRPr="007F52FA">
        <w:rPr>
          <w:color w:val="000000"/>
          <w:sz w:val="24"/>
        </w:rPr>
        <w:t>的票息策略，计划维持杠杆套息操作，努力为投资者创造稳健的收益回报。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本报告期末，交</w:t>
      </w:r>
      <w:proofErr w:type="gramStart"/>
      <w:r w:rsidRPr="007F52FA">
        <w:rPr>
          <w:color w:val="000000"/>
          <w:sz w:val="24"/>
        </w:rPr>
        <w:t>银境尚</w:t>
      </w:r>
      <w:proofErr w:type="gramEnd"/>
      <w:r w:rsidRPr="007F52FA">
        <w:rPr>
          <w:color w:val="000000"/>
          <w:sz w:val="24"/>
        </w:rPr>
        <w:t>收益债券</w:t>
      </w:r>
      <w:r w:rsidRPr="007F52FA">
        <w:rPr>
          <w:color w:val="000000"/>
          <w:sz w:val="24"/>
        </w:rPr>
        <w:t>A</w:t>
      </w:r>
      <w:r w:rsidRPr="007F52FA">
        <w:rPr>
          <w:color w:val="000000"/>
          <w:sz w:val="24"/>
        </w:rPr>
        <w:t>份额净值为</w:t>
      </w:r>
      <w:r w:rsidRPr="007F52FA">
        <w:rPr>
          <w:color w:val="000000"/>
          <w:sz w:val="24"/>
        </w:rPr>
        <w:t>1.0157</w:t>
      </w:r>
      <w:r w:rsidRPr="007F52FA">
        <w:rPr>
          <w:color w:val="000000"/>
          <w:sz w:val="24"/>
        </w:rPr>
        <w:t>元，本报告期份额净值增长率为</w:t>
      </w:r>
      <w:r w:rsidRPr="007F52FA">
        <w:rPr>
          <w:color w:val="000000"/>
          <w:sz w:val="24"/>
        </w:rPr>
        <w:t>0.65%</w:t>
      </w:r>
      <w:r w:rsidRPr="007F52FA">
        <w:rPr>
          <w:color w:val="000000"/>
          <w:sz w:val="24"/>
        </w:rPr>
        <w:t>，同期业绩比较基准增长率为</w:t>
      </w:r>
      <w:r w:rsidRPr="007F52FA">
        <w:rPr>
          <w:color w:val="000000"/>
          <w:sz w:val="24"/>
        </w:rPr>
        <w:t>0.85%</w:t>
      </w:r>
      <w:r w:rsidRPr="007F52FA">
        <w:rPr>
          <w:color w:val="000000"/>
          <w:sz w:val="24"/>
        </w:rPr>
        <w:t>；交</w:t>
      </w:r>
      <w:proofErr w:type="gramStart"/>
      <w:r w:rsidRPr="007F52FA">
        <w:rPr>
          <w:color w:val="000000"/>
          <w:sz w:val="24"/>
        </w:rPr>
        <w:t>银境尚</w:t>
      </w:r>
      <w:proofErr w:type="gramEnd"/>
      <w:r w:rsidRPr="007F52FA">
        <w:rPr>
          <w:color w:val="000000"/>
          <w:sz w:val="24"/>
        </w:rPr>
        <w:t>收益债券</w:t>
      </w:r>
      <w:r w:rsidRPr="007F52FA">
        <w:rPr>
          <w:color w:val="000000"/>
          <w:sz w:val="24"/>
        </w:rPr>
        <w:t>C</w:t>
      </w:r>
      <w:r w:rsidRPr="007F52FA">
        <w:rPr>
          <w:color w:val="000000"/>
          <w:sz w:val="24"/>
        </w:rPr>
        <w:t>份额净值为</w:t>
      </w:r>
      <w:r w:rsidRPr="007F52FA">
        <w:rPr>
          <w:color w:val="000000"/>
          <w:sz w:val="24"/>
        </w:rPr>
        <w:t>1.0122</w:t>
      </w:r>
      <w:r w:rsidRPr="007F52FA">
        <w:rPr>
          <w:color w:val="000000"/>
          <w:sz w:val="24"/>
        </w:rPr>
        <w:t>元，本报告期份额净值增长率为</w:t>
      </w:r>
      <w:r w:rsidRPr="007F52FA">
        <w:rPr>
          <w:color w:val="000000"/>
          <w:sz w:val="24"/>
        </w:rPr>
        <w:t>0.51%</w:t>
      </w:r>
      <w:r w:rsidRPr="007F52FA">
        <w:rPr>
          <w:color w:val="000000"/>
          <w:sz w:val="24"/>
        </w:rPr>
        <w:t>，同期业绩比较基准增长率为</w:t>
      </w:r>
      <w:r w:rsidRPr="007F52FA">
        <w:rPr>
          <w:color w:val="000000"/>
          <w:sz w:val="24"/>
        </w:rPr>
        <w:t>0.85%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655ABF">
      <w:pPr>
        <w:pStyle w:val="1"/>
        <w:tabs>
          <w:tab w:val="center" w:pos="4410"/>
        </w:tabs>
        <w:spacing w:beforeLines="100" w:afterLines="100"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1,630,959,500.00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95.28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1,630,959,500.00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95.28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w:t>
            </w:r>
            <w:proofErr w:type="gramStart"/>
            <w:r w:rsidRPr="007F52FA">
              <w:rPr>
                <w:color w:val="000000"/>
                <w:sz w:val="24"/>
              </w:rPr>
              <w:t>品投资</w:t>
            </w:r>
            <w:proofErr w:type="gramEnd"/>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55,117,790.10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3.22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25,641,663.33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1.50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1,711,718,953.43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780,400,500.00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86.65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proofErr w:type="gramStart"/>
            <w:r w:rsidR="00FA786F" w:rsidRPr="007F52FA">
              <w:rPr>
                <w:color w:val="000000"/>
                <w:sz w:val="24"/>
              </w:rPr>
              <w:t>券</w:t>
            </w:r>
            <w:proofErr w:type="gramEnd"/>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50,220,000.00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724,087,000.00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80.40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76,252,000.00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8.47</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1,630,959,500.00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181.09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C6005">
        <w:trPr>
          <w:jc w:val="center"/>
        </w:trPr>
        <w:tc>
          <w:tcPr>
            <w:tcW w:w="1075" w:type="dxa"/>
            <w:vAlign w:val="center"/>
          </w:tcPr>
          <w:p w:rsidR="00CC6005" w:rsidRDefault="00655ABF">
            <w:pPr>
              <w:jc w:val="center"/>
            </w:pPr>
            <w:r>
              <w:rPr>
                <w:color w:val="000000"/>
                <w:sz w:val="24"/>
              </w:rPr>
              <w:t>1</w:t>
            </w:r>
          </w:p>
        </w:tc>
        <w:tc>
          <w:tcPr>
            <w:tcW w:w="1533" w:type="dxa"/>
            <w:vAlign w:val="center"/>
          </w:tcPr>
          <w:p w:rsidR="00CC6005" w:rsidRDefault="00655ABF">
            <w:pPr>
              <w:jc w:val="center"/>
            </w:pPr>
            <w:r>
              <w:rPr>
                <w:color w:val="000000"/>
                <w:sz w:val="24"/>
              </w:rPr>
              <w:t>101655011</w:t>
            </w:r>
          </w:p>
        </w:tc>
        <w:tc>
          <w:tcPr>
            <w:tcW w:w="1533" w:type="dxa"/>
            <w:vAlign w:val="center"/>
          </w:tcPr>
          <w:p w:rsidR="00CC6005" w:rsidRDefault="00655ABF">
            <w:pPr>
              <w:jc w:val="center"/>
            </w:pPr>
            <w:r>
              <w:rPr>
                <w:color w:val="000000"/>
                <w:sz w:val="24"/>
              </w:rPr>
              <w:t>16</w:t>
            </w:r>
            <w:r>
              <w:rPr>
                <w:color w:val="000000"/>
                <w:sz w:val="24"/>
              </w:rPr>
              <w:t>南京奥体</w:t>
            </w:r>
            <w:r>
              <w:rPr>
                <w:color w:val="000000"/>
                <w:sz w:val="24"/>
              </w:rPr>
              <w:t>MTN002</w:t>
            </w:r>
          </w:p>
        </w:tc>
        <w:tc>
          <w:tcPr>
            <w:tcW w:w="1394" w:type="dxa"/>
            <w:vAlign w:val="center"/>
          </w:tcPr>
          <w:p w:rsidR="00CC6005" w:rsidRDefault="00655ABF">
            <w:pPr>
              <w:jc w:val="right"/>
            </w:pPr>
            <w:r>
              <w:rPr>
                <w:color w:val="000000"/>
                <w:sz w:val="24"/>
              </w:rPr>
              <w:t>800,000</w:t>
            </w:r>
          </w:p>
        </w:tc>
        <w:tc>
          <w:tcPr>
            <w:tcW w:w="1944" w:type="dxa"/>
            <w:vAlign w:val="center"/>
          </w:tcPr>
          <w:p w:rsidR="00CC6005" w:rsidRDefault="00655ABF">
            <w:pPr>
              <w:jc w:val="right"/>
            </w:pPr>
            <w:r>
              <w:rPr>
                <w:color w:val="000000"/>
                <w:sz w:val="24"/>
              </w:rPr>
              <w:t>78,760,000.00</w:t>
            </w:r>
          </w:p>
        </w:tc>
        <w:tc>
          <w:tcPr>
            <w:tcW w:w="1389" w:type="dxa"/>
            <w:vAlign w:val="center"/>
          </w:tcPr>
          <w:p w:rsidR="00CC6005" w:rsidRDefault="00655ABF">
            <w:pPr>
              <w:jc w:val="right"/>
            </w:pPr>
            <w:r>
              <w:rPr>
                <w:color w:val="000000"/>
                <w:sz w:val="24"/>
              </w:rPr>
              <w:t>8.75</w:t>
            </w:r>
          </w:p>
        </w:tc>
      </w:tr>
      <w:tr w:rsidR="00CC6005">
        <w:trPr>
          <w:jc w:val="center"/>
        </w:trPr>
        <w:tc>
          <w:tcPr>
            <w:tcW w:w="1075" w:type="dxa"/>
            <w:vAlign w:val="center"/>
          </w:tcPr>
          <w:p w:rsidR="00CC6005" w:rsidRDefault="00655ABF">
            <w:pPr>
              <w:jc w:val="center"/>
            </w:pPr>
            <w:r>
              <w:rPr>
                <w:color w:val="000000"/>
                <w:sz w:val="24"/>
              </w:rPr>
              <w:t>2</w:t>
            </w:r>
          </w:p>
        </w:tc>
        <w:tc>
          <w:tcPr>
            <w:tcW w:w="1533" w:type="dxa"/>
            <w:vAlign w:val="center"/>
          </w:tcPr>
          <w:p w:rsidR="00CC6005" w:rsidRDefault="00655ABF">
            <w:pPr>
              <w:jc w:val="center"/>
            </w:pPr>
            <w:r>
              <w:rPr>
                <w:color w:val="000000"/>
                <w:sz w:val="24"/>
              </w:rPr>
              <w:t>136304</w:t>
            </w:r>
          </w:p>
        </w:tc>
        <w:tc>
          <w:tcPr>
            <w:tcW w:w="1533" w:type="dxa"/>
            <w:vAlign w:val="center"/>
          </w:tcPr>
          <w:p w:rsidR="00CC6005" w:rsidRDefault="00655ABF">
            <w:pPr>
              <w:jc w:val="center"/>
            </w:pPr>
            <w:r>
              <w:rPr>
                <w:color w:val="000000"/>
                <w:sz w:val="24"/>
              </w:rPr>
              <w:t>16</w:t>
            </w:r>
            <w:r>
              <w:rPr>
                <w:color w:val="000000"/>
                <w:sz w:val="24"/>
              </w:rPr>
              <w:t>紫金</w:t>
            </w:r>
            <w:r>
              <w:rPr>
                <w:color w:val="000000"/>
                <w:sz w:val="24"/>
              </w:rPr>
              <w:t>01</w:t>
            </w:r>
          </w:p>
        </w:tc>
        <w:tc>
          <w:tcPr>
            <w:tcW w:w="1394" w:type="dxa"/>
            <w:vAlign w:val="center"/>
          </w:tcPr>
          <w:p w:rsidR="00CC6005" w:rsidRDefault="00655ABF">
            <w:pPr>
              <w:jc w:val="right"/>
            </w:pPr>
            <w:r>
              <w:rPr>
                <w:color w:val="000000"/>
                <w:sz w:val="24"/>
              </w:rPr>
              <w:t>700,000</w:t>
            </w:r>
          </w:p>
        </w:tc>
        <w:tc>
          <w:tcPr>
            <w:tcW w:w="1944" w:type="dxa"/>
            <w:vAlign w:val="center"/>
          </w:tcPr>
          <w:p w:rsidR="00CC6005" w:rsidRDefault="00655ABF">
            <w:pPr>
              <w:jc w:val="right"/>
            </w:pPr>
            <w:r>
              <w:rPr>
                <w:color w:val="000000"/>
                <w:sz w:val="24"/>
              </w:rPr>
              <w:t>68,334,000.00</w:t>
            </w:r>
          </w:p>
        </w:tc>
        <w:tc>
          <w:tcPr>
            <w:tcW w:w="1389" w:type="dxa"/>
            <w:vAlign w:val="center"/>
          </w:tcPr>
          <w:p w:rsidR="00CC6005" w:rsidRDefault="00655ABF">
            <w:pPr>
              <w:jc w:val="right"/>
            </w:pPr>
            <w:r>
              <w:rPr>
                <w:color w:val="000000"/>
                <w:sz w:val="24"/>
              </w:rPr>
              <w:t>7.59</w:t>
            </w:r>
          </w:p>
        </w:tc>
      </w:tr>
      <w:tr w:rsidR="00CC6005">
        <w:trPr>
          <w:jc w:val="center"/>
        </w:trPr>
        <w:tc>
          <w:tcPr>
            <w:tcW w:w="1075" w:type="dxa"/>
            <w:vAlign w:val="center"/>
          </w:tcPr>
          <w:p w:rsidR="00CC6005" w:rsidRDefault="00655ABF">
            <w:pPr>
              <w:jc w:val="center"/>
            </w:pPr>
            <w:r>
              <w:rPr>
                <w:color w:val="000000"/>
                <w:sz w:val="24"/>
              </w:rPr>
              <w:t>3</w:t>
            </w:r>
          </w:p>
        </w:tc>
        <w:tc>
          <w:tcPr>
            <w:tcW w:w="1533" w:type="dxa"/>
            <w:vAlign w:val="center"/>
          </w:tcPr>
          <w:p w:rsidR="00CC6005" w:rsidRDefault="00655ABF">
            <w:pPr>
              <w:jc w:val="center"/>
            </w:pPr>
            <w:r>
              <w:rPr>
                <w:color w:val="000000"/>
                <w:sz w:val="24"/>
              </w:rPr>
              <w:t>136141</w:t>
            </w:r>
          </w:p>
        </w:tc>
        <w:tc>
          <w:tcPr>
            <w:tcW w:w="1533" w:type="dxa"/>
            <w:vAlign w:val="center"/>
          </w:tcPr>
          <w:p w:rsidR="00CC6005" w:rsidRDefault="00655ABF">
            <w:pPr>
              <w:jc w:val="center"/>
            </w:pPr>
            <w:r>
              <w:rPr>
                <w:color w:val="000000"/>
                <w:sz w:val="24"/>
              </w:rPr>
              <w:t>16</w:t>
            </w:r>
            <w:proofErr w:type="gramStart"/>
            <w:r>
              <w:rPr>
                <w:color w:val="000000"/>
                <w:sz w:val="24"/>
              </w:rPr>
              <w:t>邦</w:t>
            </w:r>
            <w:proofErr w:type="gramEnd"/>
            <w:r>
              <w:rPr>
                <w:color w:val="000000"/>
                <w:sz w:val="24"/>
              </w:rPr>
              <w:t>信</w:t>
            </w:r>
            <w:r>
              <w:rPr>
                <w:color w:val="000000"/>
                <w:sz w:val="24"/>
              </w:rPr>
              <w:t>01</w:t>
            </w:r>
          </w:p>
        </w:tc>
        <w:tc>
          <w:tcPr>
            <w:tcW w:w="1394" w:type="dxa"/>
            <w:vAlign w:val="center"/>
          </w:tcPr>
          <w:p w:rsidR="00CC6005" w:rsidRDefault="00655ABF">
            <w:pPr>
              <w:jc w:val="right"/>
            </w:pPr>
            <w:r>
              <w:rPr>
                <w:color w:val="000000"/>
                <w:sz w:val="24"/>
              </w:rPr>
              <w:t>600,000</w:t>
            </w:r>
          </w:p>
        </w:tc>
        <w:tc>
          <w:tcPr>
            <w:tcW w:w="1944" w:type="dxa"/>
            <w:vAlign w:val="center"/>
          </w:tcPr>
          <w:p w:rsidR="00CC6005" w:rsidRDefault="00655ABF">
            <w:pPr>
              <w:jc w:val="right"/>
            </w:pPr>
            <w:r>
              <w:rPr>
                <w:color w:val="000000"/>
                <w:sz w:val="24"/>
              </w:rPr>
              <w:t>58,806,000.00</w:t>
            </w:r>
          </w:p>
        </w:tc>
        <w:tc>
          <w:tcPr>
            <w:tcW w:w="1389" w:type="dxa"/>
            <w:vAlign w:val="center"/>
          </w:tcPr>
          <w:p w:rsidR="00CC6005" w:rsidRDefault="00655ABF">
            <w:pPr>
              <w:jc w:val="right"/>
            </w:pPr>
            <w:r>
              <w:rPr>
                <w:color w:val="000000"/>
                <w:sz w:val="24"/>
              </w:rPr>
              <w:t>6.53</w:t>
            </w:r>
          </w:p>
        </w:tc>
      </w:tr>
      <w:tr w:rsidR="00CC6005">
        <w:trPr>
          <w:jc w:val="center"/>
        </w:trPr>
        <w:tc>
          <w:tcPr>
            <w:tcW w:w="1075" w:type="dxa"/>
            <w:vAlign w:val="center"/>
          </w:tcPr>
          <w:p w:rsidR="00CC6005" w:rsidRDefault="00655ABF">
            <w:pPr>
              <w:jc w:val="center"/>
            </w:pPr>
            <w:r>
              <w:rPr>
                <w:color w:val="000000"/>
                <w:sz w:val="24"/>
              </w:rPr>
              <w:t>4</w:t>
            </w:r>
          </w:p>
        </w:tc>
        <w:tc>
          <w:tcPr>
            <w:tcW w:w="1533" w:type="dxa"/>
            <w:vAlign w:val="center"/>
          </w:tcPr>
          <w:p w:rsidR="00CC6005" w:rsidRDefault="00655ABF">
            <w:pPr>
              <w:jc w:val="center"/>
            </w:pPr>
            <w:r>
              <w:rPr>
                <w:color w:val="000000"/>
                <w:sz w:val="24"/>
              </w:rPr>
              <w:t>101454018</w:t>
            </w:r>
          </w:p>
        </w:tc>
        <w:tc>
          <w:tcPr>
            <w:tcW w:w="1533" w:type="dxa"/>
            <w:vAlign w:val="center"/>
          </w:tcPr>
          <w:p w:rsidR="00CC6005" w:rsidRDefault="00655ABF">
            <w:pPr>
              <w:jc w:val="center"/>
            </w:pPr>
            <w:r>
              <w:rPr>
                <w:color w:val="000000"/>
                <w:sz w:val="24"/>
              </w:rPr>
              <w:t>14</w:t>
            </w:r>
            <w:r>
              <w:rPr>
                <w:color w:val="000000"/>
                <w:sz w:val="24"/>
              </w:rPr>
              <w:t>粤珠江</w:t>
            </w:r>
            <w:r>
              <w:rPr>
                <w:color w:val="000000"/>
                <w:sz w:val="24"/>
              </w:rPr>
              <w:t>MTN001</w:t>
            </w:r>
          </w:p>
        </w:tc>
        <w:tc>
          <w:tcPr>
            <w:tcW w:w="1394" w:type="dxa"/>
            <w:vAlign w:val="center"/>
          </w:tcPr>
          <w:p w:rsidR="00CC6005" w:rsidRDefault="00655ABF">
            <w:pPr>
              <w:jc w:val="right"/>
            </w:pPr>
            <w:r>
              <w:rPr>
                <w:color w:val="000000"/>
                <w:sz w:val="24"/>
              </w:rPr>
              <w:t>500,000</w:t>
            </w:r>
          </w:p>
        </w:tc>
        <w:tc>
          <w:tcPr>
            <w:tcW w:w="1944" w:type="dxa"/>
            <w:vAlign w:val="center"/>
          </w:tcPr>
          <w:p w:rsidR="00CC6005" w:rsidRDefault="00655ABF">
            <w:pPr>
              <w:jc w:val="right"/>
            </w:pPr>
            <w:r>
              <w:rPr>
                <w:color w:val="000000"/>
                <w:sz w:val="24"/>
              </w:rPr>
              <w:t>52,025,000.00</w:t>
            </w:r>
          </w:p>
        </w:tc>
        <w:tc>
          <w:tcPr>
            <w:tcW w:w="1389" w:type="dxa"/>
            <w:vAlign w:val="center"/>
          </w:tcPr>
          <w:p w:rsidR="00CC6005" w:rsidRDefault="00655ABF">
            <w:pPr>
              <w:jc w:val="right"/>
            </w:pPr>
            <w:r>
              <w:rPr>
                <w:color w:val="000000"/>
                <w:sz w:val="24"/>
              </w:rPr>
              <w:t>5.78</w:t>
            </w:r>
          </w:p>
        </w:tc>
      </w:tr>
      <w:tr w:rsidR="00CC6005">
        <w:trPr>
          <w:jc w:val="center"/>
        </w:trPr>
        <w:tc>
          <w:tcPr>
            <w:tcW w:w="1075" w:type="dxa"/>
            <w:vAlign w:val="center"/>
          </w:tcPr>
          <w:p w:rsidR="00CC6005" w:rsidRDefault="00655ABF">
            <w:pPr>
              <w:jc w:val="center"/>
            </w:pPr>
            <w:r>
              <w:rPr>
                <w:color w:val="000000"/>
                <w:sz w:val="24"/>
              </w:rPr>
              <w:t>5</w:t>
            </w:r>
          </w:p>
        </w:tc>
        <w:tc>
          <w:tcPr>
            <w:tcW w:w="1533" w:type="dxa"/>
            <w:vAlign w:val="center"/>
          </w:tcPr>
          <w:p w:rsidR="00CC6005" w:rsidRDefault="00655ABF">
            <w:pPr>
              <w:jc w:val="center"/>
            </w:pPr>
            <w:r>
              <w:rPr>
                <w:color w:val="000000"/>
                <w:sz w:val="24"/>
              </w:rPr>
              <w:t>101459024</w:t>
            </w:r>
          </w:p>
        </w:tc>
        <w:tc>
          <w:tcPr>
            <w:tcW w:w="1533" w:type="dxa"/>
            <w:vAlign w:val="center"/>
          </w:tcPr>
          <w:p w:rsidR="00CC6005" w:rsidRDefault="00655ABF">
            <w:pPr>
              <w:jc w:val="center"/>
            </w:pPr>
            <w:r>
              <w:rPr>
                <w:color w:val="000000"/>
                <w:sz w:val="24"/>
              </w:rPr>
              <w:t>14</w:t>
            </w:r>
            <w:r>
              <w:rPr>
                <w:color w:val="000000"/>
                <w:sz w:val="24"/>
              </w:rPr>
              <w:t>桐乡城建</w:t>
            </w:r>
            <w:r>
              <w:rPr>
                <w:color w:val="000000"/>
                <w:sz w:val="24"/>
              </w:rPr>
              <w:t>MTN001</w:t>
            </w:r>
          </w:p>
        </w:tc>
        <w:tc>
          <w:tcPr>
            <w:tcW w:w="1394" w:type="dxa"/>
            <w:vAlign w:val="center"/>
          </w:tcPr>
          <w:p w:rsidR="00CC6005" w:rsidRDefault="00655ABF">
            <w:pPr>
              <w:jc w:val="right"/>
            </w:pPr>
            <w:r>
              <w:rPr>
                <w:color w:val="000000"/>
                <w:sz w:val="24"/>
              </w:rPr>
              <w:t>500,000</w:t>
            </w:r>
          </w:p>
        </w:tc>
        <w:tc>
          <w:tcPr>
            <w:tcW w:w="1944" w:type="dxa"/>
            <w:vAlign w:val="center"/>
          </w:tcPr>
          <w:p w:rsidR="00CC6005" w:rsidRDefault="00655ABF">
            <w:pPr>
              <w:jc w:val="right"/>
            </w:pPr>
            <w:r>
              <w:rPr>
                <w:color w:val="000000"/>
                <w:sz w:val="24"/>
              </w:rPr>
              <w:t>51,805,000.00</w:t>
            </w:r>
          </w:p>
        </w:tc>
        <w:tc>
          <w:tcPr>
            <w:tcW w:w="1389" w:type="dxa"/>
            <w:vAlign w:val="center"/>
          </w:tcPr>
          <w:p w:rsidR="00CC6005" w:rsidRDefault="00655ABF">
            <w:pPr>
              <w:jc w:val="right"/>
            </w:pPr>
            <w:r>
              <w:rPr>
                <w:color w:val="000000"/>
                <w:sz w:val="24"/>
              </w:rPr>
              <w:t>5.75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45,468.63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3,531.48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25,592,663.22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25,641,663.33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w:t>
      </w:r>
      <w:proofErr w:type="gramStart"/>
      <w:r w:rsidRPr="007F52FA">
        <w:rPr>
          <w:rFonts w:eastAsiaTheme="minorEastAsia"/>
          <w:bCs/>
          <w:sz w:val="24"/>
        </w:rPr>
        <w:t>期末前</w:t>
      </w:r>
      <w:proofErr w:type="gramEnd"/>
      <w:r w:rsidRPr="007F52FA">
        <w:rPr>
          <w:rFonts w:eastAsiaTheme="minorEastAsia"/>
          <w:bCs/>
          <w:sz w:val="24"/>
        </w:rPr>
        <w:t>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655ABF">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w:t>
            </w:r>
            <w:proofErr w:type="gramStart"/>
            <w:r w:rsidRPr="007F52FA">
              <w:rPr>
                <w:rFonts w:eastAsiaTheme="minorEastAsia"/>
                <w:sz w:val="24"/>
              </w:rPr>
              <w:t>银境尚</w:t>
            </w:r>
            <w:proofErr w:type="gramEnd"/>
            <w:r w:rsidRPr="007F52FA">
              <w:rPr>
                <w:rFonts w:eastAsiaTheme="minorEastAsia"/>
                <w:sz w:val="24"/>
              </w:rPr>
              <w:t>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w:t>
            </w:r>
            <w:proofErr w:type="gramStart"/>
            <w:r w:rsidRPr="007F52FA">
              <w:rPr>
                <w:rFonts w:eastAsiaTheme="minorEastAsia"/>
                <w:sz w:val="24"/>
              </w:rPr>
              <w:t>银境尚</w:t>
            </w:r>
            <w:proofErr w:type="gramEnd"/>
            <w:r w:rsidRPr="007F52FA">
              <w:rPr>
                <w:rFonts w:eastAsiaTheme="minorEastAsia"/>
                <w:sz w:val="24"/>
              </w:rPr>
              <w:t>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w:t>
            </w:r>
            <w:proofErr w:type="gramStart"/>
            <w:r w:rsidRPr="007F52FA">
              <w:rPr>
                <w:rFonts w:eastAsiaTheme="minorEastAsia"/>
                <w:color w:val="000000"/>
                <w:kern w:val="0"/>
                <w:sz w:val="24"/>
              </w:rPr>
              <w:t>初基金</w:t>
            </w:r>
            <w:proofErr w:type="gramEnd"/>
            <w:r w:rsidRPr="007F52FA">
              <w:rPr>
                <w:rFonts w:eastAsiaTheme="minorEastAsia"/>
                <w:color w:val="000000"/>
                <w:kern w:val="0"/>
                <w:sz w:val="24"/>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867,171,268.37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19,591,475.38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867,171,268.37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19,591,475.38</w:t>
            </w:r>
          </w:p>
        </w:tc>
      </w:tr>
    </w:tbl>
    <w:p w:rsidR="00CC6005" w:rsidRDefault="00655AB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655ABF">
      <w:pPr>
        <w:pStyle w:val="1"/>
        <w:tabs>
          <w:tab w:val="center" w:pos="4156"/>
          <w:tab w:val="right" w:pos="8312"/>
        </w:tabs>
        <w:spacing w:beforeLines="100" w:afterLines="100"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w:t>
      </w:r>
      <w:proofErr w:type="gramStart"/>
      <w:r w:rsidRPr="000673DA">
        <w:rPr>
          <w:rFonts w:hAnsi="宋体"/>
          <w:sz w:val="24"/>
          <w:szCs w:val="24"/>
        </w:rPr>
        <w:t>固有资金</w:t>
      </w:r>
      <w:proofErr w:type="gramEnd"/>
      <w:r w:rsidRPr="000673DA">
        <w:rPr>
          <w:rFonts w:hAnsi="宋体"/>
          <w:sz w:val="24"/>
          <w:szCs w:val="24"/>
        </w:rPr>
        <w:t>投资本基金情况</w:t>
      </w:r>
    </w:p>
    <w:p w:rsidR="00655ABF" w:rsidRDefault="00655ABF" w:rsidP="00655ABF">
      <w:pPr>
        <w:spacing w:line="288" w:lineRule="auto"/>
        <w:jc w:val="left"/>
        <w:rPr>
          <w:sz w:val="24"/>
        </w:rPr>
      </w:pPr>
      <w:r>
        <w:rPr>
          <w:b/>
          <w:sz w:val="24"/>
        </w:rPr>
        <w:t xml:space="preserve">7.1 </w:t>
      </w:r>
      <w:r>
        <w:rPr>
          <w:rFonts w:hint="eastAsia"/>
          <w:b/>
          <w:sz w:val="24"/>
        </w:rPr>
        <w:t>基金管理人持有本基金份额变动情况</w:t>
      </w:r>
    </w:p>
    <w:p w:rsidR="00655ABF" w:rsidRDefault="00655ABF" w:rsidP="00655ABF">
      <w:pPr>
        <w:autoSpaceDE w:val="0"/>
        <w:autoSpaceDN w:val="0"/>
        <w:adjustRightInd w:val="0"/>
        <w:spacing w:before="29" w:line="288" w:lineRule="auto"/>
        <w:jc w:val="left"/>
        <w:rPr>
          <w:rFonts w:eastAsiaTheme="minorEastAsia"/>
          <w:color w:val="000000"/>
          <w:sz w:val="24"/>
          <w:szCs w:val="21"/>
        </w:rPr>
      </w:pPr>
      <w:r>
        <w:rPr>
          <w:rFonts w:eastAsiaTheme="minorEastAsia" w:hint="eastAsia"/>
          <w:color w:val="000000"/>
          <w:sz w:val="24"/>
        </w:rPr>
        <w:t>本报告期内未发生基金管理人运用</w:t>
      </w:r>
      <w:proofErr w:type="gramStart"/>
      <w:r>
        <w:rPr>
          <w:rFonts w:eastAsiaTheme="minorEastAsia" w:hint="eastAsia"/>
          <w:color w:val="000000"/>
          <w:sz w:val="24"/>
        </w:rPr>
        <w:t>固有资金</w:t>
      </w:r>
      <w:proofErr w:type="gramEnd"/>
      <w:r>
        <w:rPr>
          <w:rFonts w:eastAsiaTheme="minorEastAsia" w:hint="eastAsia"/>
          <w:color w:val="000000"/>
          <w:sz w:val="24"/>
        </w:rPr>
        <w:t>投资本基金的情况。</w:t>
      </w:r>
    </w:p>
    <w:p w:rsidR="00655ABF" w:rsidRDefault="00655ABF" w:rsidP="00655ABF">
      <w:pPr>
        <w:autoSpaceDE w:val="0"/>
        <w:autoSpaceDN w:val="0"/>
        <w:adjustRightInd w:val="0"/>
        <w:spacing w:before="29" w:line="288" w:lineRule="auto"/>
        <w:jc w:val="left"/>
        <w:rPr>
          <w:rFonts w:eastAsiaTheme="minorEastAsia"/>
          <w:color w:val="000000"/>
          <w:sz w:val="24"/>
        </w:rPr>
      </w:pPr>
    </w:p>
    <w:p w:rsidR="00655ABF" w:rsidRDefault="00655ABF" w:rsidP="00655ABF">
      <w:pPr>
        <w:spacing w:line="288" w:lineRule="auto"/>
        <w:jc w:val="left"/>
        <w:rPr>
          <w:b/>
          <w:sz w:val="24"/>
        </w:rPr>
      </w:pPr>
      <w:r>
        <w:rPr>
          <w:b/>
          <w:sz w:val="24"/>
        </w:rPr>
        <w:t>7.2</w:t>
      </w:r>
      <w:r>
        <w:rPr>
          <w:rFonts w:hint="eastAsia"/>
          <w:b/>
          <w:sz w:val="24"/>
        </w:rPr>
        <w:t>基金管理人运用</w:t>
      </w:r>
      <w:proofErr w:type="gramStart"/>
      <w:r>
        <w:rPr>
          <w:rFonts w:hint="eastAsia"/>
          <w:b/>
          <w:sz w:val="24"/>
        </w:rPr>
        <w:t>固有资金</w:t>
      </w:r>
      <w:proofErr w:type="gramEnd"/>
      <w:r>
        <w:rPr>
          <w:rFonts w:hint="eastAsia"/>
          <w:b/>
          <w:sz w:val="24"/>
        </w:rPr>
        <w:t>投资本基金交易明细</w:t>
      </w:r>
    </w:p>
    <w:p w:rsidR="00655ABF" w:rsidRDefault="00655ABF" w:rsidP="00655ABF">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F2646E" w:rsidRPr="00655ABF"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655ABF">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C6005" w:rsidRDefault="00655AB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w:t>
      </w:r>
      <w:proofErr w:type="gramStart"/>
      <w:r>
        <w:rPr>
          <w:rFonts w:eastAsiaTheme="minorEastAsia"/>
          <w:color w:val="000000"/>
          <w:sz w:val="24"/>
        </w:rPr>
        <w:t>交银施罗德境尚收益债券</w:t>
      </w:r>
      <w:proofErr w:type="gramEnd"/>
      <w:r>
        <w:rPr>
          <w:rFonts w:eastAsiaTheme="minorEastAsia"/>
          <w:color w:val="000000"/>
          <w:sz w:val="24"/>
        </w:rPr>
        <w:t>型证券投资基金募集注册的文件；</w:t>
      </w:r>
      <w:r>
        <w:rPr>
          <w:rFonts w:eastAsiaTheme="minorEastAsia"/>
          <w:color w:val="000000"/>
          <w:sz w:val="24"/>
        </w:rPr>
        <w:t xml:space="preserve"> </w:t>
      </w:r>
    </w:p>
    <w:p w:rsidR="00CC6005" w:rsidRDefault="00655AB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、《交银施罗德境尚收益债券型证券投资基金基金合同》；</w:t>
      </w:r>
      <w:r>
        <w:rPr>
          <w:rFonts w:eastAsiaTheme="minorEastAsia"/>
          <w:color w:val="000000"/>
          <w:sz w:val="24"/>
        </w:rPr>
        <w:t xml:space="preserve"> </w:t>
      </w:r>
    </w:p>
    <w:p w:rsidR="00CC6005" w:rsidRDefault="00655AB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、《交银施罗德境尚收益债券型证券投资基金招募说明书》；</w:t>
      </w:r>
      <w:r>
        <w:rPr>
          <w:rFonts w:eastAsiaTheme="minorEastAsia"/>
          <w:color w:val="000000"/>
          <w:sz w:val="24"/>
        </w:rPr>
        <w:t xml:space="preserve"> </w:t>
      </w:r>
    </w:p>
    <w:p w:rsidR="00CC6005" w:rsidRDefault="00655AB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、《交银施罗德境尚收益债券型证券投资基金托管协议》；</w:t>
      </w:r>
      <w:r>
        <w:rPr>
          <w:rFonts w:eastAsiaTheme="minorEastAsia"/>
          <w:color w:val="000000"/>
          <w:sz w:val="24"/>
        </w:rPr>
        <w:t xml:space="preserve"> </w:t>
      </w:r>
    </w:p>
    <w:p w:rsidR="00CC6005" w:rsidRDefault="00655AB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w:t>
      </w:r>
      <w:proofErr w:type="gramStart"/>
      <w:r>
        <w:rPr>
          <w:rFonts w:eastAsiaTheme="minorEastAsia"/>
          <w:color w:val="000000"/>
          <w:sz w:val="24"/>
        </w:rPr>
        <w:t>交银施罗德境尚收益债券</w:t>
      </w:r>
      <w:proofErr w:type="gramEnd"/>
      <w:r>
        <w:rPr>
          <w:rFonts w:eastAsiaTheme="minorEastAsia"/>
          <w:color w:val="000000"/>
          <w:sz w:val="24"/>
        </w:rPr>
        <w:t>型证券投资基金的法律意见书；</w:t>
      </w:r>
      <w:r>
        <w:rPr>
          <w:rFonts w:eastAsiaTheme="minorEastAsia"/>
          <w:color w:val="000000"/>
          <w:sz w:val="24"/>
        </w:rPr>
        <w:t xml:space="preserve"> </w:t>
      </w:r>
    </w:p>
    <w:p w:rsidR="00CC6005" w:rsidRDefault="00655AB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C6005" w:rsidRDefault="00655AB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w:t>
      </w:r>
      <w:proofErr w:type="gramStart"/>
      <w:r w:rsidRPr="007F52FA">
        <w:rPr>
          <w:rFonts w:eastAsiaTheme="minorEastAsia"/>
          <w:color w:val="000000"/>
          <w:sz w:val="24"/>
        </w:rPr>
        <w:t>交银施罗德境尚收益债券</w:t>
      </w:r>
      <w:proofErr w:type="gramEnd"/>
      <w:r w:rsidRPr="007F52FA">
        <w:rPr>
          <w:rFonts w:eastAsiaTheme="minorEastAsia"/>
          <w:color w:val="000000"/>
          <w:sz w:val="24"/>
        </w:rPr>
        <w:t>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CC6005" w:rsidRDefault="00655AB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r w:rsidRPr="007F52FA">
        <w:rPr>
          <w:rFonts w:eastAsiaTheme="minorEastAsia"/>
          <w:color w:val="000000"/>
          <w:sz w:val="24"/>
        </w:rPr>
        <w:t xml:space="preserve"> </w:t>
      </w:r>
    </w:p>
    <w:sectPr w:rsidR="009238DB"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783" w:rsidRDefault="00307783">
      <w:r>
        <w:separator/>
      </w:r>
    </w:p>
  </w:endnote>
  <w:endnote w:type="continuationSeparator" w:id="0">
    <w:p w:rsidR="00307783" w:rsidRDefault="00307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1D0DB0" w:rsidRDefault="007F50FB" w:rsidP="00F7094A">
    <w:pPr>
      <w:pStyle w:val="a6"/>
      <w:jc w:val="center"/>
    </w:pPr>
    <w:r>
      <w:rPr>
        <w:rFonts w:hint="eastAsia"/>
        <w:kern w:val="0"/>
        <w:szCs w:val="21"/>
      </w:rPr>
      <w:t>第</w:t>
    </w:r>
    <w:r w:rsidR="00CC6005">
      <w:rPr>
        <w:kern w:val="0"/>
        <w:szCs w:val="21"/>
      </w:rPr>
      <w:fldChar w:fldCharType="begin"/>
    </w:r>
    <w:r>
      <w:rPr>
        <w:kern w:val="0"/>
        <w:szCs w:val="21"/>
      </w:rPr>
      <w:instrText xml:space="preserve"> PAGE </w:instrText>
    </w:r>
    <w:r w:rsidR="00CC6005">
      <w:rPr>
        <w:kern w:val="0"/>
        <w:szCs w:val="21"/>
      </w:rPr>
      <w:fldChar w:fldCharType="separate"/>
    </w:r>
    <w:r w:rsidR="00655ABF">
      <w:rPr>
        <w:noProof/>
        <w:kern w:val="0"/>
        <w:szCs w:val="21"/>
      </w:rPr>
      <w:t>13</w:t>
    </w:r>
    <w:r w:rsidR="00CC6005">
      <w:rPr>
        <w:kern w:val="0"/>
        <w:szCs w:val="21"/>
      </w:rPr>
      <w:fldChar w:fldCharType="end"/>
    </w:r>
    <w:proofErr w:type="gramStart"/>
    <w:r>
      <w:rPr>
        <w:rFonts w:hint="eastAsia"/>
        <w:kern w:val="0"/>
        <w:szCs w:val="21"/>
      </w:rPr>
      <w:t>页共</w:t>
    </w:r>
    <w:proofErr w:type="gramEnd"/>
    <w:r w:rsidR="00CC6005">
      <w:rPr>
        <w:kern w:val="0"/>
        <w:szCs w:val="21"/>
      </w:rPr>
      <w:fldChar w:fldCharType="begin"/>
    </w:r>
    <w:r>
      <w:rPr>
        <w:kern w:val="0"/>
        <w:szCs w:val="21"/>
      </w:rPr>
      <w:instrText xml:space="preserve"> NUMPAGES </w:instrText>
    </w:r>
    <w:r w:rsidR="00CC6005">
      <w:rPr>
        <w:kern w:val="0"/>
        <w:szCs w:val="21"/>
      </w:rPr>
      <w:fldChar w:fldCharType="separate"/>
    </w:r>
    <w:r w:rsidR="00655ABF">
      <w:rPr>
        <w:noProof/>
        <w:kern w:val="0"/>
        <w:szCs w:val="21"/>
      </w:rPr>
      <w:t>13</w:t>
    </w:r>
    <w:r w:rsidR="00CC6005">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Default="00CC6005">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783" w:rsidRDefault="00307783">
      <w:r>
        <w:separator/>
      </w:r>
    </w:p>
  </w:footnote>
  <w:footnote w:type="continuationSeparator" w:id="0">
    <w:p w:rsidR="00307783" w:rsidRDefault="00307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2567DB" w:rsidRDefault="00CC600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5ABF"/>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6005"/>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580284292">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922A3-BB07-4D30-9F9D-5C3EFC70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197</TotalTime>
  <Pages>13</Pages>
  <Words>5364</Words>
  <Characters>1484</Characters>
  <Application>Microsoft Office Word</Application>
  <DocSecurity>0</DocSecurity>
  <Lines>12</Lines>
  <Paragraphs>13</Paragraphs>
  <ScaleCrop>false</ScaleCrop>
  <Company>TRT. Ltd. Co.</Company>
  <LinksUpToDate>false</LinksUpToDate>
  <CharactersWithSpaces>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biz-taoyinlong</cp:lastModifiedBy>
  <cp:revision>370</cp:revision>
  <cp:lastPrinted>2007-07-19T00:46:00Z</cp:lastPrinted>
  <dcterms:created xsi:type="dcterms:W3CDTF">2014-01-17T06:19:00Z</dcterms:created>
  <dcterms:modified xsi:type="dcterms:W3CDTF">2017-10-17T07:43:00Z</dcterms:modified>
</cp:coreProperties>
</file>