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交银施罗德瑞利定期开放灵活配置混合型证券投资基金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二〇一七年十月二十五日</w:t>
      </w:r>
    </w:p>
    <w:p w:rsidR="004061AC" w:rsidRPr="00414345" w:rsidRDefault="004061AC" w:rsidP="009A1C6C">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57BB6" w:rsidRDefault="009A1C6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57BB6" w:rsidRDefault="009A1C6C">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2017</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57BB6" w:rsidRDefault="009A1C6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57BB6" w:rsidRDefault="009A1C6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57BB6" w:rsidRDefault="009A1C6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9A1C6C">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交银瑞利定期开放灵活配置混合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004064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004064</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2</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400,049,130.07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9A1C6C">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A1C6C" w:rsidRPr="00414345" w:rsidTr="009A1C6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9A1C6C" w:rsidRPr="00414345" w:rsidTr="009A1C6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16,114,207.84</w:t>
            </w:r>
          </w:p>
        </w:tc>
      </w:tr>
      <w:tr w:rsidR="009A1C6C" w:rsidRPr="00414345" w:rsidTr="009A1C6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9,189,244.44</w:t>
            </w:r>
          </w:p>
        </w:tc>
      </w:tr>
      <w:tr w:rsidR="009A1C6C" w:rsidRPr="00414345" w:rsidTr="009A1C6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0.0174</w:t>
            </w:r>
          </w:p>
        </w:tc>
      </w:tr>
      <w:tr w:rsidR="009A1C6C" w:rsidRPr="00414345" w:rsidTr="009A1C6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417,170,803.89</w:t>
            </w:r>
          </w:p>
        </w:tc>
      </w:tr>
      <w:tr w:rsidR="009A1C6C" w:rsidRPr="00414345" w:rsidTr="009A1C6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1.0428</w:t>
            </w:r>
          </w:p>
        </w:tc>
      </w:tr>
    </w:tbl>
    <w:p w:rsidR="00457BB6" w:rsidRDefault="009A1C6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57BB6">
        <w:trPr>
          <w:jc w:val="center"/>
        </w:trPr>
        <w:tc>
          <w:tcPr>
            <w:tcW w:w="1701" w:type="dxa"/>
            <w:vAlign w:val="center"/>
          </w:tcPr>
          <w:p w:rsidR="00457BB6" w:rsidRDefault="009A1C6C">
            <w:pPr>
              <w:jc w:val="left"/>
            </w:pPr>
            <w:r>
              <w:rPr>
                <w:color w:val="000000"/>
                <w:sz w:val="24"/>
                <w:szCs w:val="24"/>
              </w:rPr>
              <w:t>过去三个月</w:t>
            </w:r>
          </w:p>
        </w:tc>
        <w:tc>
          <w:tcPr>
            <w:tcW w:w="1045" w:type="dxa"/>
            <w:vAlign w:val="center"/>
          </w:tcPr>
          <w:p w:rsidR="00457BB6" w:rsidRDefault="009A1C6C">
            <w:pPr>
              <w:jc w:val="center"/>
            </w:pPr>
            <w:r>
              <w:rPr>
                <w:color w:val="000000"/>
                <w:sz w:val="24"/>
                <w:szCs w:val="24"/>
              </w:rPr>
              <w:t>1.86%</w:t>
            </w:r>
          </w:p>
        </w:tc>
        <w:tc>
          <w:tcPr>
            <w:tcW w:w="1344" w:type="dxa"/>
            <w:vAlign w:val="center"/>
          </w:tcPr>
          <w:p w:rsidR="00457BB6" w:rsidRDefault="009A1C6C">
            <w:pPr>
              <w:jc w:val="center"/>
            </w:pPr>
            <w:r>
              <w:rPr>
                <w:color w:val="000000"/>
                <w:sz w:val="24"/>
                <w:szCs w:val="24"/>
              </w:rPr>
              <w:t>0.15%</w:t>
            </w:r>
          </w:p>
        </w:tc>
        <w:tc>
          <w:tcPr>
            <w:tcW w:w="1194" w:type="dxa"/>
            <w:vAlign w:val="center"/>
          </w:tcPr>
          <w:p w:rsidR="00457BB6" w:rsidRDefault="009A1C6C">
            <w:pPr>
              <w:jc w:val="center"/>
            </w:pPr>
            <w:r>
              <w:rPr>
                <w:color w:val="000000"/>
                <w:sz w:val="24"/>
                <w:szCs w:val="24"/>
              </w:rPr>
              <w:t>2.24%</w:t>
            </w:r>
          </w:p>
        </w:tc>
        <w:tc>
          <w:tcPr>
            <w:tcW w:w="1492" w:type="dxa"/>
            <w:vAlign w:val="center"/>
          </w:tcPr>
          <w:p w:rsidR="00457BB6" w:rsidRDefault="009A1C6C">
            <w:pPr>
              <w:jc w:val="center"/>
            </w:pPr>
            <w:r>
              <w:rPr>
                <w:color w:val="000000"/>
                <w:sz w:val="24"/>
                <w:szCs w:val="24"/>
              </w:rPr>
              <w:t>0.29%</w:t>
            </w:r>
          </w:p>
        </w:tc>
        <w:tc>
          <w:tcPr>
            <w:tcW w:w="1194" w:type="dxa"/>
            <w:vAlign w:val="center"/>
          </w:tcPr>
          <w:p w:rsidR="00457BB6" w:rsidRDefault="009A1C6C">
            <w:pPr>
              <w:jc w:val="center"/>
            </w:pPr>
            <w:r>
              <w:rPr>
                <w:color w:val="000000"/>
                <w:sz w:val="24"/>
                <w:szCs w:val="24"/>
              </w:rPr>
              <w:t>-0.38%</w:t>
            </w:r>
          </w:p>
        </w:tc>
        <w:tc>
          <w:tcPr>
            <w:tcW w:w="898" w:type="dxa"/>
            <w:vAlign w:val="center"/>
          </w:tcPr>
          <w:p w:rsidR="00457BB6" w:rsidRDefault="009A1C6C">
            <w:pPr>
              <w:jc w:val="center"/>
            </w:pPr>
            <w:r>
              <w:rPr>
                <w:color w:val="000000"/>
                <w:sz w:val="24"/>
                <w:szCs w:val="24"/>
              </w:rPr>
              <w:t>-0.14%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交银施罗德瑞利定期开放灵活配置混合型证券投资基金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2017</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24</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9A1C6C">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57BB6">
        <w:trPr>
          <w:jc w:val="center"/>
        </w:trPr>
        <w:tc>
          <w:tcPr>
            <w:tcW w:w="846" w:type="dxa"/>
            <w:vAlign w:val="center"/>
          </w:tcPr>
          <w:p w:rsidR="00457BB6" w:rsidRDefault="009A1C6C">
            <w:pPr>
              <w:jc w:val="center"/>
            </w:pPr>
            <w:r>
              <w:rPr>
                <w:color w:val="000000"/>
                <w:sz w:val="24"/>
                <w:szCs w:val="24"/>
              </w:rPr>
              <w:t>李娜</w:t>
            </w:r>
          </w:p>
        </w:tc>
        <w:tc>
          <w:tcPr>
            <w:tcW w:w="845" w:type="dxa"/>
            <w:vAlign w:val="center"/>
          </w:tcPr>
          <w:p w:rsidR="00457BB6" w:rsidRDefault="009A1C6C">
            <w:pPr>
              <w:jc w:val="center"/>
            </w:pPr>
            <w:r>
              <w:rPr>
                <w:color w:val="000000"/>
                <w:sz w:val="24"/>
                <w:szCs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549" w:type="dxa"/>
            <w:vAlign w:val="center"/>
          </w:tcPr>
          <w:p w:rsidR="00457BB6" w:rsidRDefault="009A1C6C">
            <w:pPr>
              <w:jc w:val="center"/>
            </w:pPr>
            <w:r>
              <w:rPr>
                <w:color w:val="000000"/>
                <w:sz w:val="24"/>
                <w:szCs w:val="24"/>
              </w:rPr>
              <w:t>2017-02-24</w:t>
            </w:r>
          </w:p>
        </w:tc>
        <w:tc>
          <w:tcPr>
            <w:tcW w:w="1548" w:type="dxa"/>
            <w:vAlign w:val="center"/>
          </w:tcPr>
          <w:p w:rsidR="00457BB6" w:rsidRDefault="009A1C6C">
            <w:pPr>
              <w:jc w:val="center"/>
            </w:pPr>
            <w:r>
              <w:rPr>
                <w:color w:val="000000"/>
                <w:sz w:val="24"/>
                <w:szCs w:val="24"/>
              </w:rPr>
              <w:t>-</w:t>
            </w:r>
          </w:p>
        </w:tc>
        <w:tc>
          <w:tcPr>
            <w:tcW w:w="1407" w:type="dxa"/>
            <w:vAlign w:val="center"/>
          </w:tcPr>
          <w:p w:rsidR="00457BB6" w:rsidRDefault="009A1C6C">
            <w:pPr>
              <w:jc w:val="center"/>
            </w:pPr>
            <w:r>
              <w:rPr>
                <w:color w:val="000000"/>
                <w:sz w:val="24"/>
                <w:szCs w:val="24"/>
              </w:rPr>
              <w:t>7</w:t>
            </w:r>
            <w:r>
              <w:rPr>
                <w:color w:val="000000"/>
                <w:sz w:val="24"/>
                <w:szCs w:val="24"/>
              </w:rPr>
              <w:t>年</w:t>
            </w:r>
          </w:p>
        </w:tc>
        <w:tc>
          <w:tcPr>
            <w:tcW w:w="2673" w:type="dxa"/>
            <w:vAlign w:val="center"/>
          </w:tcPr>
          <w:p w:rsidR="00457BB6" w:rsidRDefault="009A1C6C">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57BB6" w:rsidRDefault="009A1C6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57BB6" w:rsidRDefault="009A1C6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57BB6" w:rsidRDefault="009A1C6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57BB6" w:rsidRDefault="009A1C6C">
      <w:pPr>
        <w:spacing w:before="29" w:line="288" w:lineRule="auto"/>
        <w:ind w:firstLineChars="200" w:firstLine="480"/>
        <w:rPr>
          <w:color w:val="000000"/>
          <w:sz w:val="24"/>
          <w:szCs w:val="24"/>
        </w:rPr>
      </w:pPr>
      <w:r>
        <w:rPr>
          <w:color w:val="000000"/>
          <w:sz w:val="24"/>
          <w:szCs w:val="24"/>
        </w:rPr>
        <w:t>报告期内本公司严格执行公平交易制度，公平对待旗下各投资组合，未发现任何违反公平交易的行为。</w:t>
      </w:r>
    </w:p>
    <w:p w:rsidR="004061AC" w:rsidRPr="00414345" w:rsidRDefault="004061AC" w:rsidP="00055AB1">
      <w:pPr>
        <w:spacing w:before="29" w:line="288" w:lineRule="auto"/>
        <w:rPr>
          <w:color w:val="000000"/>
          <w:sz w:val="24"/>
          <w:szCs w:val="24"/>
        </w:rPr>
      </w:pPr>
      <w:bookmarkStart w:id="0" w:name="_GoBack"/>
      <w:bookmarkEnd w:id="0"/>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57BB6" w:rsidRDefault="009A1C6C">
      <w:pPr>
        <w:spacing w:before="29" w:line="288" w:lineRule="auto"/>
        <w:ind w:firstLineChars="200" w:firstLine="480"/>
        <w:rPr>
          <w:color w:val="000000"/>
          <w:sz w:val="24"/>
          <w:szCs w:val="24"/>
        </w:rPr>
      </w:pPr>
      <w:r>
        <w:rPr>
          <w:color w:val="000000"/>
          <w:sz w:val="24"/>
          <w:szCs w:val="24"/>
        </w:rPr>
        <w:t>本报告期内，部分经济增长数据呈现小幅回落，通胀数据温和上升，货币政策保持稳健中性，银行间流动性结构性分层进一步分化，季节性特征凸显，整体资金中枢略微上移。股票市场受中报业绩改善、商品价格上涨等因素的拉动，风险偏好回升，呈现分化上行的走势后略有调整，同期债券收益率上行后亦有回落，其中流动性季节性收紧、大宗商品价格上涨带动通胀预期、经济数据回落的判断有待确认、美联储开启缩表预期等因素成为债券市场收益率变动的主要原因。报告期内，上证综指和创业板指分别上涨</w:t>
      </w:r>
      <w:r>
        <w:rPr>
          <w:color w:val="000000"/>
          <w:sz w:val="24"/>
          <w:szCs w:val="24"/>
        </w:rPr>
        <w:t>4.90%</w:t>
      </w:r>
      <w:r>
        <w:rPr>
          <w:color w:val="000000"/>
          <w:sz w:val="24"/>
          <w:szCs w:val="24"/>
        </w:rPr>
        <w:t>和</w:t>
      </w:r>
      <w:r>
        <w:rPr>
          <w:color w:val="000000"/>
          <w:sz w:val="24"/>
          <w:szCs w:val="24"/>
        </w:rPr>
        <w:t>2.69%</w:t>
      </w:r>
      <w:r>
        <w:rPr>
          <w:color w:val="000000"/>
          <w:sz w:val="24"/>
          <w:szCs w:val="24"/>
        </w:rPr>
        <w:t>，</w:t>
      </w:r>
      <w:r>
        <w:rPr>
          <w:color w:val="000000"/>
          <w:sz w:val="24"/>
          <w:szCs w:val="24"/>
        </w:rPr>
        <w:t>10</w:t>
      </w:r>
      <w:r>
        <w:rPr>
          <w:color w:val="000000"/>
          <w:sz w:val="24"/>
          <w:szCs w:val="24"/>
        </w:rPr>
        <w:t>年期国债收益率上行</w:t>
      </w:r>
      <w:r>
        <w:rPr>
          <w:color w:val="000000"/>
          <w:sz w:val="24"/>
          <w:szCs w:val="24"/>
        </w:rPr>
        <w:t>5BP</w:t>
      </w:r>
      <w:r>
        <w:rPr>
          <w:color w:val="000000"/>
          <w:sz w:val="24"/>
          <w:szCs w:val="24"/>
        </w:rPr>
        <w:t>至</w:t>
      </w:r>
      <w:r>
        <w:rPr>
          <w:color w:val="000000"/>
          <w:sz w:val="24"/>
          <w:szCs w:val="24"/>
        </w:rPr>
        <w:t>3.61%</w:t>
      </w:r>
      <w:r>
        <w:rPr>
          <w:color w:val="000000"/>
          <w:sz w:val="24"/>
          <w:szCs w:val="24"/>
        </w:rPr>
        <w:t>，</w:t>
      </w:r>
      <w:r>
        <w:rPr>
          <w:color w:val="000000"/>
          <w:sz w:val="24"/>
          <w:szCs w:val="24"/>
        </w:rPr>
        <w:t>10</w:t>
      </w:r>
      <w:r>
        <w:rPr>
          <w:color w:val="000000"/>
          <w:sz w:val="24"/>
          <w:szCs w:val="24"/>
        </w:rPr>
        <w:t>年期国开债收益率上行</w:t>
      </w:r>
      <w:r>
        <w:rPr>
          <w:color w:val="000000"/>
          <w:sz w:val="24"/>
          <w:szCs w:val="24"/>
        </w:rPr>
        <w:t>1BP</w:t>
      </w:r>
      <w:r>
        <w:rPr>
          <w:color w:val="000000"/>
          <w:sz w:val="24"/>
          <w:szCs w:val="24"/>
        </w:rPr>
        <w:t>到</w:t>
      </w:r>
      <w:r>
        <w:rPr>
          <w:color w:val="000000"/>
          <w:sz w:val="24"/>
          <w:szCs w:val="24"/>
        </w:rPr>
        <w:t>4.19%</w:t>
      </w:r>
      <w:r>
        <w:rPr>
          <w:color w:val="000000"/>
          <w:sz w:val="24"/>
          <w:szCs w:val="24"/>
        </w:rPr>
        <w:t>。</w:t>
      </w:r>
    </w:p>
    <w:p w:rsidR="00457BB6" w:rsidRDefault="009A1C6C">
      <w:pPr>
        <w:spacing w:before="29" w:line="288" w:lineRule="auto"/>
        <w:ind w:firstLineChars="200" w:firstLine="480"/>
        <w:rPr>
          <w:color w:val="000000"/>
          <w:sz w:val="24"/>
          <w:szCs w:val="24"/>
        </w:rPr>
      </w:pPr>
      <w:r>
        <w:rPr>
          <w:color w:val="000000"/>
          <w:sz w:val="24"/>
          <w:szCs w:val="24"/>
        </w:rPr>
        <w:t>策略层面，本基金重点关注短久期信用债以及同业存单的配置价值，保持组合流动性，积极关注新股及转债发行动态，进行权益和转债一级市场投资，同时也关注二级市场的投资机会，从各方面争取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展望四季度，基本面下行的预期有待数据的进一步确认，</w:t>
      </w:r>
      <w:r w:rsidRPr="00414345">
        <w:rPr>
          <w:color w:val="000000"/>
          <w:sz w:val="24"/>
          <w:szCs w:val="24"/>
        </w:rPr>
        <w:t>CPI</w:t>
      </w:r>
      <w:r w:rsidRPr="00414345">
        <w:rPr>
          <w:color w:val="000000"/>
          <w:sz w:val="24"/>
          <w:szCs w:val="24"/>
        </w:rPr>
        <w:t>依然不具备大幅上行的风险，宏观经济对债市影响的增强仍需要时间，在货币政策</w:t>
      </w:r>
      <w:r w:rsidRPr="00414345">
        <w:rPr>
          <w:color w:val="000000"/>
          <w:sz w:val="24"/>
          <w:szCs w:val="24"/>
        </w:rPr>
        <w:t>“</w:t>
      </w:r>
      <w:r w:rsidRPr="00414345">
        <w:rPr>
          <w:color w:val="000000"/>
          <w:sz w:val="24"/>
          <w:szCs w:val="24"/>
        </w:rPr>
        <w:t>不松不紧</w:t>
      </w:r>
      <w:r w:rsidRPr="00414345">
        <w:rPr>
          <w:color w:val="000000"/>
          <w:sz w:val="24"/>
          <w:szCs w:val="24"/>
        </w:rPr>
        <w:t>”</w:t>
      </w:r>
      <w:r w:rsidRPr="00414345">
        <w:rPr>
          <w:color w:val="000000"/>
          <w:sz w:val="24"/>
          <w:szCs w:val="24"/>
        </w:rPr>
        <w:t>的基调下，利率或继续处于震荡格局之中，但长端收益率上行空间似有顶，具备一定配置价值。我们将密切关注流动性边际变化、供给侧等改革进展、通胀预期变化、美联储加息及缩表进度等因素对市场的影响。股票方面，力争继续保持稳健、审慎，积极关注一级市场动态。债券方面，保持组合流动性的前提下积极关注交易窗口，把握适中久期，同时特别重视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57BB6" w:rsidRDefault="009A1C6C">
      <w:pPr>
        <w:spacing w:before="29" w:line="288" w:lineRule="auto"/>
        <w:ind w:firstLineChars="200" w:firstLine="480"/>
        <w:rPr>
          <w:color w:val="000000"/>
          <w:sz w:val="24"/>
          <w:szCs w:val="24"/>
        </w:rPr>
      </w:pPr>
      <w:r>
        <w:rPr>
          <w:color w:val="000000"/>
          <w:sz w:val="24"/>
          <w:szCs w:val="24"/>
        </w:rPr>
        <w:t>截至</w:t>
      </w:r>
      <w:r>
        <w:rPr>
          <w:color w:val="000000"/>
          <w:sz w:val="24"/>
          <w:szCs w:val="24"/>
        </w:rPr>
        <w:t>2017</w:t>
      </w:r>
      <w:r>
        <w:rPr>
          <w:color w:val="000000"/>
          <w:sz w:val="24"/>
          <w:szCs w:val="24"/>
        </w:rPr>
        <w:t>年</w:t>
      </w:r>
      <w:r>
        <w:rPr>
          <w:color w:val="000000"/>
          <w:sz w:val="24"/>
          <w:szCs w:val="24"/>
        </w:rPr>
        <w:t>9</w:t>
      </w:r>
      <w:r>
        <w:rPr>
          <w:color w:val="000000"/>
          <w:sz w:val="24"/>
          <w:szCs w:val="24"/>
        </w:rPr>
        <w:t>月</w:t>
      </w:r>
      <w:r>
        <w:rPr>
          <w:color w:val="000000"/>
          <w:sz w:val="24"/>
          <w:szCs w:val="24"/>
        </w:rPr>
        <w:t>30</w:t>
      </w:r>
      <w:r>
        <w:rPr>
          <w:color w:val="000000"/>
          <w:sz w:val="24"/>
          <w:szCs w:val="24"/>
        </w:rPr>
        <w:t>日，本基金份额净值为</w:t>
      </w:r>
      <w:r>
        <w:rPr>
          <w:color w:val="000000"/>
          <w:sz w:val="24"/>
          <w:szCs w:val="24"/>
        </w:rPr>
        <w:t>1.0428</w:t>
      </w:r>
      <w:r>
        <w:rPr>
          <w:color w:val="000000"/>
          <w:sz w:val="24"/>
          <w:szCs w:val="24"/>
        </w:rPr>
        <w:t>元，本报告期份额净值增长率为</w:t>
      </w:r>
      <w:r>
        <w:rPr>
          <w:color w:val="000000"/>
          <w:sz w:val="24"/>
          <w:szCs w:val="24"/>
        </w:rPr>
        <w:t>1.86%</w:t>
      </w:r>
      <w:r>
        <w:rPr>
          <w:color w:val="000000"/>
          <w:sz w:val="24"/>
          <w:szCs w:val="24"/>
        </w:rPr>
        <w:t>，同期业绩比较基准增长率为</w:t>
      </w:r>
      <w:r>
        <w:rPr>
          <w:color w:val="000000"/>
          <w:sz w:val="24"/>
          <w:szCs w:val="24"/>
        </w:rPr>
        <w:t>2.24%</w:t>
      </w:r>
      <w:r>
        <w:rPr>
          <w:color w:val="000000"/>
          <w:sz w:val="24"/>
          <w:szCs w:val="24"/>
        </w:rPr>
        <w:t>。</w:t>
      </w:r>
    </w:p>
    <w:p w:rsidR="004061AC" w:rsidRPr="00414345" w:rsidRDefault="004061AC" w:rsidP="00C15CAC">
      <w:pPr>
        <w:spacing w:before="29" w:line="288" w:lineRule="auto"/>
        <w:ind w:firstLineChars="200" w:firstLine="480"/>
        <w:rPr>
          <w:color w:val="000000"/>
          <w:sz w:val="24"/>
          <w:szCs w:val="24"/>
        </w:rPr>
      </w:pP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9A1C6C">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66,108,464.78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15.83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66,108,464.78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15.83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330,437,349.50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79.11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330,437,349.50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79.11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14,563,674.71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3.49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6,584,960.33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417,694,449.32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40,568,881.18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4,025,593.44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4,816,650.23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25,571.91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17,468.03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16,539,000.00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115,299.99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66,108,464.78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15.85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57BB6">
        <w:trPr>
          <w:jc w:val="center"/>
        </w:trPr>
        <w:tc>
          <w:tcPr>
            <w:tcW w:w="855" w:type="dxa"/>
            <w:vAlign w:val="center"/>
          </w:tcPr>
          <w:p w:rsidR="00457BB6" w:rsidRDefault="009A1C6C">
            <w:pPr>
              <w:jc w:val="center"/>
            </w:pPr>
            <w:r>
              <w:rPr>
                <w:color w:val="000000"/>
                <w:sz w:val="24"/>
                <w:szCs w:val="24"/>
              </w:rPr>
              <w:t>1</w:t>
            </w:r>
          </w:p>
        </w:tc>
        <w:tc>
          <w:tcPr>
            <w:tcW w:w="1334" w:type="dxa"/>
            <w:vAlign w:val="center"/>
          </w:tcPr>
          <w:p w:rsidR="00457BB6" w:rsidRDefault="009A1C6C">
            <w:pPr>
              <w:jc w:val="center"/>
            </w:pPr>
            <w:r>
              <w:rPr>
                <w:color w:val="000000"/>
                <w:sz w:val="24"/>
                <w:szCs w:val="24"/>
              </w:rPr>
              <w:t>600519</w:t>
            </w:r>
          </w:p>
        </w:tc>
        <w:tc>
          <w:tcPr>
            <w:tcW w:w="1777" w:type="dxa"/>
            <w:vAlign w:val="center"/>
          </w:tcPr>
          <w:p w:rsidR="00457BB6" w:rsidRDefault="009A1C6C">
            <w:pPr>
              <w:jc w:val="center"/>
            </w:pPr>
            <w:r>
              <w:rPr>
                <w:color w:val="000000"/>
                <w:sz w:val="24"/>
                <w:szCs w:val="24"/>
              </w:rPr>
              <w:t>贵州茅台</w:t>
            </w:r>
          </w:p>
        </w:tc>
        <w:tc>
          <w:tcPr>
            <w:tcW w:w="1334" w:type="dxa"/>
            <w:vAlign w:val="center"/>
          </w:tcPr>
          <w:p w:rsidR="00457BB6" w:rsidRDefault="009A1C6C">
            <w:pPr>
              <w:jc w:val="right"/>
            </w:pPr>
            <w:r>
              <w:rPr>
                <w:color w:val="000000"/>
                <w:sz w:val="24"/>
                <w:szCs w:val="24"/>
              </w:rPr>
              <w:t>19,981</w:t>
            </w:r>
          </w:p>
        </w:tc>
        <w:tc>
          <w:tcPr>
            <w:tcW w:w="1924" w:type="dxa"/>
            <w:vAlign w:val="center"/>
          </w:tcPr>
          <w:p w:rsidR="00457BB6" w:rsidRDefault="009A1C6C">
            <w:pPr>
              <w:jc w:val="right"/>
            </w:pPr>
            <w:r>
              <w:rPr>
                <w:color w:val="000000"/>
                <w:sz w:val="24"/>
                <w:szCs w:val="24"/>
              </w:rPr>
              <w:t>10,342,964.84</w:t>
            </w:r>
          </w:p>
        </w:tc>
        <w:tc>
          <w:tcPr>
            <w:tcW w:w="1644" w:type="dxa"/>
            <w:vAlign w:val="center"/>
          </w:tcPr>
          <w:p w:rsidR="00457BB6" w:rsidRDefault="009A1C6C">
            <w:pPr>
              <w:jc w:val="right"/>
            </w:pPr>
            <w:r>
              <w:rPr>
                <w:color w:val="000000"/>
                <w:sz w:val="24"/>
                <w:szCs w:val="24"/>
              </w:rPr>
              <w:t>2.48</w:t>
            </w:r>
          </w:p>
        </w:tc>
      </w:tr>
      <w:tr w:rsidR="00457BB6">
        <w:trPr>
          <w:jc w:val="center"/>
        </w:trPr>
        <w:tc>
          <w:tcPr>
            <w:tcW w:w="855" w:type="dxa"/>
            <w:vAlign w:val="center"/>
          </w:tcPr>
          <w:p w:rsidR="00457BB6" w:rsidRDefault="009A1C6C">
            <w:pPr>
              <w:jc w:val="center"/>
            </w:pPr>
            <w:r>
              <w:rPr>
                <w:color w:val="000000"/>
                <w:sz w:val="24"/>
                <w:szCs w:val="24"/>
              </w:rPr>
              <w:t>2</w:t>
            </w:r>
          </w:p>
        </w:tc>
        <w:tc>
          <w:tcPr>
            <w:tcW w:w="1334" w:type="dxa"/>
            <w:vAlign w:val="center"/>
          </w:tcPr>
          <w:p w:rsidR="00457BB6" w:rsidRDefault="009A1C6C">
            <w:pPr>
              <w:jc w:val="center"/>
            </w:pPr>
            <w:r>
              <w:rPr>
                <w:color w:val="000000"/>
                <w:sz w:val="24"/>
                <w:szCs w:val="24"/>
              </w:rPr>
              <w:t>600887</w:t>
            </w:r>
          </w:p>
        </w:tc>
        <w:tc>
          <w:tcPr>
            <w:tcW w:w="1777" w:type="dxa"/>
            <w:vAlign w:val="center"/>
          </w:tcPr>
          <w:p w:rsidR="00457BB6" w:rsidRDefault="009A1C6C">
            <w:pPr>
              <w:jc w:val="center"/>
            </w:pPr>
            <w:r>
              <w:rPr>
                <w:color w:val="000000"/>
                <w:sz w:val="24"/>
                <w:szCs w:val="24"/>
              </w:rPr>
              <w:t>伊利股份</w:t>
            </w:r>
          </w:p>
        </w:tc>
        <w:tc>
          <w:tcPr>
            <w:tcW w:w="1334" w:type="dxa"/>
            <w:vAlign w:val="center"/>
          </w:tcPr>
          <w:p w:rsidR="00457BB6" w:rsidRDefault="009A1C6C">
            <w:pPr>
              <w:jc w:val="right"/>
            </w:pPr>
            <w:r>
              <w:rPr>
                <w:color w:val="000000"/>
                <w:sz w:val="24"/>
                <w:szCs w:val="24"/>
              </w:rPr>
              <w:t>350,000</w:t>
            </w:r>
          </w:p>
        </w:tc>
        <w:tc>
          <w:tcPr>
            <w:tcW w:w="1924" w:type="dxa"/>
            <w:vAlign w:val="center"/>
          </w:tcPr>
          <w:p w:rsidR="00457BB6" w:rsidRDefault="009A1C6C">
            <w:pPr>
              <w:jc w:val="right"/>
            </w:pPr>
            <w:r>
              <w:rPr>
                <w:color w:val="000000"/>
                <w:sz w:val="24"/>
                <w:szCs w:val="24"/>
              </w:rPr>
              <w:t>9,625,000.00</w:t>
            </w:r>
          </w:p>
        </w:tc>
        <w:tc>
          <w:tcPr>
            <w:tcW w:w="1644" w:type="dxa"/>
            <w:vAlign w:val="center"/>
          </w:tcPr>
          <w:p w:rsidR="00457BB6" w:rsidRDefault="009A1C6C">
            <w:pPr>
              <w:jc w:val="right"/>
            </w:pPr>
            <w:r>
              <w:rPr>
                <w:color w:val="000000"/>
                <w:sz w:val="24"/>
                <w:szCs w:val="24"/>
              </w:rPr>
              <w:t>2.31</w:t>
            </w:r>
          </w:p>
        </w:tc>
      </w:tr>
      <w:tr w:rsidR="00457BB6">
        <w:trPr>
          <w:jc w:val="center"/>
        </w:trPr>
        <w:tc>
          <w:tcPr>
            <w:tcW w:w="855" w:type="dxa"/>
            <w:vAlign w:val="center"/>
          </w:tcPr>
          <w:p w:rsidR="00457BB6" w:rsidRDefault="009A1C6C">
            <w:pPr>
              <w:jc w:val="center"/>
            </w:pPr>
            <w:r>
              <w:rPr>
                <w:color w:val="000000"/>
                <w:sz w:val="24"/>
                <w:szCs w:val="24"/>
              </w:rPr>
              <w:t>3</w:t>
            </w:r>
          </w:p>
        </w:tc>
        <w:tc>
          <w:tcPr>
            <w:tcW w:w="1334" w:type="dxa"/>
            <w:vAlign w:val="center"/>
          </w:tcPr>
          <w:p w:rsidR="00457BB6" w:rsidRDefault="009A1C6C">
            <w:pPr>
              <w:jc w:val="center"/>
            </w:pPr>
            <w:r>
              <w:rPr>
                <w:color w:val="000000"/>
                <w:sz w:val="24"/>
                <w:szCs w:val="24"/>
              </w:rPr>
              <w:t>601398</w:t>
            </w:r>
          </w:p>
        </w:tc>
        <w:tc>
          <w:tcPr>
            <w:tcW w:w="1777" w:type="dxa"/>
            <w:vAlign w:val="center"/>
          </w:tcPr>
          <w:p w:rsidR="00457BB6" w:rsidRDefault="009A1C6C">
            <w:pPr>
              <w:jc w:val="center"/>
            </w:pPr>
            <w:r>
              <w:rPr>
                <w:color w:val="000000"/>
                <w:sz w:val="24"/>
                <w:szCs w:val="24"/>
              </w:rPr>
              <w:t>工商银行</w:t>
            </w:r>
          </w:p>
        </w:tc>
        <w:tc>
          <w:tcPr>
            <w:tcW w:w="1334" w:type="dxa"/>
            <w:vAlign w:val="center"/>
          </w:tcPr>
          <w:p w:rsidR="00457BB6" w:rsidRDefault="009A1C6C">
            <w:pPr>
              <w:jc w:val="right"/>
            </w:pPr>
            <w:r>
              <w:rPr>
                <w:color w:val="000000"/>
                <w:sz w:val="24"/>
                <w:szCs w:val="24"/>
              </w:rPr>
              <w:t>1,600,000</w:t>
            </w:r>
          </w:p>
        </w:tc>
        <w:tc>
          <w:tcPr>
            <w:tcW w:w="1924" w:type="dxa"/>
            <w:vAlign w:val="center"/>
          </w:tcPr>
          <w:p w:rsidR="00457BB6" w:rsidRDefault="009A1C6C">
            <w:pPr>
              <w:jc w:val="right"/>
            </w:pPr>
            <w:r>
              <w:rPr>
                <w:color w:val="000000"/>
                <w:sz w:val="24"/>
                <w:szCs w:val="24"/>
              </w:rPr>
              <w:t>9,600,000.00</w:t>
            </w:r>
          </w:p>
        </w:tc>
        <w:tc>
          <w:tcPr>
            <w:tcW w:w="1644" w:type="dxa"/>
            <w:vAlign w:val="center"/>
          </w:tcPr>
          <w:p w:rsidR="00457BB6" w:rsidRDefault="009A1C6C">
            <w:pPr>
              <w:jc w:val="right"/>
            </w:pPr>
            <w:r>
              <w:rPr>
                <w:color w:val="000000"/>
                <w:sz w:val="24"/>
                <w:szCs w:val="24"/>
              </w:rPr>
              <w:t>2.30</w:t>
            </w:r>
          </w:p>
        </w:tc>
      </w:tr>
      <w:tr w:rsidR="00457BB6">
        <w:trPr>
          <w:jc w:val="center"/>
        </w:trPr>
        <w:tc>
          <w:tcPr>
            <w:tcW w:w="855" w:type="dxa"/>
            <w:vAlign w:val="center"/>
          </w:tcPr>
          <w:p w:rsidR="00457BB6" w:rsidRDefault="009A1C6C">
            <w:pPr>
              <w:jc w:val="center"/>
            </w:pPr>
            <w:r>
              <w:rPr>
                <w:color w:val="000000"/>
                <w:sz w:val="24"/>
                <w:szCs w:val="24"/>
              </w:rPr>
              <w:t>4</w:t>
            </w:r>
          </w:p>
        </w:tc>
        <w:tc>
          <w:tcPr>
            <w:tcW w:w="1334" w:type="dxa"/>
            <w:vAlign w:val="center"/>
          </w:tcPr>
          <w:p w:rsidR="00457BB6" w:rsidRDefault="009A1C6C">
            <w:pPr>
              <w:jc w:val="center"/>
            </w:pPr>
            <w:r>
              <w:rPr>
                <w:color w:val="000000"/>
                <w:sz w:val="24"/>
                <w:szCs w:val="24"/>
              </w:rPr>
              <w:t>600062</w:t>
            </w:r>
          </w:p>
        </w:tc>
        <w:tc>
          <w:tcPr>
            <w:tcW w:w="1777" w:type="dxa"/>
            <w:vAlign w:val="center"/>
          </w:tcPr>
          <w:p w:rsidR="00457BB6" w:rsidRDefault="009A1C6C">
            <w:pPr>
              <w:jc w:val="center"/>
            </w:pPr>
            <w:r>
              <w:rPr>
                <w:color w:val="000000"/>
                <w:sz w:val="24"/>
                <w:szCs w:val="24"/>
              </w:rPr>
              <w:t>华润双鹤</w:t>
            </w:r>
          </w:p>
        </w:tc>
        <w:tc>
          <w:tcPr>
            <w:tcW w:w="1334" w:type="dxa"/>
            <w:vAlign w:val="center"/>
          </w:tcPr>
          <w:p w:rsidR="00457BB6" w:rsidRDefault="009A1C6C">
            <w:pPr>
              <w:jc w:val="right"/>
            </w:pPr>
            <w:r>
              <w:rPr>
                <w:color w:val="000000"/>
                <w:sz w:val="24"/>
                <w:szCs w:val="24"/>
              </w:rPr>
              <w:t>240,000</w:t>
            </w:r>
          </w:p>
        </w:tc>
        <w:tc>
          <w:tcPr>
            <w:tcW w:w="1924" w:type="dxa"/>
            <w:vAlign w:val="center"/>
          </w:tcPr>
          <w:p w:rsidR="00457BB6" w:rsidRDefault="009A1C6C">
            <w:pPr>
              <w:jc w:val="right"/>
            </w:pPr>
            <w:r>
              <w:rPr>
                <w:color w:val="000000"/>
                <w:sz w:val="24"/>
                <w:szCs w:val="24"/>
              </w:rPr>
              <w:t>5,052,000.00</w:t>
            </w:r>
          </w:p>
        </w:tc>
        <w:tc>
          <w:tcPr>
            <w:tcW w:w="1644" w:type="dxa"/>
            <w:vAlign w:val="center"/>
          </w:tcPr>
          <w:p w:rsidR="00457BB6" w:rsidRDefault="009A1C6C">
            <w:pPr>
              <w:jc w:val="right"/>
            </w:pPr>
            <w:r>
              <w:rPr>
                <w:color w:val="000000"/>
                <w:sz w:val="24"/>
                <w:szCs w:val="24"/>
              </w:rPr>
              <w:t>1.21</w:t>
            </w:r>
          </w:p>
        </w:tc>
      </w:tr>
      <w:tr w:rsidR="00457BB6">
        <w:trPr>
          <w:jc w:val="center"/>
        </w:trPr>
        <w:tc>
          <w:tcPr>
            <w:tcW w:w="855" w:type="dxa"/>
            <w:vAlign w:val="center"/>
          </w:tcPr>
          <w:p w:rsidR="00457BB6" w:rsidRDefault="009A1C6C">
            <w:pPr>
              <w:jc w:val="center"/>
            </w:pPr>
            <w:r>
              <w:rPr>
                <w:color w:val="000000"/>
                <w:sz w:val="24"/>
                <w:szCs w:val="24"/>
              </w:rPr>
              <w:t>5</w:t>
            </w:r>
          </w:p>
        </w:tc>
        <w:tc>
          <w:tcPr>
            <w:tcW w:w="1334" w:type="dxa"/>
            <w:vAlign w:val="center"/>
          </w:tcPr>
          <w:p w:rsidR="00457BB6" w:rsidRDefault="009A1C6C">
            <w:pPr>
              <w:jc w:val="center"/>
            </w:pPr>
            <w:r>
              <w:rPr>
                <w:color w:val="000000"/>
                <w:sz w:val="24"/>
                <w:szCs w:val="24"/>
              </w:rPr>
              <w:t>601939</w:t>
            </w:r>
          </w:p>
        </w:tc>
        <w:tc>
          <w:tcPr>
            <w:tcW w:w="1777" w:type="dxa"/>
            <w:vAlign w:val="center"/>
          </w:tcPr>
          <w:p w:rsidR="00457BB6" w:rsidRDefault="009A1C6C">
            <w:pPr>
              <w:jc w:val="center"/>
            </w:pPr>
            <w:r>
              <w:rPr>
                <w:color w:val="000000"/>
                <w:sz w:val="24"/>
                <w:szCs w:val="24"/>
              </w:rPr>
              <w:t>建设银行</w:t>
            </w:r>
          </w:p>
        </w:tc>
        <w:tc>
          <w:tcPr>
            <w:tcW w:w="1334" w:type="dxa"/>
            <w:vAlign w:val="center"/>
          </w:tcPr>
          <w:p w:rsidR="00457BB6" w:rsidRDefault="009A1C6C">
            <w:pPr>
              <w:jc w:val="right"/>
            </w:pPr>
            <w:r>
              <w:rPr>
                <w:color w:val="000000"/>
                <w:sz w:val="24"/>
                <w:szCs w:val="24"/>
              </w:rPr>
              <w:t>700,000</w:t>
            </w:r>
          </w:p>
        </w:tc>
        <w:tc>
          <w:tcPr>
            <w:tcW w:w="1924" w:type="dxa"/>
            <w:vAlign w:val="center"/>
          </w:tcPr>
          <w:p w:rsidR="00457BB6" w:rsidRDefault="009A1C6C">
            <w:pPr>
              <w:jc w:val="right"/>
            </w:pPr>
            <w:r>
              <w:rPr>
                <w:color w:val="000000"/>
                <w:sz w:val="24"/>
                <w:szCs w:val="24"/>
              </w:rPr>
              <w:t>4,879,000.00</w:t>
            </w:r>
          </w:p>
        </w:tc>
        <w:tc>
          <w:tcPr>
            <w:tcW w:w="1644" w:type="dxa"/>
            <w:vAlign w:val="center"/>
          </w:tcPr>
          <w:p w:rsidR="00457BB6" w:rsidRDefault="009A1C6C">
            <w:pPr>
              <w:jc w:val="right"/>
            </w:pPr>
            <w:r>
              <w:rPr>
                <w:color w:val="000000"/>
                <w:sz w:val="24"/>
                <w:szCs w:val="24"/>
              </w:rPr>
              <w:t>1.17</w:t>
            </w:r>
          </w:p>
        </w:tc>
      </w:tr>
      <w:tr w:rsidR="00457BB6">
        <w:trPr>
          <w:jc w:val="center"/>
        </w:trPr>
        <w:tc>
          <w:tcPr>
            <w:tcW w:w="855" w:type="dxa"/>
            <w:vAlign w:val="center"/>
          </w:tcPr>
          <w:p w:rsidR="00457BB6" w:rsidRDefault="009A1C6C">
            <w:pPr>
              <w:jc w:val="center"/>
            </w:pPr>
            <w:r>
              <w:rPr>
                <w:color w:val="000000"/>
                <w:sz w:val="24"/>
                <w:szCs w:val="24"/>
              </w:rPr>
              <w:t>6</w:t>
            </w:r>
          </w:p>
        </w:tc>
        <w:tc>
          <w:tcPr>
            <w:tcW w:w="1334" w:type="dxa"/>
            <w:vAlign w:val="center"/>
          </w:tcPr>
          <w:p w:rsidR="00457BB6" w:rsidRDefault="009A1C6C">
            <w:pPr>
              <w:jc w:val="center"/>
            </w:pPr>
            <w:r>
              <w:rPr>
                <w:color w:val="000000"/>
                <w:sz w:val="24"/>
                <w:szCs w:val="24"/>
              </w:rPr>
              <w:t>601607</w:t>
            </w:r>
          </w:p>
        </w:tc>
        <w:tc>
          <w:tcPr>
            <w:tcW w:w="1777" w:type="dxa"/>
            <w:vAlign w:val="center"/>
          </w:tcPr>
          <w:p w:rsidR="00457BB6" w:rsidRDefault="009A1C6C">
            <w:pPr>
              <w:jc w:val="center"/>
            </w:pPr>
            <w:r>
              <w:rPr>
                <w:color w:val="000000"/>
                <w:sz w:val="24"/>
                <w:szCs w:val="24"/>
              </w:rPr>
              <w:t>上海医药</w:t>
            </w:r>
          </w:p>
        </w:tc>
        <w:tc>
          <w:tcPr>
            <w:tcW w:w="1334" w:type="dxa"/>
            <w:vAlign w:val="center"/>
          </w:tcPr>
          <w:p w:rsidR="00457BB6" w:rsidRDefault="009A1C6C">
            <w:pPr>
              <w:jc w:val="right"/>
            </w:pPr>
            <w:r>
              <w:rPr>
                <w:color w:val="000000"/>
                <w:sz w:val="24"/>
                <w:szCs w:val="24"/>
              </w:rPr>
              <w:t>200,000</w:t>
            </w:r>
          </w:p>
        </w:tc>
        <w:tc>
          <w:tcPr>
            <w:tcW w:w="1924" w:type="dxa"/>
            <w:vAlign w:val="center"/>
          </w:tcPr>
          <w:p w:rsidR="00457BB6" w:rsidRDefault="009A1C6C">
            <w:pPr>
              <w:jc w:val="right"/>
            </w:pPr>
            <w:r>
              <w:rPr>
                <w:color w:val="000000"/>
                <w:sz w:val="24"/>
                <w:szCs w:val="24"/>
              </w:rPr>
              <w:t>4,748,000.00</w:t>
            </w:r>
          </w:p>
        </w:tc>
        <w:tc>
          <w:tcPr>
            <w:tcW w:w="1644" w:type="dxa"/>
            <w:vAlign w:val="center"/>
          </w:tcPr>
          <w:p w:rsidR="00457BB6" w:rsidRDefault="009A1C6C">
            <w:pPr>
              <w:jc w:val="right"/>
            </w:pPr>
            <w:r>
              <w:rPr>
                <w:color w:val="000000"/>
                <w:sz w:val="24"/>
                <w:szCs w:val="24"/>
              </w:rPr>
              <w:t>1.14</w:t>
            </w:r>
          </w:p>
        </w:tc>
      </w:tr>
      <w:tr w:rsidR="00457BB6">
        <w:trPr>
          <w:jc w:val="center"/>
        </w:trPr>
        <w:tc>
          <w:tcPr>
            <w:tcW w:w="855" w:type="dxa"/>
            <w:vAlign w:val="center"/>
          </w:tcPr>
          <w:p w:rsidR="00457BB6" w:rsidRDefault="009A1C6C">
            <w:pPr>
              <w:jc w:val="center"/>
            </w:pPr>
            <w:r>
              <w:rPr>
                <w:color w:val="000000"/>
                <w:sz w:val="24"/>
                <w:szCs w:val="24"/>
              </w:rPr>
              <w:t>7</w:t>
            </w:r>
          </w:p>
        </w:tc>
        <w:tc>
          <w:tcPr>
            <w:tcW w:w="1334" w:type="dxa"/>
            <w:vAlign w:val="center"/>
          </w:tcPr>
          <w:p w:rsidR="00457BB6" w:rsidRDefault="009A1C6C">
            <w:pPr>
              <w:jc w:val="center"/>
            </w:pPr>
            <w:r>
              <w:rPr>
                <w:color w:val="000000"/>
                <w:sz w:val="24"/>
                <w:szCs w:val="24"/>
              </w:rPr>
              <w:t>600056</w:t>
            </w:r>
          </w:p>
        </w:tc>
        <w:tc>
          <w:tcPr>
            <w:tcW w:w="1777" w:type="dxa"/>
            <w:vAlign w:val="center"/>
          </w:tcPr>
          <w:p w:rsidR="00457BB6" w:rsidRDefault="009A1C6C">
            <w:pPr>
              <w:jc w:val="center"/>
            </w:pPr>
            <w:r>
              <w:rPr>
                <w:color w:val="000000"/>
                <w:sz w:val="24"/>
                <w:szCs w:val="24"/>
              </w:rPr>
              <w:t>中国医药</w:t>
            </w:r>
          </w:p>
        </w:tc>
        <w:tc>
          <w:tcPr>
            <w:tcW w:w="1334" w:type="dxa"/>
            <w:vAlign w:val="center"/>
          </w:tcPr>
          <w:p w:rsidR="00457BB6" w:rsidRDefault="009A1C6C">
            <w:pPr>
              <w:jc w:val="right"/>
            </w:pPr>
            <w:r>
              <w:rPr>
                <w:color w:val="000000"/>
                <w:sz w:val="24"/>
                <w:szCs w:val="24"/>
              </w:rPr>
              <w:t>189,967</w:t>
            </w:r>
          </w:p>
        </w:tc>
        <w:tc>
          <w:tcPr>
            <w:tcW w:w="1924" w:type="dxa"/>
            <w:vAlign w:val="center"/>
          </w:tcPr>
          <w:p w:rsidR="00457BB6" w:rsidRDefault="009A1C6C">
            <w:pPr>
              <w:jc w:val="right"/>
            </w:pPr>
            <w:r>
              <w:rPr>
                <w:color w:val="000000"/>
                <w:sz w:val="24"/>
                <w:szCs w:val="24"/>
              </w:rPr>
              <w:t>4,646,592.82</w:t>
            </w:r>
          </w:p>
        </w:tc>
        <w:tc>
          <w:tcPr>
            <w:tcW w:w="1644" w:type="dxa"/>
            <w:vAlign w:val="center"/>
          </w:tcPr>
          <w:p w:rsidR="00457BB6" w:rsidRDefault="009A1C6C">
            <w:pPr>
              <w:jc w:val="right"/>
            </w:pPr>
            <w:r>
              <w:rPr>
                <w:color w:val="000000"/>
                <w:sz w:val="24"/>
                <w:szCs w:val="24"/>
              </w:rPr>
              <w:t>1.11</w:t>
            </w:r>
          </w:p>
        </w:tc>
      </w:tr>
      <w:tr w:rsidR="00457BB6">
        <w:trPr>
          <w:jc w:val="center"/>
        </w:trPr>
        <w:tc>
          <w:tcPr>
            <w:tcW w:w="855" w:type="dxa"/>
            <w:vAlign w:val="center"/>
          </w:tcPr>
          <w:p w:rsidR="00457BB6" w:rsidRDefault="009A1C6C">
            <w:pPr>
              <w:jc w:val="center"/>
            </w:pPr>
            <w:r>
              <w:rPr>
                <w:color w:val="000000"/>
                <w:sz w:val="24"/>
                <w:szCs w:val="24"/>
              </w:rPr>
              <w:t>8</w:t>
            </w:r>
          </w:p>
        </w:tc>
        <w:tc>
          <w:tcPr>
            <w:tcW w:w="1334" w:type="dxa"/>
            <w:vAlign w:val="center"/>
          </w:tcPr>
          <w:p w:rsidR="00457BB6" w:rsidRDefault="009A1C6C">
            <w:pPr>
              <w:jc w:val="center"/>
            </w:pPr>
            <w:r>
              <w:rPr>
                <w:color w:val="000000"/>
                <w:sz w:val="24"/>
                <w:szCs w:val="24"/>
              </w:rPr>
              <w:t>600276</w:t>
            </w:r>
          </w:p>
        </w:tc>
        <w:tc>
          <w:tcPr>
            <w:tcW w:w="1777" w:type="dxa"/>
            <w:vAlign w:val="center"/>
          </w:tcPr>
          <w:p w:rsidR="00457BB6" w:rsidRDefault="009A1C6C">
            <w:pPr>
              <w:jc w:val="center"/>
            </w:pPr>
            <w:r>
              <w:rPr>
                <w:color w:val="000000"/>
                <w:sz w:val="24"/>
                <w:szCs w:val="24"/>
              </w:rPr>
              <w:t>恒瑞医药</w:t>
            </w:r>
          </w:p>
        </w:tc>
        <w:tc>
          <w:tcPr>
            <w:tcW w:w="1334" w:type="dxa"/>
            <w:vAlign w:val="center"/>
          </w:tcPr>
          <w:p w:rsidR="00457BB6" w:rsidRDefault="009A1C6C">
            <w:pPr>
              <w:jc w:val="right"/>
            </w:pPr>
            <w:r>
              <w:rPr>
                <w:color w:val="000000"/>
                <w:sz w:val="24"/>
                <w:szCs w:val="24"/>
              </w:rPr>
              <w:t>72,000</w:t>
            </w:r>
          </w:p>
        </w:tc>
        <w:tc>
          <w:tcPr>
            <w:tcW w:w="1924" w:type="dxa"/>
            <w:vAlign w:val="center"/>
          </w:tcPr>
          <w:p w:rsidR="00457BB6" w:rsidRDefault="009A1C6C">
            <w:pPr>
              <w:jc w:val="right"/>
            </w:pPr>
            <w:r>
              <w:rPr>
                <w:color w:val="000000"/>
                <w:sz w:val="24"/>
                <w:szCs w:val="24"/>
              </w:rPr>
              <w:t>4,314,960.00</w:t>
            </w:r>
          </w:p>
        </w:tc>
        <w:tc>
          <w:tcPr>
            <w:tcW w:w="1644" w:type="dxa"/>
            <w:vAlign w:val="center"/>
          </w:tcPr>
          <w:p w:rsidR="00457BB6" w:rsidRDefault="009A1C6C">
            <w:pPr>
              <w:jc w:val="right"/>
            </w:pPr>
            <w:r>
              <w:rPr>
                <w:color w:val="000000"/>
                <w:sz w:val="24"/>
                <w:szCs w:val="24"/>
              </w:rPr>
              <w:t>1.03</w:t>
            </w:r>
          </w:p>
        </w:tc>
      </w:tr>
      <w:tr w:rsidR="00457BB6">
        <w:trPr>
          <w:jc w:val="center"/>
        </w:trPr>
        <w:tc>
          <w:tcPr>
            <w:tcW w:w="855" w:type="dxa"/>
            <w:vAlign w:val="center"/>
          </w:tcPr>
          <w:p w:rsidR="00457BB6" w:rsidRDefault="009A1C6C">
            <w:pPr>
              <w:jc w:val="center"/>
            </w:pPr>
            <w:r>
              <w:rPr>
                <w:color w:val="000000"/>
                <w:sz w:val="24"/>
                <w:szCs w:val="24"/>
              </w:rPr>
              <w:t>9</w:t>
            </w:r>
          </w:p>
        </w:tc>
        <w:tc>
          <w:tcPr>
            <w:tcW w:w="1334" w:type="dxa"/>
            <w:vAlign w:val="center"/>
          </w:tcPr>
          <w:p w:rsidR="00457BB6" w:rsidRDefault="009A1C6C">
            <w:pPr>
              <w:jc w:val="center"/>
            </w:pPr>
            <w:r>
              <w:rPr>
                <w:color w:val="000000"/>
                <w:sz w:val="24"/>
                <w:szCs w:val="24"/>
              </w:rPr>
              <w:t>600329</w:t>
            </w:r>
          </w:p>
        </w:tc>
        <w:tc>
          <w:tcPr>
            <w:tcW w:w="1777" w:type="dxa"/>
            <w:vAlign w:val="center"/>
          </w:tcPr>
          <w:p w:rsidR="00457BB6" w:rsidRDefault="009A1C6C">
            <w:pPr>
              <w:jc w:val="center"/>
            </w:pPr>
            <w:r>
              <w:rPr>
                <w:color w:val="000000"/>
                <w:sz w:val="24"/>
                <w:szCs w:val="24"/>
              </w:rPr>
              <w:t>中新药业</w:t>
            </w:r>
          </w:p>
        </w:tc>
        <w:tc>
          <w:tcPr>
            <w:tcW w:w="1334" w:type="dxa"/>
            <w:vAlign w:val="center"/>
          </w:tcPr>
          <w:p w:rsidR="00457BB6" w:rsidRDefault="009A1C6C">
            <w:pPr>
              <w:jc w:val="right"/>
            </w:pPr>
            <w:r>
              <w:rPr>
                <w:color w:val="000000"/>
                <w:sz w:val="24"/>
                <w:szCs w:val="24"/>
              </w:rPr>
              <w:t>135,800</w:t>
            </w:r>
          </w:p>
        </w:tc>
        <w:tc>
          <w:tcPr>
            <w:tcW w:w="1924" w:type="dxa"/>
            <w:vAlign w:val="center"/>
          </w:tcPr>
          <w:p w:rsidR="00457BB6" w:rsidRDefault="009A1C6C">
            <w:pPr>
              <w:jc w:val="right"/>
            </w:pPr>
            <w:r>
              <w:rPr>
                <w:color w:val="000000"/>
                <w:sz w:val="24"/>
                <w:szCs w:val="24"/>
              </w:rPr>
              <w:t>2,316,748.00</w:t>
            </w:r>
          </w:p>
        </w:tc>
        <w:tc>
          <w:tcPr>
            <w:tcW w:w="1644" w:type="dxa"/>
            <w:vAlign w:val="center"/>
          </w:tcPr>
          <w:p w:rsidR="00457BB6" w:rsidRDefault="009A1C6C">
            <w:pPr>
              <w:jc w:val="right"/>
            </w:pPr>
            <w:r>
              <w:rPr>
                <w:color w:val="000000"/>
                <w:sz w:val="24"/>
                <w:szCs w:val="24"/>
              </w:rPr>
              <w:t>0.56</w:t>
            </w:r>
          </w:p>
        </w:tc>
      </w:tr>
      <w:tr w:rsidR="00457BB6">
        <w:trPr>
          <w:jc w:val="center"/>
        </w:trPr>
        <w:tc>
          <w:tcPr>
            <w:tcW w:w="855" w:type="dxa"/>
            <w:vAlign w:val="center"/>
          </w:tcPr>
          <w:p w:rsidR="00457BB6" w:rsidRDefault="009A1C6C">
            <w:pPr>
              <w:jc w:val="center"/>
            </w:pPr>
            <w:r>
              <w:rPr>
                <w:color w:val="000000"/>
                <w:sz w:val="24"/>
                <w:szCs w:val="24"/>
              </w:rPr>
              <w:t>10</w:t>
            </w:r>
          </w:p>
        </w:tc>
        <w:tc>
          <w:tcPr>
            <w:tcW w:w="1334" w:type="dxa"/>
            <w:vAlign w:val="center"/>
          </w:tcPr>
          <w:p w:rsidR="00457BB6" w:rsidRDefault="009A1C6C">
            <w:pPr>
              <w:jc w:val="center"/>
            </w:pPr>
            <w:r>
              <w:rPr>
                <w:color w:val="000000"/>
                <w:sz w:val="24"/>
                <w:szCs w:val="24"/>
              </w:rPr>
              <w:t>600900</w:t>
            </w:r>
          </w:p>
        </w:tc>
        <w:tc>
          <w:tcPr>
            <w:tcW w:w="1777" w:type="dxa"/>
            <w:vAlign w:val="center"/>
          </w:tcPr>
          <w:p w:rsidR="00457BB6" w:rsidRDefault="009A1C6C">
            <w:pPr>
              <w:jc w:val="center"/>
            </w:pPr>
            <w:r>
              <w:rPr>
                <w:color w:val="000000"/>
                <w:sz w:val="24"/>
                <w:szCs w:val="24"/>
              </w:rPr>
              <w:t>长江电力</w:t>
            </w:r>
          </w:p>
        </w:tc>
        <w:tc>
          <w:tcPr>
            <w:tcW w:w="1334" w:type="dxa"/>
            <w:vAlign w:val="center"/>
          </w:tcPr>
          <w:p w:rsidR="00457BB6" w:rsidRDefault="009A1C6C">
            <w:pPr>
              <w:jc w:val="right"/>
            </w:pPr>
            <w:r>
              <w:rPr>
                <w:color w:val="000000"/>
                <w:sz w:val="24"/>
                <w:szCs w:val="24"/>
              </w:rPr>
              <w:t>150,000</w:t>
            </w:r>
          </w:p>
        </w:tc>
        <w:tc>
          <w:tcPr>
            <w:tcW w:w="1924" w:type="dxa"/>
            <w:vAlign w:val="center"/>
          </w:tcPr>
          <w:p w:rsidR="00457BB6" w:rsidRDefault="009A1C6C">
            <w:pPr>
              <w:jc w:val="right"/>
            </w:pPr>
            <w:r>
              <w:rPr>
                <w:color w:val="000000"/>
                <w:sz w:val="24"/>
                <w:szCs w:val="24"/>
              </w:rPr>
              <w:t>2,260,500.00</w:t>
            </w:r>
          </w:p>
        </w:tc>
        <w:tc>
          <w:tcPr>
            <w:tcW w:w="1644" w:type="dxa"/>
            <w:vAlign w:val="center"/>
          </w:tcPr>
          <w:p w:rsidR="00457BB6" w:rsidRDefault="009A1C6C">
            <w:pPr>
              <w:jc w:val="right"/>
            </w:pPr>
            <w:r>
              <w:rPr>
                <w:color w:val="000000"/>
                <w:sz w:val="24"/>
                <w:szCs w:val="24"/>
              </w:rPr>
              <w:t>0.54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816,591.50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0.20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92,658,410.00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22.21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92,658,410.00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22.21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217,628,348.00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52.17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19,334,000.00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4.63</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330,437,349.50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79.21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457BB6">
        <w:trPr>
          <w:jc w:val="center"/>
        </w:trPr>
        <w:tc>
          <w:tcPr>
            <w:tcW w:w="850" w:type="dxa"/>
            <w:vAlign w:val="center"/>
          </w:tcPr>
          <w:p w:rsidR="00457BB6" w:rsidRDefault="009A1C6C">
            <w:pPr>
              <w:jc w:val="center"/>
            </w:pPr>
            <w:r>
              <w:rPr>
                <w:color w:val="000000"/>
                <w:sz w:val="24"/>
                <w:szCs w:val="24"/>
              </w:rPr>
              <w:t>1</w:t>
            </w:r>
          </w:p>
        </w:tc>
        <w:tc>
          <w:tcPr>
            <w:tcW w:w="1475" w:type="dxa"/>
            <w:vAlign w:val="center"/>
          </w:tcPr>
          <w:p w:rsidR="00457BB6" w:rsidRDefault="009A1C6C">
            <w:pPr>
              <w:jc w:val="center"/>
            </w:pPr>
            <w:r>
              <w:rPr>
                <w:color w:val="000000"/>
                <w:sz w:val="24"/>
                <w:szCs w:val="24"/>
              </w:rPr>
              <w:t>170210</w:t>
            </w:r>
          </w:p>
        </w:tc>
        <w:tc>
          <w:tcPr>
            <w:tcW w:w="1769" w:type="dxa"/>
            <w:vAlign w:val="center"/>
          </w:tcPr>
          <w:p w:rsidR="00457BB6" w:rsidRDefault="009A1C6C">
            <w:pPr>
              <w:jc w:val="center"/>
            </w:pPr>
            <w:r>
              <w:rPr>
                <w:color w:val="000000"/>
                <w:sz w:val="24"/>
                <w:szCs w:val="24"/>
              </w:rPr>
              <w:t>17</w:t>
            </w:r>
            <w:r>
              <w:rPr>
                <w:color w:val="000000"/>
                <w:sz w:val="24"/>
                <w:szCs w:val="24"/>
              </w:rPr>
              <w:t>国开</w:t>
            </w:r>
            <w:r>
              <w:rPr>
                <w:color w:val="000000"/>
                <w:sz w:val="24"/>
                <w:szCs w:val="24"/>
              </w:rPr>
              <w:t>10</w:t>
            </w:r>
          </w:p>
        </w:tc>
        <w:tc>
          <w:tcPr>
            <w:tcW w:w="1387" w:type="dxa"/>
            <w:vAlign w:val="center"/>
          </w:tcPr>
          <w:p w:rsidR="00457BB6" w:rsidRDefault="009A1C6C">
            <w:pPr>
              <w:jc w:val="right"/>
            </w:pPr>
            <w:r>
              <w:rPr>
                <w:color w:val="000000"/>
                <w:sz w:val="24"/>
                <w:szCs w:val="24"/>
              </w:rPr>
              <w:t>800,000</w:t>
            </w:r>
          </w:p>
        </w:tc>
        <w:tc>
          <w:tcPr>
            <w:tcW w:w="2150" w:type="dxa"/>
            <w:vAlign w:val="center"/>
          </w:tcPr>
          <w:p w:rsidR="00457BB6" w:rsidRDefault="009A1C6C">
            <w:pPr>
              <w:jc w:val="right"/>
            </w:pPr>
            <w:r>
              <w:rPr>
                <w:color w:val="000000"/>
                <w:sz w:val="24"/>
                <w:szCs w:val="24"/>
              </w:rPr>
              <w:t>78,392,000.00</w:t>
            </w:r>
          </w:p>
        </w:tc>
        <w:tc>
          <w:tcPr>
            <w:tcW w:w="1237" w:type="dxa"/>
            <w:vAlign w:val="center"/>
          </w:tcPr>
          <w:p w:rsidR="00457BB6" w:rsidRDefault="009A1C6C">
            <w:pPr>
              <w:jc w:val="right"/>
            </w:pPr>
            <w:r>
              <w:rPr>
                <w:color w:val="000000"/>
                <w:sz w:val="24"/>
                <w:szCs w:val="24"/>
              </w:rPr>
              <w:t>18.79</w:t>
            </w:r>
          </w:p>
        </w:tc>
      </w:tr>
      <w:tr w:rsidR="00457BB6">
        <w:trPr>
          <w:jc w:val="center"/>
        </w:trPr>
        <w:tc>
          <w:tcPr>
            <w:tcW w:w="850" w:type="dxa"/>
            <w:vAlign w:val="center"/>
          </w:tcPr>
          <w:p w:rsidR="00457BB6" w:rsidRDefault="009A1C6C">
            <w:pPr>
              <w:jc w:val="center"/>
            </w:pPr>
            <w:r>
              <w:rPr>
                <w:color w:val="000000"/>
                <w:sz w:val="24"/>
                <w:szCs w:val="24"/>
              </w:rPr>
              <w:t>2</w:t>
            </w:r>
          </w:p>
        </w:tc>
        <w:tc>
          <w:tcPr>
            <w:tcW w:w="1475" w:type="dxa"/>
            <w:vAlign w:val="center"/>
          </w:tcPr>
          <w:p w:rsidR="00457BB6" w:rsidRDefault="009A1C6C">
            <w:pPr>
              <w:jc w:val="center"/>
            </w:pPr>
            <w:r>
              <w:rPr>
                <w:color w:val="000000"/>
                <w:sz w:val="24"/>
                <w:szCs w:val="24"/>
              </w:rPr>
              <w:t>122514</w:t>
            </w:r>
          </w:p>
        </w:tc>
        <w:tc>
          <w:tcPr>
            <w:tcW w:w="1769" w:type="dxa"/>
            <w:vAlign w:val="center"/>
          </w:tcPr>
          <w:p w:rsidR="00457BB6" w:rsidRDefault="009A1C6C">
            <w:pPr>
              <w:jc w:val="center"/>
            </w:pPr>
            <w:r>
              <w:rPr>
                <w:color w:val="000000"/>
                <w:sz w:val="24"/>
                <w:szCs w:val="24"/>
              </w:rPr>
              <w:t>12</w:t>
            </w:r>
            <w:r>
              <w:rPr>
                <w:color w:val="000000"/>
                <w:sz w:val="24"/>
                <w:szCs w:val="24"/>
              </w:rPr>
              <w:t>金融街</w:t>
            </w:r>
          </w:p>
        </w:tc>
        <w:tc>
          <w:tcPr>
            <w:tcW w:w="1387" w:type="dxa"/>
            <w:vAlign w:val="center"/>
          </w:tcPr>
          <w:p w:rsidR="00457BB6" w:rsidRDefault="009A1C6C">
            <w:pPr>
              <w:jc w:val="right"/>
            </w:pPr>
            <w:r>
              <w:rPr>
                <w:color w:val="000000"/>
                <w:sz w:val="24"/>
                <w:szCs w:val="24"/>
              </w:rPr>
              <w:t>300,000</w:t>
            </w:r>
          </w:p>
        </w:tc>
        <w:tc>
          <w:tcPr>
            <w:tcW w:w="2150" w:type="dxa"/>
            <w:vAlign w:val="center"/>
          </w:tcPr>
          <w:p w:rsidR="00457BB6" w:rsidRDefault="009A1C6C">
            <w:pPr>
              <w:jc w:val="right"/>
            </w:pPr>
            <w:r>
              <w:rPr>
                <w:color w:val="000000"/>
                <w:sz w:val="24"/>
                <w:szCs w:val="24"/>
              </w:rPr>
              <w:t>30,375,000.00</w:t>
            </w:r>
          </w:p>
        </w:tc>
        <w:tc>
          <w:tcPr>
            <w:tcW w:w="1237" w:type="dxa"/>
            <w:vAlign w:val="center"/>
          </w:tcPr>
          <w:p w:rsidR="00457BB6" w:rsidRDefault="009A1C6C">
            <w:pPr>
              <w:jc w:val="right"/>
            </w:pPr>
            <w:r>
              <w:rPr>
                <w:color w:val="000000"/>
                <w:sz w:val="24"/>
                <w:szCs w:val="24"/>
              </w:rPr>
              <w:t>7.28</w:t>
            </w:r>
          </w:p>
        </w:tc>
      </w:tr>
      <w:tr w:rsidR="00457BB6">
        <w:trPr>
          <w:jc w:val="center"/>
        </w:trPr>
        <w:tc>
          <w:tcPr>
            <w:tcW w:w="850" w:type="dxa"/>
            <w:vAlign w:val="center"/>
          </w:tcPr>
          <w:p w:rsidR="00457BB6" w:rsidRDefault="009A1C6C">
            <w:pPr>
              <w:jc w:val="center"/>
            </w:pPr>
            <w:r>
              <w:rPr>
                <w:color w:val="000000"/>
                <w:sz w:val="24"/>
                <w:szCs w:val="24"/>
              </w:rPr>
              <w:t>3</w:t>
            </w:r>
          </w:p>
        </w:tc>
        <w:tc>
          <w:tcPr>
            <w:tcW w:w="1475" w:type="dxa"/>
            <w:vAlign w:val="center"/>
          </w:tcPr>
          <w:p w:rsidR="00457BB6" w:rsidRDefault="009A1C6C">
            <w:pPr>
              <w:jc w:val="center"/>
            </w:pPr>
            <w:r>
              <w:rPr>
                <w:color w:val="000000"/>
                <w:sz w:val="24"/>
                <w:szCs w:val="24"/>
              </w:rPr>
              <w:t>122268</w:t>
            </w:r>
          </w:p>
        </w:tc>
        <w:tc>
          <w:tcPr>
            <w:tcW w:w="1769" w:type="dxa"/>
            <w:vAlign w:val="center"/>
          </w:tcPr>
          <w:p w:rsidR="00457BB6" w:rsidRDefault="009A1C6C">
            <w:pPr>
              <w:jc w:val="center"/>
            </w:pPr>
            <w:r>
              <w:rPr>
                <w:color w:val="000000"/>
                <w:sz w:val="24"/>
                <w:szCs w:val="24"/>
              </w:rPr>
              <w:t>12</w:t>
            </w:r>
            <w:r>
              <w:rPr>
                <w:color w:val="000000"/>
                <w:sz w:val="24"/>
                <w:szCs w:val="24"/>
              </w:rPr>
              <w:t>国航</w:t>
            </w:r>
            <w:r>
              <w:rPr>
                <w:color w:val="000000"/>
                <w:sz w:val="24"/>
                <w:szCs w:val="24"/>
              </w:rPr>
              <w:t>02</w:t>
            </w:r>
          </w:p>
        </w:tc>
        <w:tc>
          <w:tcPr>
            <w:tcW w:w="1387" w:type="dxa"/>
            <w:vAlign w:val="center"/>
          </w:tcPr>
          <w:p w:rsidR="00457BB6" w:rsidRDefault="009A1C6C">
            <w:pPr>
              <w:jc w:val="right"/>
            </w:pPr>
            <w:r>
              <w:rPr>
                <w:color w:val="000000"/>
                <w:sz w:val="24"/>
                <w:szCs w:val="24"/>
              </w:rPr>
              <w:t>300,000</w:t>
            </w:r>
          </w:p>
        </w:tc>
        <w:tc>
          <w:tcPr>
            <w:tcW w:w="2150" w:type="dxa"/>
            <w:vAlign w:val="center"/>
          </w:tcPr>
          <w:p w:rsidR="00457BB6" w:rsidRDefault="009A1C6C">
            <w:pPr>
              <w:jc w:val="right"/>
            </w:pPr>
            <w:r>
              <w:rPr>
                <w:color w:val="000000"/>
                <w:sz w:val="24"/>
                <w:szCs w:val="24"/>
              </w:rPr>
              <w:t>30,171,000.00</w:t>
            </w:r>
          </w:p>
        </w:tc>
        <w:tc>
          <w:tcPr>
            <w:tcW w:w="1237" w:type="dxa"/>
            <w:vAlign w:val="center"/>
          </w:tcPr>
          <w:p w:rsidR="00457BB6" w:rsidRDefault="009A1C6C">
            <w:pPr>
              <w:jc w:val="right"/>
            </w:pPr>
            <w:r>
              <w:rPr>
                <w:color w:val="000000"/>
                <w:sz w:val="24"/>
                <w:szCs w:val="24"/>
              </w:rPr>
              <w:t>7.23</w:t>
            </w:r>
          </w:p>
        </w:tc>
      </w:tr>
      <w:tr w:rsidR="00457BB6">
        <w:trPr>
          <w:jc w:val="center"/>
        </w:trPr>
        <w:tc>
          <w:tcPr>
            <w:tcW w:w="850" w:type="dxa"/>
            <w:vAlign w:val="center"/>
          </w:tcPr>
          <w:p w:rsidR="00457BB6" w:rsidRDefault="009A1C6C">
            <w:pPr>
              <w:jc w:val="center"/>
            </w:pPr>
            <w:r>
              <w:rPr>
                <w:color w:val="000000"/>
                <w:sz w:val="24"/>
                <w:szCs w:val="24"/>
              </w:rPr>
              <w:t>4</w:t>
            </w:r>
          </w:p>
        </w:tc>
        <w:tc>
          <w:tcPr>
            <w:tcW w:w="1475" w:type="dxa"/>
            <w:vAlign w:val="center"/>
          </w:tcPr>
          <w:p w:rsidR="00457BB6" w:rsidRDefault="009A1C6C">
            <w:pPr>
              <w:jc w:val="center"/>
            </w:pPr>
            <w:r>
              <w:rPr>
                <w:color w:val="000000"/>
                <w:sz w:val="24"/>
                <w:szCs w:val="24"/>
              </w:rPr>
              <w:t>136029</w:t>
            </w:r>
          </w:p>
        </w:tc>
        <w:tc>
          <w:tcPr>
            <w:tcW w:w="1769" w:type="dxa"/>
            <w:vAlign w:val="center"/>
          </w:tcPr>
          <w:p w:rsidR="00457BB6" w:rsidRDefault="009A1C6C">
            <w:pPr>
              <w:jc w:val="center"/>
            </w:pPr>
            <w:r>
              <w:rPr>
                <w:color w:val="000000"/>
                <w:sz w:val="24"/>
                <w:szCs w:val="24"/>
              </w:rPr>
              <w:t>15</w:t>
            </w:r>
            <w:r>
              <w:rPr>
                <w:color w:val="000000"/>
                <w:sz w:val="24"/>
                <w:szCs w:val="24"/>
              </w:rPr>
              <w:t>华宝债</w:t>
            </w:r>
          </w:p>
        </w:tc>
        <w:tc>
          <w:tcPr>
            <w:tcW w:w="1387" w:type="dxa"/>
            <w:vAlign w:val="center"/>
          </w:tcPr>
          <w:p w:rsidR="00457BB6" w:rsidRDefault="009A1C6C">
            <w:pPr>
              <w:jc w:val="right"/>
            </w:pPr>
            <w:r>
              <w:rPr>
                <w:color w:val="000000"/>
                <w:sz w:val="24"/>
                <w:szCs w:val="24"/>
              </w:rPr>
              <w:t>300,000</w:t>
            </w:r>
          </w:p>
        </w:tc>
        <w:tc>
          <w:tcPr>
            <w:tcW w:w="2150" w:type="dxa"/>
            <w:vAlign w:val="center"/>
          </w:tcPr>
          <w:p w:rsidR="00457BB6" w:rsidRDefault="009A1C6C">
            <w:pPr>
              <w:jc w:val="right"/>
            </w:pPr>
            <w:r>
              <w:rPr>
                <w:color w:val="000000"/>
                <w:sz w:val="24"/>
                <w:szCs w:val="24"/>
              </w:rPr>
              <w:t>29,655,000.00</w:t>
            </w:r>
          </w:p>
        </w:tc>
        <w:tc>
          <w:tcPr>
            <w:tcW w:w="1237" w:type="dxa"/>
            <w:vAlign w:val="center"/>
          </w:tcPr>
          <w:p w:rsidR="00457BB6" w:rsidRDefault="009A1C6C">
            <w:pPr>
              <w:jc w:val="right"/>
            </w:pPr>
            <w:r>
              <w:rPr>
                <w:color w:val="000000"/>
                <w:sz w:val="24"/>
                <w:szCs w:val="24"/>
              </w:rPr>
              <w:t>7.11</w:t>
            </w:r>
          </w:p>
        </w:tc>
      </w:tr>
      <w:tr w:rsidR="00457BB6">
        <w:trPr>
          <w:jc w:val="center"/>
        </w:trPr>
        <w:tc>
          <w:tcPr>
            <w:tcW w:w="850" w:type="dxa"/>
            <w:vAlign w:val="center"/>
          </w:tcPr>
          <w:p w:rsidR="00457BB6" w:rsidRDefault="009A1C6C">
            <w:pPr>
              <w:jc w:val="center"/>
            </w:pPr>
            <w:r>
              <w:rPr>
                <w:color w:val="000000"/>
                <w:sz w:val="24"/>
                <w:szCs w:val="24"/>
              </w:rPr>
              <w:t>5</w:t>
            </w:r>
          </w:p>
        </w:tc>
        <w:tc>
          <w:tcPr>
            <w:tcW w:w="1475" w:type="dxa"/>
            <w:vAlign w:val="center"/>
          </w:tcPr>
          <w:p w:rsidR="00457BB6" w:rsidRDefault="009A1C6C">
            <w:pPr>
              <w:jc w:val="center"/>
            </w:pPr>
            <w:r>
              <w:rPr>
                <w:color w:val="000000"/>
                <w:sz w:val="24"/>
                <w:szCs w:val="24"/>
              </w:rPr>
              <w:t>136147</w:t>
            </w:r>
          </w:p>
        </w:tc>
        <w:tc>
          <w:tcPr>
            <w:tcW w:w="1769" w:type="dxa"/>
            <w:vAlign w:val="center"/>
          </w:tcPr>
          <w:p w:rsidR="00457BB6" w:rsidRDefault="009A1C6C">
            <w:pPr>
              <w:jc w:val="center"/>
            </w:pPr>
            <w:r>
              <w:rPr>
                <w:color w:val="000000"/>
                <w:sz w:val="24"/>
                <w:szCs w:val="24"/>
              </w:rPr>
              <w:t>16</w:t>
            </w:r>
            <w:r>
              <w:rPr>
                <w:color w:val="000000"/>
                <w:sz w:val="24"/>
                <w:szCs w:val="24"/>
              </w:rPr>
              <w:t>中粮</w:t>
            </w:r>
            <w:r>
              <w:rPr>
                <w:color w:val="000000"/>
                <w:sz w:val="24"/>
                <w:szCs w:val="24"/>
              </w:rPr>
              <w:t>01</w:t>
            </w:r>
          </w:p>
        </w:tc>
        <w:tc>
          <w:tcPr>
            <w:tcW w:w="1387" w:type="dxa"/>
            <w:vAlign w:val="center"/>
          </w:tcPr>
          <w:p w:rsidR="00457BB6" w:rsidRDefault="009A1C6C">
            <w:pPr>
              <w:jc w:val="right"/>
            </w:pPr>
            <w:r>
              <w:rPr>
                <w:color w:val="000000"/>
                <w:sz w:val="24"/>
                <w:szCs w:val="24"/>
              </w:rPr>
              <w:t>300,000</w:t>
            </w:r>
          </w:p>
        </w:tc>
        <w:tc>
          <w:tcPr>
            <w:tcW w:w="2150" w:type="dxa"/>
            <w:vAlign w:val="center"/>
          </w:tcPr>
          <w:p w:rsidR="00457BB6" w:rsidRDefault="009A1C6C">
            <w:pPr>
              <w:jc w:val="right"/>
            </w:pPr>
            <w:r>
              <w:rPr>
                <w:color w:val="000000"/>
                <w:sz w:val="24"/>
                <w:szCs w:val="24"/>
              </w:rPr>
              <w:t>29,439,000.00</w:t>
            </w:r>
          </w:p>
        </w:tc>
        <w:tc>
          <w:tcPr>
            <w:tcW w:w="1237" w:type="dxa"/>
            <w:vAlign w:val="center"/>
          </w:tcPr>
          <w:p w:rsidR="00457BB6" w:rsidRDefault="009A1C6C">
            <w:pPr>
              <w:jc w:val="right"/>
            </w:pPr>
            <w:r>
              <w:rPr>
                <w:color w:val="000000"/>
                <w:sz w:val="24"/>
                <w:szCs w:val="24"/>
              </w:rPr>
              <w:t>7.06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w:t>
      </w:r>
      <w:r w:rsidRPr="00BE5388">
        <w:rPr>
          <w:bCs/>
          <w:color w:val="000000"/>
          <w:kern w:val="0"/>
          <w:sz w:val="24"/>
          <w:szCs w:val="24"/>
        </w:rPr>
        <w:t>13</w:t>
      </w:r>
      <w:r w:rsidRPr="00BE5388">
        <w:rPr>
          <w:bCs/>
          <w:color w:val="000000"/>
          <w:kern w:val="0"/>
          <w:sz w:val="24"/>
          <w:szCs w:val="24"/>
        </w:rPr>
        <w:t>广发</w:t>
      </w:r>
      <w:r w:rsidRPr="00BE5388">
        <w:rPr>
          <w:bCs/>
          <w:color w:val="000000"/>
          <w:kern w:val="0"/>
          <w:sz w:val="24"/>
          <w:szCs w:val="24"/>
        </w:rPr>
        <w:t>01</w:t>
      </w:r>
      <w:r w:rsidRPr="00BE5388">
        <w:rPr>
          <w:bCs/>
          <w:color w:val="000000"/>
          <w:kern w:val="0"/>
          <w:sz w:val="24"/>
          <w:szCs w:val="24"/>
        </w:rPr>
        <w:t>（证券代码：</w:t>
      </w:r>
      <w:r w:rsidRPr="00BE5388">
        <w:rPr>
          <w:bCs/>
          <w:color w:val="000000"/>
          <w:kern w:val="0"/>
          <w:sz w:val="24"/>
          <w:szCs w:val="24"/>
        </w:rPr>
        <w:t>112181</w:t>
      </w:r>
      <w:r w:rsidRPr="00BE5388">
        <w:rPr>
          <w:bCs/>
          <w:color w:val="000000"/>
          <w:kern w:val="0"/>
          <w:sz w:val="24"/>
          <w:szCs w:val="24"/>
        </w:rPr>
        <w:t>）外，未出现被监管部门立案调查，或在报告编制日前一年内受到公开谴责、处罚的情形。</w:t>
      </w:r>
    </w:p>
    <w:p w:rsidR="00457BB6" w:rsidRDefault="009A1C6C">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w:t>
      </w:r>
      <w:r>
        <w:rPr>
          <w:bCs/>
          <w:color w:val="000000"/>
          <w:kern w:val="0"/>
          <w:sz w:val="24"/>
          <w:szCs w:val="24"/>
        </w:rPr>
        <w:t>13</w:t>
      </w:r>
      <w:r>
        <w:rPr>
          <w:bCs/>
          <w:color w:val="000000"/>
          <w:kern w:val="0"/>
          <w:sz w:val="24"/>
          <w:szCs w:val="24"/>
        </w:rPr>
        <w:t>广发</w:t>
      </w:r>
      <w:r>
        <w:rPr>
          <w:bCs/>
          <w:color w:val="000000"/>
          <w:kern w:val="0"/>
          <w:sz w:val="24"/>
          <w:szCs w:val="24"/>
        </w:rPr>
        <w:t>01</w:t>
      </w:r>
      <w:r>
        <w:rPr>
          <w:bCs/>
          <w:color w:val="000000"/>
          <w:kern w:val="0"/>
          <w:sz w:val="24"/>
          <w:szCs w:val="24"/>
        </w:rPr>
        <w:t>（证券代码：</w:t>
      </w:r>
      <w:r>
        <w:rPr>
          <w:bCs/>
          <w:color w:val="000000"/>
          <w:kern w:val="0"/>
          <w:sz w:val="24"/>
          <w:szCs w:val="24"/>
        </w:rPr>
        <w:t>112181</w:t>
      </w:r>
      <w:r>
        <w:rPr>
          <w:bCs/>
          <w:color w:val="000000"/>
          <w:kern w:val="0"/>
          <w:sz w:val="24"/>
          <w:szCs w:val="24"/>
        </w:rPr>
        <w:t>）的发行主体广发证券于</w:t>
      </w:r>
      <w:r>
        <w:rPr>
          <w:bCs/>
          <w:color w:val="000000"/>
          <w:kern w:val="0"/>
          <w:sz w:val="24"/>
          <w:szCs w:val="24"/>
        </w:rPr>
        <w:t>2016</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28</w:t>
      </w:r>
      <w:r>
        <w:rPr>
          <w:bCs/>
          <w:color w:val="000000"/>
          <w:kern w:val="0"/>
          <w:sz w:val="24"/>
          <w:szCs w:val="24"/>
        </w:rPr>
        <w:t>日公告，公司因未按规定审查、了解客户身份等违法违规行为于</w:t>
      </w:r>
      <w:r>
        <w:rPr>
          <w:bCs/>
          <w:color w:val="000000"/>
          <w:kern w:val="0"/>
          <w:sz w:val="24"/>
          <w:szCs w:val="24"/>
        </w:rPr>
        <w:t>2016</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26</w:t>
      </w:r>
      <w:r>
        <w:rPr>
          <w:bCs/>
          <w:color w:val="000000"/>
          <w:kern w:val="0"/>
          <w:sz w:val="24"/>
          <w:szCs w:val="24"/>
        </w:rPr>
        <w:t>日收到中国证监会《行政处罚决定书》（</w:t>
      </w:r>
      <w:r>
        <w:rPr>
          <w:bCs/>
          <w:color w:val="000000"/>
          <w:kern w:val="0"/>
          <w:sz w:val="24"/>
          <w:szCs w:val="24"/>
        </w:rPr>
        <w:t>[2016]128</w:t>
      </w:r>
      <w:r>
        <w:rPr>
          <w:bCs/>
          <w:color w:val="000000"/>
          <w:kern w:val="0"/>
          <w:sz w:val="24"/>
          <w:szCs w:val="24"/>
        </w:rPr>
        <w:t>号）。据此，中国证监会决定对公司责令改正，给予警告，没收违法所得</w:t>
      </w:r>
      <w:r>
        <w:rPr>
          <w:bCs/>
          <w:color w:val="000000"/>
          <w:kern w:val="0"/>
          <w:sz w:val="24"/>
          <w:szCs w:val="24"/>
        </w:rPr>
        <w:t>6,805,135.75</w:t>
      </w:r>
      <w:r>
        <w:rPr>
          <w:bCs/>
          <w:color w:val="000000"/>
          <w:kern w:val="0"/>
          <w:sz w:val="24"/>
          <w:szCs w:val="24"/>
        </w:rPr>
        <w:t>元，并处以</w:t>
      </w:r>
      <w:r>
        <w:rPr>
          <w:bCs/>
          <w:color w:val="000000"/>
          <w:kern w:val="0"/>
          <w:sz w:val="24"/>
          <w:szCs w:val="24"/>
        </w:rPr>
        <w:t>20,415,407.25</w:t>
      </w:r>
      <w:r>
        <w:rPr>
          <w:bCs/>
          <w:color w:val="000000"/>
          <w:kern w:val="0"/>
          <w:sz w:val="24"/>
          <w:szCs w:val="24"/>
        </w:rPr>
        <w:t>元罚款。</w:t>
      </w:r>
    </w:p>
    <w:p w:rsidR="00457BB6" w:rsidRDefault="009A1C6C">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113,066.35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169,320.24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6,302,573.74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6,584,960.33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600,035,771.87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24,420.77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200,011,062.57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400,049,130.07</w:t>
            </w:r>
          </w:p>
        </w:tc>
      </w:tr>
    </w:tbl>
    <w:p w:rsidR="00457BB6" w:rsidRDefault="009A1C6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9A1C6C">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9A1C6C" w:rsidRDefault="009A1C6C" w:rsidP="009A1C6C">
      <w:pPr>
        <w:spacing w:line="288" w:lineRule="auto"/>
        <w:jc w:val="left"/>
        <w:rPr>
          <w:sz w:val="24"/>
          <w:szCs w:val="24"/>
        </w:rPr>
      </w:pPr>
      <w:r>
        <w:rPr>
          <w:b/>
          <w:sz w:val="24"/>
        </w:rPr>
        <w:t xml:space="preserve">7.1 </w:t>
      </w:r>
      <w:r>
        <w:rPr>
          <w:rFonts w:hint="eastAsia"/>
          <w:b/>
          <w:sz w:val="24"/>
        </w:rPr>
        <w:t>基金管理人持有本基金份额变动情况</w:t>
      </w:r>
    </w:p>
    <w:p w:rsidR="009A1C6C" w:rsidRDefault="009A1C6C" w:rsidP="009A1C6C">
      <w:pPr>
        <w:autoSpaceDE w:val="0"/>
        <w:autoSpaceDN w:val="0"/>
        <w:adjustRightInd w:val="0"/>
        <w:spacing w:before="29" w:line="288" w:lineRule="auto"/>
        <w:jc w:val="left"/>
        <w:rPr>
          <w:rFonts w:eastAsiaTheme="minorEastAsia"/>
          <w:color w:val="000000"/>
          <w:sz w:val="24"/>
        </w:rPr>
      </w:pPr>
      <w:r>
        <w:rPr>
          <w:rFonts w:eastAsiaTheme="minorEastAsia" w:hint="eastAsia"/>
          <w:color w:val="000000"/>
          <w:sz w:val="24"/>
        </w:rPr>
        <w:t>本报告期内未发生基金管理人运用固有资金投资本基金的情况。</w:t>
      </w:r>
    </w:p>
    <w:p w:rsidR="009A1C6C" w:rsidRDefault="009A1C6C" w:rsidP="009A1C6C">
      <w:pPr>
        <w:autoSpaceDE w:val="0"/>
        <w:autoSpaceDN w:val="0"/>
        <w:adjustRightInd w:val="0"/>
        <w:spacing w:before="29" w:line="288" w:lineRule="auto"/>
        <w:jc w:val="left"/>
        <w:rPr>
          <w:rFonts w:eastAsiaTheme="minorEastAsia"/>
          <w:color w:val="000000"/>
          <w:sz w:val="24"/>
        </w:rPr>
      </w:pPr>
    </w:p>
    <w:p w:rsidR="009A1C6C" w:rsidRDefault="009A1C6C" w:rsidP="009A1C6C">
      <w:pPr>
        <w:spacing w:line="288" w:lineRule="auto"/>
        <w:jc w:val="left"/>
        <w:rPr>
          <w:b/>
          <w:sz w:val="24"/>
        </w:rPr>
      </w:pPr>
      <w:r>
        <w:rPr>
          <w:b/>
          <w:sz w:val="24"/>
        </w:rPr>
        <w:t>7.2</w:t>
      </w:r>
      <w:r>
        <w:rPr>
          <w:rFonts w:hint="eastAsia"/>
          <w:b/>
          <w:sz w:val="24"/>
        </w:rPr>
        <w:t>基金管理人运用固有资金投资本基金交易明细</w:t>
      </w:r>
    </w:p>
    <w:p w:rsidR="009A1C6C" w:rsidRDefault="009A1C6C" w:rsidP="009A1C6C">
      <w:pPr>
        <w:autoSpaceDE w:val="0"/>
        <w:autoSpaceDN w:val="0"/>
        <w:adjustRightInd w:val="0"/>
        <w:spacing w:before="29" w:line="288" w:lineRule="auto"/>
        <w:jc w:val="left"/>
        <w:rPr>
          <w:color w:val="000000"/>
          <w:sz w:val="24"/>
        </w:rPr>
      </w:pPr>
      <w:r>
        <w:rPr>
          <w:rFonts w:hint="eastAsia"/>
          <w:color w:val="000000"/>
          <w:sz w:val="24"/>
        </w:rPr>
        <w:t>本基金管理人本报告期内未进行本基金的申购、赎回、红利再投等。</w:t>
      </w:r>
    </w:p>
    <w:p w:rsidR="009A1C6C" w:rsidRDefault="009A1C6C" w:rsidP="009A1C6C">
      <w:pPr>
        <w:autoSpaceDE w:val="0"/>
        <w:autoSpaceDN w:val="0"/>
        <w:adjustRightInd w:val="0"/>
        <w:spacing w:before="29" w:line="288" w:lineRule="auto"/>
        <w:jc w:val="left"/>
        <w:rPr>
          <w:color w:val="000000"/>
          <w:sz w:val="24"/>
        </w:rPr>
      </w:pPr>
    </w:p>
    <w:p w:rsidR="003C50AD" w:rsidRPr="00220C32" w:rsidRDefault="003C50AD" w:rsidP="009A1C6C">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457BB6">
        <w:tc>
          <w:tcPr>
            <w:tcW w:w="993" w:type="dxa"/>
            <w:vMerge w:val="restart"/>
          </w:tcPr>
          <w:p w:rsidR="00457BB6" w:rsidRDefault="00457BB6"/>
          <w:p w:rsidR="00457BB6" w:rsidRDefault="009A1C6C">
            <w:r>
              <w:rPr>
                <w:rFonts w:ascii="宋体" w:hAnsi="宋体" w:hint="eastAsia"/>
                <w:bCs/>
                <w:color w:val="000000"/>
                <w:kern w:val="0"/>
              </w:rPr>
              <w:t>机构</w:t>
            </w:r>
          </w:p>
        </w:tc>
        <w:tc>
          <w:tcPr>
            <w:tcW w:w="992" w:type="dxa"/>
            <w:vAlign w:val="center"/>
          </w:tcPr>
          <w:p w:rsidR="00457BB6" w:rsidRDefault="009A1C6C">
            <w:pPr>
              <w:jc w:val="center"/>
            </w:pPr>
            <w:r>
              <w:rPr>
                <w:rFonts w:ascii="宋体" w:hAnsi="宋体"/>
                <w:color w:val="000000"/>
                <w:kern w:val="0"/>
              </w:rPr>
              <w:t>1</w:t>
            </w:r>
          </w:p>
        </w:tc>
        <w:tc>
          <w:tcPr>
            <w:tcW w:w="1843" w:type="dxa"/>
            <w:vAlign w:val="center"/>
          </w:tcPr>
          <w:p w:rsidR="00457BB6" w:rsidRDefault="009A1C6C">
            <w:pPr>
              <w:jc w:val="center"/>
            </w:pPr>
            <w:r>
              <w:rPr>
                <w:rFonts w:ascii="宋体" w:hAnsi="宋体"/>
                <w:color w:val="000000"/>
                <w:kern w:val="0"/>
              </w:rPr>
              <w:t>2017/7/1-2017/9/30</w:t>
            </w:r>
          </w:p>
        </w:tc>
        <w:tc>
          <w:tcPr>
            <w:tcW w:w="851" w:type="dxa"/>
            <w:vAlign w:val="center"/>
          </w:tcPr>
          <w:p w:rsidR="00457BB6" w:rsidRDefault="009A1C6C">
            <w:pPr>
              <w:jc w:val="center"/>
            </w:pPr>
            <w:r>
              <w:rPr>
                <w:rFonts w:ascii="宋体" w:hAnsi="宋体"/>
                <w:color w:val="000000"/>
                <w:kern w:val="0"/>
              </w:rPr>
              <w:t>600,028,500.00</w:t>
            </w:r>
          </w:p>
        </w:tc>
        <w:tc>
          <w:tcPr>
            <w:tcW w:w="850" w:type="dxa"/>
            <w:vAlign w:val="center"/>
          </w:tcPr>
          <w:p w:rsidR="00457BB6" w:rsidRDefault="009A1C6C">
            <w:pPr>
              <w:jc w:val="center"/>
            </w:pPr>
            <w:r>
              <w:rPr>
                <w:rFonts w:ascii="宋体" w:hAnsi="宋体"/>
                <w:color w:val="000000"/>
                <w:kern w:val="0"/>
              </w:rPr>
              <w:t>-</w:t>
            </w:r>
          </w:p>
        </w:tc>
        <w:tc>
          <w:tcPr>
            <w:tcW w:w="1134" w:type="dxa"/>
            <w:vAlign w:val="center"/>
          </w:tcPr>
          <w:p w:rsidR="00457BB6" w:rsidRDefault="009A1C6C">
            <w:pPr>
              <w:jc w:val="center"/>
            </w:pPr>
            <w:r>
              <w:rPr>
                <w:rFonts w:ascii="宋体" w:hAnsi="宋体"/>
                <w:color w:val="000000"/>
                <w:kern w:val="0"/>
              </w:rPr>
              <w:t>200,008,000.00</w:t>
            </w:r>
          </w:p>
        </w:tc>
        <w:tc>
          <w:tcPr>
            <w:tcW w:w="1419" w:type="dxa"/>
            <w:vAlign w:val="center"/>
          </w:tcPr>
          <w:p w:rsidR="00457BB6" w:rsidRDefault="009A1C6C">
            <w:pPr>
              <w:jc w:val="center"/>
            </w:pPr>
            <w:r>
              <w:rPr>
                <w:rFonts w:ascii="宋体" w:hAnsi="宋体"/>
                <w:color w:val="000000"/>
                <w:kern w:val="0"/>
              </w:rPr>
              <w:t>400,020,500.00</w:t>
            </w:r>
          </w:p>
        </w:tc>
        <w:tc>
          <w:tcPr>
            <w:tcW w:w="1130" w:type="dxa"/>
            <w:vAlign w:val="center"/>
          </w:tcPr>
          <w:p w:rsidR="00457BB6" w:rsidRDefault="00D02514" w:rsidP="00D02514">
            <w:pPr>
              <w:jc w:val="center"/>
            </w:pPr>
            <w:r>
              <w:rPr>
                <w:rFonts w:ascii="宋体" w:hAnsi="宋体"/>
                <w:color w:val="000000"/>
                <w:kern w:val="0"/>
              </w:rPr>
              <w:t>99</w:t>
            </w:r>
            <w:r w:rsidR="009A1C6C">
              <w:rPr>
                <w:rFonts w:ascii="宋体" w:hAnsi="宋体"/>
                <w:color w:val="000000"/>
                <w:kern w:val="0"/>
              </w:rPr>
              <w:t>.</w:t>
            </w:r>
            <w:r>
              <w:rPr>
                <w:rFonts w:ascii="宋体" w:hAnsi="宋体"/>
                <w:color w:val="000000"/>
                <w:kern w:val="0"/>
              </w:rPr>
              <w:t>99</w:t>
            </w:r>
            <w:r w:rsidR="009A1C6C">
              <w:rPr>
                <w:rFonts w:ascii="宋体" w:hAnsi="宋体"/>
                <w:color w:val="000000"/>
                <w:kern w:val="0"/>
              </w:rPr>
              <w:t>%</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9A1C6C">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57BB6" w:rsidRDefault="009A1C6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、中国证监会准予交银施罗德瑞利定期开放灵活配置混合型证券投资基金募集注册的文件；</w:t>
      </w:r>
      <w:r>
        <w:rPr>
          <w:color w:val="000000"/>
          <w:sz w:val="24"/>
          <w:szCs w:val="24"/>
        </w:rPr>
        <w:t xml:space="preserve"> </w:t>
      </w:r>
    </w:p>
    <w:p w:rsidR="00457BB6" w:rsidRDefault="009A1C6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、《交银施罗德瑞利定期开放灵活配置混合型证券投资基金基金合同》；</w:t>
      </w:r>
      <w:r>
        <w:rPr>
          <w:color w:val="000000"/>
          <w:sz w:val="24"/>
          <w:szCs w:val="24"/>
        </w:rPr>
        <w:t xml:space="preserve"> </w:t>
      </w:r>
    </w:p>
    <w:p w:rsidR="00457BB6" w:rsidRDefault="009A1C6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、《交银施罗德瑞利定期开放灵活配置混合型证券投资基金招募说明书》；</w:t>
      </w:r>
      <w:r>
        <w:rPr>
          <w:color w:val="000000"/>
          <w:sz w:val="24"/>
          <w:szCs w:val="24"/>
        </w:rPr>
        <w:t xml:space="preserve"> </w:t>
      </w:r>
    </w:p>
    <w:p w:rsidR="00457BB6" w:rsidRDefault="009A1C6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、《交银施罗德瑞利定期开放灵活配置混合型证券投资基金托管协议》；</w:t>
      </w:r>
      <w:r>
        <w:rPr>
          <w:color w:val="000000"/>
          <w:sz w:val="24"/>
          <w:szCs w:val="24"/>
        </w:rPr>
        <w:t xml:space="preserve"> </w:t>
      </w:r>
    </w:p>
    <w:p w:rsidR="00457BB6" w:rsidRDefault="009A1C6C">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、关于申请募集注册交银施罗德瑞利定期开放灵活配置混合型证券投资基金的法律意见书；</w:t>
      </w:r>
      <w:r>
        <w:rPr>
          <w:color w:val="000000"/>
          <w:sz w:val="24"/>
          <w:szCs w:val="24"/>
        </w:rPr>
        <w:t xml:space="preserve"> </w:t>
      </w:r>
    </w:p>
    <w:p w:rsidR="00457BB6" w:rsidRDefault="009A1C6C">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457BB6" w:rsidRDefault="009A1C6C">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、报告期内交银施罗德瑞利定期开放灵活配置混合型证券投资基金在指定报刊上各项公告的原稿。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457BB6" w:rsidRDefault="009A1C6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r w:rsidRPr="00414345">
        <w:rPr>
          <w:color w:val="000000"/>
          <w:sz w:val="24"/>
          <w:szCs w:val="24"/>
        </w:rPr>
        <w:t xml:space="preserve"> </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5E1" w:rsidRDefault="00B175E1" w:rsidP="00876D65">
      <w:r>
        <w:separator/>
      </w:r>
    </w:p>
  </w:endnote>
  <w:endnote w:type="continuationSeparator" w:id="0">
    <w:p w:rsidR="00B175E1" w:rsidRDefault="00B175E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457BB6">
      <w:rPr>
        <w:kern w:val="0"/>
        <w:szCs w:val="21"/>
      </w:rPr>
      <w:fldChar w:fldCharType="begin"/>
    </w:r>
    <w:r>
      <w:rPr>
        <w:kern w:val="0"/>
        <w:szCs w:val="21"/>
      </w:rPr>
      <w:instrText xml:space="preserve"> PAGE </w:instrText>
    </w:r>
    <w:r w:rsidR="00457BB6">
      <w:rPr>
        <w:kern w:val="0"/>
        <w:szCs w:val="21"/>
      </w:rPr>
      <w:fldChar w:fldCharType="separate"/>
    </w:r>
    <w:r w:rsidR="00055AB1">
      <w:rPr>
        <w:noProof/>
        <w:kern w:val="0"/>
        <w:szCs w:val="21"/>
      </w:rPr>
      <w:t>6</w:t>
    </w:r>
    <w:r w:rsidR="00457BB6">
      <w:rPr>
        <w:kern w:val="0"/>
        <w:szCs w:val="21"/>
      </w:rPr>
      <w:fldChar w:fldCharType="end"/>
    </w:r>
    <w:r>
      <w:rPr>
        <w:rFonts w:hint="eastAsia"/>
        <w:kern w:val="0"/>
        <w:szCs w:val="21"/>
      </w:rPr>
      <w:t>页共</w:t>
    </w:r>
    <w:r w:rsidR="00457BB6">
      <w:rPr>
        <w:kern w:val="0"/>
        <w:szCs w:val="21"/>
      </w:rPr>
      <w:fldChar w:fldCharType="begin"/>
    </w:r>
    <w:r>
      <w:rPr>
        <w:kern w:val="0"/>
        <w:szCs w:val="21"/>
      </w:rPr>
      <w:instrText xml:space="preserve"> NUMPAGES </w:instrText>
    </w:r>
    <w:r w:rsidR="00457BB6">
      <w:rPr>
        <w:kern w:val="0"/>
        <w:szCs w:val="21"/>
      </w:rPr>
      <w:fldChar w:fldCharType="separate"/>
    </w:r>
    <w:r w:rsidR="00055AB1">
      <w:rPr>
        <w:noProof/>
        <w:kern w:val="0"/>
        <w:szCs w:val="21"/>
      </w:rPr>
      <w:t>14</w:t>
    </w:r>
    <w:r w:rsidR="00457BB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5E1" w:rsidRDefault="00B175E1" w:rsidP="00876D65">
      <w:r>
        <w:separator/>
      </w:r>
    </w:p>
  </w:footnote>
  <w:footnote w:type="continuationSeparator" w:id="0">
    <w:p w:rsidR="00B175E1" w:rsidRDefault="00B175E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55AB1"/>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57BB6"/>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1C6C"/>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175E1"/>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2514"/>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E97BDA7-4594-4D5B-8673-71CD799E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7633">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BC745-ACDD-49EB-BDEA-C2312CA8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14</Pages>
  <Words>1174</Words>
  <Characters>6696</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568</cp:revision>
  <dcterms:created xsi:type="dcterms:W3CDTF">2012-10-16T06:07:00Z</dcterms:created>
  <dcterms:modified xsi:type="dcterms:W3CDTF">2017-10-23T09:23:00Z</dcterms:modified>
</cp:coreProperties>
</file>