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交银施罗德瑞景定期开放灵活配置混合型证券投资基金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2017</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2017</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基金托管人：招商银行股份有限公司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二〇一七年十月二十五日</w:t>
      </w:r>
    </w:p>
    <w:p w:rsidR="004061AC" w:rsidRPr="00414345" w:rsidRDefault="004061AC" w:rsidP="003F5F85">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910CC7" w:rsidRDefault="003F5F85">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10CC7" w:rsidRDefault="003F5F85">
      <w:pPr>
        <w:spacing w:before="29" w:line="288" w:lineRule="auto"/>
        <w:ind w:firstLineChars="200" w:firstLine="480"/>
        <w:rPr>
          <w:color w:val="000000"/>
          <w:sz w:val="24"/>
          <w:szCs w:val="24"/>
        </w:rPr>
      </w:pPr>
      <w:r>
        <w:rPr>
          <w:color w:val="000000"/>
          <w:sz w:val="24"/>
          <w:szCs w:val="24"/>
        </w:rPr>
        <w:t>基金托管人招商银行股份有限公司根据本基金合同规定，于</w:t>
      </w:r>
      <w:r>
        <w:rPr>
          <w:color w:val="000000"/>
          <w:sz w:val="24"/>
          <w:szCs w:val="24"/>
        </w:rPr>
        <w:t>2017</w:t>
      </w:r>
      <w:r>
        <w:rPr>
          <w:color w:val="000000"/>
          <w:sz w:val="24"/>
          <w:szCs w:val="24"/>
        </w:rPr>
        <w:t>年</w:t>
      </w:r>
      <w:r>
        <w:rPr>
          <w:color w:val="000000"/>
          <w:sz w:val="24"/>
          <w:szCs w:val="24"/>
        </w:rPr>
        <w:t>10</w:t>
      </w:r>
      <w:r>
        <w:rPr>
          <w:color w:val="000000"/>
          <w:sz w:val="24"/>
          <w:szCs w:val="24"/>
        </w:rPr>
        <w:t>月</w:t>
      </w:r>
      <w:r>
        <w:rPr>
          <w:color w:val="000000"/>
          <w:sz w:val="24"/>
          <w:szCs w:val="24"/>
        </w:rPr>
        <w:t>24</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10CC7" w:rsidRDefault="003F5F85">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910CC7" w:rsidRDefault="003F5F85">
      <w:pPr>
        <w:spacing w:before="29" w:line="288" w:lineRule="auto"/>
        <w:ind w:firstLineChars="200" w:firstLine="480"/>
        <w:rPr>
          <w:color w:val="000000"/>
          <w:sz w:val="24"/>
          <w:szCs w:val="24"/>
        </w:rPr>
      </w:pPr>
      <w:r>
        <w:rPr>
          <w:color w:val="000000"/>
          <w:sz w:val="24"/>
          <w:szCs w:val="24"/>
        </w:rPr>
        <w:t>基金的过往业绩并不代表其未来表现。投资有风险，投资者在</w:t>
      </w:r>
      <w:proofErr w:type="gramStart"/>
      <w:r>
        <w:rPr>
          <w:color w:val="000000"/>
          <w:sz w:val="24"/>
          <w:szCs w:val="24"/>
        </w:rPr>
        <w:t>作出</w:t>
      </w:r>
      <w:proofErr w:type="gramEnd"/>
      <w:r>
        <w:rPr>
          <w:color w:val="000000"/>
          <w:sz w:val="24"/>
          <w:szCs w:val="24"/>
        </w:rPr>
        <w:t>投资决策前应仔细阅读本基金的招募说明书。</w:t>
      </w:r>
      <w:r>
        <w:rPr>
          <w:color w:val="000000"/>
          <w:sz w:val="24"/>
          <w:szCs w:val="24"/>
        </w:rPr>
        <w:t xml:space="preserve"> </w:t>
      </w:r>
    </w:p>
    <w:p w:rsidR="00910CC7" w:rsidRDefault="003F5F85">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2017</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3F5F85">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proofErr w:type="gramStart"/>
            <w:r w:rsidRPr="00414345">
              <w:rPr>
                <w:color w:val="000000"/>
                <w:kern w:val="0"/>
                <w:sz w:val="24"/>
                <w:szCs w:val="24"/>
              </w:rPr>
              <w:t>交银瑞景</w:t>
            </w:r>
            <w:proofErr w:type="gramEnd"/>
            <w:r w:rsidRPr="00414345">
              <w:rPr>
                <w:color w:val="000000"/>
                <w:kern w:val="0"/>
                <w:sz w:val="24"/>
                <w:szCs w:val="24"/>
              </w:rPr>
              <w:t>定期开放灵活配置混合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003901</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003901</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2016</w:t>
            </w:r>
            <w:r w:rsidRPr="00414345">
              <w:rPr>
                <w:color w:val="000000"/>
                <w:kern w:val="0"/>
                <w:sz w:val="24"/>
                <w:szCs w:val="24"/>
              </w:rPr>
              <w:t>年</w:t>
            </w:r>
            <w:r w:rsidRPr="00414345">
              <w:rPr>
                <w:color w:val="000000"/>
                <w:kern w:val="0"/>
                <w:sz w:val="24"/>
                <w:szCs w:val="24"/>
              </w:rPr>
              <w:t>12</w:t>
            </w:r>
            <w:r w:rsidRPr="00414345">
              <w:rPr>
                <w:color w:val="000000"/>
                <w:kern w:val="0"/>
                <w:sz w:val="24"/>
                <w:szCs w:val="24"/>
              </w:rPr>
              <w:t>月</w:t>
            </w:r>
            <w:r w:rsidRPr="00414345">
              <w:rPr>
                <w:color w:val="000000"/>
                <w:kern w:val="0"/>
                <w:sz w:val="24"/>
                <w:szCs w:val="24"/>
              </w:rPr>
              <w:t>21</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300,044,266.71</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本基金在控制风险的前提下，力争为投资者提供长期稳健的投资回报。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本基金充分发挥基金管理人的研究优势，在分析和判断宏观经济周期和金融市场运行趋势的基础上，自上而下灵活调整基金大类资产配置比例和股票行业配置比例，确定债券</w:t>
            </w:r>
            <w:proofErr w:type="gramStart"/>
            <w:r w:rsidRPr="00414345">
              <w:rPr>
                <w:color w:val="000000"/>
                <w:kern w:val="0"/>
                <w:sz w:val="24"/>
                <w:szCs w:val="24"/>
              </w:rPr>
              <w:t>组合久期和</w:t>
            </w:r>
            <w:proofErr w:type="gramEnd"/>
            <w:r w:rsidRPr="00414345">
              <w:rPr>
                <w:color w:val="000000"/>
                <w:kern w:val="0"/>
                <w:sz w:val="24"/>
                <w:szCs w:val="24"/>
              </w:rPr>
              <w:t>债券类别配置；在严谨深入的股票和债券研究分析基础上，自下而上精选股票和债券；在保持总体风险水平相对稳定的基础上，力争获取投资组合的较高回报。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50%×</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+50%×</w:t>
            </w:r>
            <w:r w:rsidRPr="00414345">
              <w:rPr>
                <w:color w:val="000000"/>
                <w:kern w:val="0"/>
                <w:sz w:val="24"/>
                <w:szCs w:val="24"/>
              </w:rPr>
              <w:t>中</w:t>
            </w:r>
            <w:proofErr w:type="gramStart"/>
            <w:r w:rsidRPr="00414345">
              <w:rPr>
                <w:color w:val="000000"/>
                <w:kern w:val="0"/>
                <w:sz w:val="24"/>
                <w:szCs w:val="24"/>
              </w:rPr>
              <w:t>债综合全价指数</w:t>
            </w:r>
            <w:proofErr w:type="gramEnd"/>
            <w:r w:rsidRPr="00414345">
              <w:rPr>
                <w:color w:val="000000"/>
                <w:kern w:val="0"/>
                <w:sz w:val="24"/>
                <w:szCs w:val="24"/>
              </w:rPr>
              <w:t>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w:t>
            </w:r>
            <w:r w:rsidRPr="00414345">
              <w:rPr>
                <w:color w:val="000000"/>
                <w:kern w:val="0"/>
                <w:sz w:val="24"/>
                <w:szCs w:val="24"/>
              </w:rPr>
              <w:lastRenderedPageBreak/>
              <w:t>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招商银行股份有限公司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3F5F85">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3F5F85" w:rsidRPr="00414345" w:rsidTr="003F5F85">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(2017</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-2017</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3F5F85" w:rsidRPr="00414345" w:rsidTr="003F5F8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5,375,829.80</w:t>
            </w:r>
          </w:p>
        </w:tc>
      </w:tr>
      <w:tr w:rsidR="003F5F85" w:rsidRPr="00414345" w:rsidTr="003F5F8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8,000,839.88</w:t>
            </w:r>
          </w:p>
        </w:tc>
      </w:tr>
      <w:tr w:rsidR="003F5F85" w:rsidRPr="00414345" w:rsidTr="003F5F8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0.0267</w:t>
            </w:r>
          </w:p>
        </w:tc>
      </w:tr>
      <w:tr w:rsidR="003F5F85" w:rsidRPr="00414345" w:rsidTr="003F5F8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322,332,902.88</w:t>
            </w:r>
          </w:p>
        </w:tc>
      </w:tr>
      <w:tr w:rsidR="003F5F85" w:rsidRPr="00414345" w:rsidTr="003F5F85">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1.0743</w:t>
            </w:r>
          </w:p>
        </w:tc>
      </w:tr>
    </w:tbl>
    <w:p w:rsidR="00910CC7" w:rsidRDefault="003F5F8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w:t>
      </w:r>
      <w:proofErr w:type="gramStart"/>
      <w:r w:rsidRPr="00414345">
        <w:rPr>
          <w:b/>
          <w:bCs/>
          <w:color w:val="000000"/>
          <w:kern w:val="0"/>
          <w:sz w:val="24"/>
          <w:szCs w:val="24"/>
        </w:rPr>
        <w:t>期基金</w:t>
      </w:r>
      <w:proofErr w:type="gramEnd"/>
      <w:r w:rsidRPr="00414345">
        <w:rPr>
          <w:b/>
          <w:bCs/>
          <w:color w:val="000000"/>
          <w:kern w:val="0"/>
          <w:sz w:val="24"/>
          <w:szCs w:val="24"/>
        </w:rPr>
        <w:t>份额净值增长率及其与同期业绩比较基准收益率的比较</w:t>
      </w:r>
    </w:p>
    <w:tbl>
      <w:tblPr>
        <w:tblStyle w:val="af7"/>
        <w:tblW w:w="5000" w:type="pct"/>
        <w:jc w:val="center"/>
        <w:tblCellMar>
          <w:top w:w="57" w:type="dxa"/>
          <w:bottom w:w="57" w:type="dxa"/>
        </w:tblCellMar>
        <w:tblLook w:val="04A0" w:firstRow="1" w:lastRow="0" w:firstColumn="1" w:lastColumn="0" w:noHBand="0" w:noVBand="1"/>
      </w:tblPr>
      <w:tblGrid>
        <w:gridCol w:w="1774"/>
        <w:gridCol w:w="1089"/>
        <w:gridCol w:w="1401"/>
        <w:gridCol w:w="1244"/>
        <w:gridCol w:w="1555"/>
        <w:gridCol w:w="1244"/>
        <w:gridCol w:w="935"/>
      </w:tblGrid>
      <w:tr w:rsidR="00EF6FA5" w:rsidRPr="00414345" w:rsidTr="007E2837">
        <w:trPr>
          <w:jc w:val="center"/>
        </w:trPr>
        <w:tc>
          <w:tcPr>
            <w:tcW w:w="959" w:type="pct"/>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589" w:type="pct"/>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758" w:type="pct"/>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673" w:type="pct"/>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841" w:type="pct"/>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673" w:type="pct"/>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506" w:type="pct"/>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910CC7" w:rsidTr="007E2837">
        <w:trPr>
          <w:jc w:val="center"/>
        </w:trPr>
        <w:tc>
          <w:tcPr>
            <w:tcW w:w="959" w:type="pct"/>
            <w:vAlign w:val="center"/>
          </w:tcPr>
          <w:p w:rsidR="00910CC7" w:rsidRDefault="003F5F85">
            <w:pPr>
              <w:jc w:val="left"/>
            </w:pPr>
            <w:r>
              <w:rPr>
                <w:color w:val="000000"/>
                <w:sz w:val="24"/>
                <w:szCs w:val="24"/>
              </w:rPr>
              <w:t>过去三个月</w:t>
            </w:r>
          </w:p>
        </w:tc>
        <w:tc>
          <w:tcPr>
            <w:tcW w:w="589" w:type="pct"/>
            <w:vAlign w:val="center"/>
          </w:tcPr>
          <w:p w:rsidR="00910CC7" w:rsidRDefault="003F5F85">
            <w:pPr>
              <w:jc w:val="center"/>
            </w:pPr>
            <w:r>
              <w:rPr>
                <w:color w:val="000000"/>
                <w:sz w:val="24"/>
                <w:szCs w:val="24"/>
              </w:rPr>
              <w:t>2.55%</w:t>
            </w:r>
          </w:p>
        </w:tc>
        <w:tc>
          <w:tcPr>
            <w:tcW w:w="758" w:type="pct"/>
            <w:vAlign w:val="center"/>
          </w:tcPr>
          <w:p w:rsidR="00910CC7" w:rsidRDefault="003F5F85">
            <w:pPr>
              <w:jc w:val="center"/>
            </w:pPr>
            <w:r>
              <w:rPr>
                <w:color w:val="000000"/>
                <w:sz w:val="24"/>
                <w:szCs w:val="24"/>
              </w:rPr>
              <w:t>0.13%</w:t>
            </w:r>
          </w:p>
        </w:tc>
        <w:tc>
          <w:tcPr>
            <w:tcW w:w="673" w:type="pct"/>
            <w:vAlign w:val="center"/>
          </w:tcPr>
          <w:p w:rsidR="00910CC7" w:rsidRDefault="003F5F85">
            <w:pPr>
              <w:jc w:val="center"/>
            </w:pPr>
            <w:r>
              <w:rPr>
                <w:color w:val="000000"/>
                <w:sz w:val="24"/>
                <w:szCs w:val="24"/>
              </w:rPr>
              <w:t>2.24%</w:t>
            </w:r>
          </w:p>
        </w:tc>
        <w:tc>
          <w:tcPr>
            <w:tcW w:w="841" w:type="pct"/>
            <w:vAlign w:val="center"/>
          </w:tcPr>
          <w:p w:rsidR="00910CC7" w:rsidRDefault="003F5F85">
            <w:pPr>
              <w:jc w:val="center"/>
            </w:pPr>
            <w:r>
              <w:rPr>
                <w:color w:val="000000"/>
                <w:sz w:val="24"/>
                <w:szCs w:val="24"/>
              </w:rPr>
              <w:t>0.29%</w:t>
            </w:r>
          </w:p>
        </w:tc>
        <w:tc>
          <w:tcPr>
            <w:tcW w:w="673" w:type="pct"/>
            <w:vAlign w:val="center"/>
          </w:tcPr>
          <w:p w:rsidR="00910CC7" w:rsidRDefault="003F5F85">
            <w:pPr>
              <w:jc w:val="center"/>
            </w:pPr>
            <w:r>
              <w:rPr>
                <w:color w:val="000000"/>
                <w:sz w:val="24"/>
                <w:szCs w:val="24"/>
              </w:rPr>
              <w:t>0.31%</w:t>
            </w:r>
          </w:p>
        </w:tc>
        <w:tc>
          <w:tcPr>
            <w:tcW w:w="506" w:type="pct"/>
            <w:vAlign w:val="center"/>
          </w:tcPr>
          <w:p w:rsidR="00910CC7" w:rsidRDefault="003F5F85">
            <w:pPr>
              <w:jc w:val="center"/>
            </w:pPr>
            <w:r>
              <w:rPr>
                <w:color w:val="000000"/>
                <w:sz w:val="24"/>
                <w:szCs w:val="24"/>
              </w:rPr>
              <w:t>-0.16%</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交银施罗德瑞景定期开放灵活配置混合型证券投资基金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2016</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12</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21</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2017</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w:t>
      </w:r>
      <w:proofErr w:type="gramStart"/>
      <w:r w:rsidRPr="00414345">
        <w:rPr>
          <w:color w:val="000000"/>
          <w:sz w:val="24"/>
          <w:szCs w:val="24"/>
        </w:rPr>
        <w:t>基金基金</w:t>
      </w:r>
      <w:proofErr w:type="gramEnd"/>
      <w:r w:rsidRPr="00414345">
        <w:rPr>
          <w:color w:val="000000"/>
          <w:sz w:val="24"/>
          <w:szCs w:val="24"/>
        </w:rPr>
        <w:t>合同生效日为</w:t>
      </w:r>
      <w:r w:rsidRPr="00414345">
        <w:rPr>
          <w:color w:val="000000"/>
          <w:sz w:val="24"/>
          <w:szCs w:val="24"/>
        </w:rPr>
        <w:t>2016</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21</w:t>
      </w:r>
      <w:r w:rsidRPr="00414345">
        <w:rPr>
          <w:color w:val="000000"/>
          <w:sz w:val="24"/>
          <w:szCs w:val="24"/>
        </w:rPr>
        <w:t>日，基金合同生效日至报告期期末，本基金运作时间未满一年。本基金建仓期为自基金合同生效日起的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3F5F85">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proofErr w:type="gramStart"/>
            <w:r w:rsidRPr="00414345">
              <w:rPr>
                <w:color w:val="000000"/>
                <w:kern w:val="0"/>
                <w:sz w:val="24"/>
                <w:szCs w:val="24"/>
              </w:rPr>
              <w:t>任本基金</w:t>
            </w:r>
            <w:proofErr w:type="gramEnd"/>
            <w:r w:rsidRPr="00414345">
              <w:rPr>
                <w:color w:val="000000"/>
                <w:kern w:val="0"/>
                <w:sz w:val="24"/>
                <w:szCs w:val="24"/>
              </w:rPr>
              <w:t>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910CC7">
        <w:trPr>
          <w:jc w:val="center"/>
        </w:trPr>
        <w:tc>
          <w:tcPr>
            <w:tcW w:w="846" w:type="dxa"/>
            <w:vAlign w:val="center"/>
          </w:tcPr>
          <w:p w:rsidR="00910CC7" w:rsidRDefault="003F5F85">
            <w:pPr>
              <w:jc w:val="center"/>
            </w:pPr>
            <w:r>
              <w:rPr>
                <w:color w:val="000000"/>
                <w:sz w:val="24"/>
                <w:szCs w:val="24"/>
              </w:rPr>
              <w:t>李娜</w:t>
            </w:r>
          </w:p>
        </w:tc>
        <w:tc>
          <w:tcPr>
            <w:tcW w:w="845" w:type="dxa"/>
            <w:vAlign w:val="center"/>
          </w:tcPr>
          <w:p w:rsidR="00910CC7" w:rsidRDefault="003F5F85">
            <w:pPr>
              <w:jc w:val="center"/>
            </w:pPr>
            <w:r>
              <w:rPr>
                <w:color w:val="000000"/>
                <w:sz w:val="24"/>
                <w:szCs w:val="24"/>
              </w:rPr>
              <w:t>交银周期回报灵活配置混合、交银新回报灵活配置混合、交银多策略</w:t>
            </w:r>
            <w:r>
              <w:rPr>
                <w:color w:val="000000"/>
                <w:sz w:val="24"/>
                <w:szCs w:val="24"/>
              </w:rPr>
              <w:lastRenderedPageBreak/>
              <w:t>回报灵活配置混合、交银卓越回报灵活配置混合、交银优选回报灵活配置混合、交</w:t>
            </w:r>
            <w:proofErr w:type="gramStart"/>
            <w:r>
              <w:rPr>
                <w:color w:val="000000"/>
                <w:sz w:val="24"/>
                <w:szCs w:val="24"/>
              </w:rPr>
              <w:t>银优择</w:t>
            </w:r>
            <w:proofErr w:type="gramEnd"/>
            <w:r>
              <w:rPr>
                <w:color w:val="000000"/>
                <w:sz w:val="24"/>
                <w:szCs w:val="24"/>
              </w:rPr>
              <w:t>回报灵活配置混合、交银领先回报灵活配置混合、交银瑞</w:t>
            </w:r>
            <w:proofErr w:type="gramStart"/>
            <w:r>
              <w:rPr>
                <w:color w:val="000000"/>
                <w:sz w:val="24"/>
                <w:szCs w:val="24"/>
              </w:rPr>
              <w:t>鑫</w:t>
            </w:r>
            <w:proofErr w:type="gramEnd"/>
            <w:r>
              <w:rPr>
                <w:color w:val="000000"/>
                <w:sz w:val="24"/>
                <w:szCs w:val="24"/>
              </w:rPr>
              <w:t>定期开放灵活配置混合、</w:t>
            </w:r>
            <w:proofErr w:type="gramStart"/>
            <w:r>
              <w:rPr>
                <w:color w:val="000000"/>
                <w:sz w:val="24"/>
                <w:szCs w:val="24"/>
              </w:rPr>
              <w:t>交银瑞景</w:t>
            </w:r>
            <w:proofErr w:type="gramEnd"/>
            <w:r>
              <w:rPr>
                <w:color w:val="000000"/>
                <w:sz w:val="24"/>
                <w:szCs w:val="24"/>
              </w:rPr>
              <w:t>定期开放灵活配置混合、交</w:t>
            </w:r>
            <w:proofErr w:type="gramStart"/>
            <w:r>
              <w:rPr>
                <w:color w:val="000000"/>
                <w:sz w:val="24"/>
                <w:szCs w:val="24"/>
              </w:rPr>
              <w:t>银启通</w:t>
            </w:r>
            <w:proofErr w:type="gramEnd"/>
            <w:r>
              <w:rPr>
                <w:color w:val="000000"/>
                <w:sz w:val="24"/>
                <w:szCs w:val="24"/>
              </w:rPr>
              <w:lastRenderedPageBreak/>
              <w:t>灵活配置混合、</w:t>
            </w:r>
            <w:proofErr w:type="gramStart"/>
            <w:r>
              <w:rPr>
                <w:color w:val="000000"/>
                <w:sz w:val="24"/>
                <w:szCs w:val="24"/>
              </w:rPr>
              <w:t>交银瑞利</w:t>
            </w:r>
            <w:proofErr w:type="gramEnd"/>
            <w:r>
              <w:rPr>
                <w:color w:val="000000"/>
                <w:sz w:val="24"/>
                <w:szCs w:val="24"/>
              </w:rPr>
              <w:t>定期开放灵活配置混合、交</w:t>
            </w:r>
            <w:proofErr w:type="gramStart"/>
            <w:r>
              <w:rPr>
                <w:color w:val="000000"/>
                <w:sz w:val="24"/>
                <w:szCs w:val="24"/>
              </w:rPr>
              <w:t>银瑞安定期开放</w:t>
            </w:r>
            <w:proofErr w:type="gramEnd"/>
            <w:r>
              <w:rPr>
                <w:color w:val="000000"/>
                <w:sz w:val="24"/>
                <w:szCs w:val="24"/>
              </w:rPr>
              <w:t>灵活配置混合的基金经理</w:t>
            </w:r>
          </w:p>
        </w:tc>
        <w:tc>
          <w:tcPr>
            <w:tcW w:w="1549" w:type="dxa"/>
            <w:vAlign w:val="center"/>
          </w:tcPr>
          <w:p w:rsidR="00910CC7" w:rsidRDefault="003F5F85">
            <w:pPr>
              <w:jc w:val="center"/>
            </w:pPr>
            <w:r>
              <w:rPr>
                <w:color w:val="000000"/>
                <w:sz w:val="24"/>
                <w:szCs w:val="24"/>
              </w:rPr>
              <w:lastRenderedPageBreak/>
              <w:t>2016-12-21</w:t>
            </w:r>
          </w:p>
        </w:tc>
        <w:tc>
          <w:tcPr>
            <w:tcW w:w="1548" w:type="dxa"/>
            <w:vAlign w:val="center"/>
          </w:tcPr>
          <w:p w:rsidR="00910CC7" w:rsidRDefault="003F5F85">
            <w:pPr>
              <w:jc w:val="center"/>
            </w:pPr>
            <w:r>
              <w:rPr>
                <w:color w:val="000000"/>
                <w:sz w:val="24"/>
                <w:szCs w:val="24"/>
              </w:rPr>
              <w:t>-</w:t>
            </w:r>
          </w:p>
        </w:tc>
        <w:tc>
          <w:tcPr>
            <w:tcW w:w="1407" w:type="dxa"/>
            <w:vAlign w:val="center"/>
          </w:tcPr>
          <w:p w:rsidR="00910CC7" w:rsidRDefault="003F5F85">
            <w:pPr>
              <w:jc w:val="center"/>
            </w:pPr>
            <w:r>
              <w:rPr>
                <w:color w:val="000000"/>
                <w:sz w:val="24"/>
                <w:szCs w:val="24"/>
              </w:rPr>
              <w:t>7</w:t>
            </w:r>
            <w:r>
              <w:rPr>
                <w:color w:val="000000"/>
                <w:sz w:val="24"/>
                <w:szCs w:val="24"/>
              </w:rPr>
              <w:t>年</w:t>
            </w:r>
          </w:p>
        </w:tc>
        <w:tc>
          <w:tcPr>
            <w:tcW w:w="2673" w:type="dxa"/>
            <w:vAlign w:val="center"/>
          </w:tcPr>
          <w:p w:rsidR="00910CC7" w:rsidRDefault="003F5F85">
            <w:r>
              <w:rPr>
                <w:color w:val="000000"/>
                <w:sz w:val="24"/>
                <w:szCs w:val="24"/>
              </w:rPr>
              <w:t>李娜女士，美国宾夕法尼亚大学应用数学与计算科学硕士。</w:t>
            </w:r>
            <w:proofErr w:type="gramStart"/>
            <w:r>
              <w:rPr>
                <w:color w:val="000000"/>
                <w:sz w:val="24"/>
                <w:szCs w:val="24"/>
              </w:rPr>
              <w:t>历任国</w:t>
            </w:r>
            <w:proofErr w:type="gramEnd"/>
            <w:r>
              <w:rPr>
                <w:color w:val="000000"/>
                <w:sz w:val="24"/>
                <w:szCs w:val="24"/>
              </w:rPr>
              <w:t>泰基金管理有限公司研究员。</w:t>
            </w:r>
            <w:r>
              <w:rPr>
                <w:color w:val="000000"/>
                <w:sz w:val="24"/>
                <w:szCs w:val="24"/>
              </w:rPr>
              <w:t>2012</w:t>
            </w:r>
            <w:r>
              <w:rPr>
                <w:color w:val="000000"/>
                <w:sz w:val="24"/>
                <w:szCs w:val="24"/>
              </w:rPr>
              <w:t>年加入交银施罗德基金管理有限公司，历任债券分析师、基金经理助理。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910CC7" w:rsidRDefault="003F5F85">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910CC7" w:rsidRDefault="003F5F85">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910CC7" w:rsidRDefault="003F5F85">
      <w:pPr>
        <w:spacing w:before="29" w:line="288" w:lineRule="auto"/>
        <w:ind w:firstLineChars="200" w:firstLine="480"/>
        <w:rPr>
          <w:color w:val="000000"/>
          <w:sz w:val="24"/>
          <w:szCs w:val="24"/>
        </w:rPr>
      </w:pPr>
      <w:r>
        <w:rPr>
          <w:color w:val="000000"/>
          <w:sz w:val="24"/>
          <w:szCs w:val="24"/>
        </w:rPr>
        <w:lastRenderedPageBreak/>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910CC7" w:rsidRDefault="003F5F85">
      <w:pPr>
        <w:spacing w:before="29" w:line="288" w:lineRule="auto"/>
        <w:ind w:firstLineChars="200" w:firstLine="480"/>
        <w:rPr>
          <w:color w:val="000000"/>
          <w:sz w:val="24"/>
          <w:szCs w:val="24"/>
        </w:rPr>
      </w:pPr>
      <w:r>
        <w:rPr>
          <w:color w:val="000000"/>
          <w:sz w:val="24"/>
          <w:szCs w:val="24"/>
        </w:rPr>
        <w:t>本报告期内，部分经济增长数据呈现小幅回落，通胀数据温和上升，货币政策保持稳健中性，银行间流动性结构性分层进一步分化，季节性特征凸显，整体资金中枢略微上移。股票市场受中报业绩改善、商品价格上涨等因素的拉动，风险偏好回升，呈现分化上行的走势后略有调整，同期债券收益率上行后亦有回落，其中流动性季节性收紧、大宗商品价格上涨带动通胀预期、经济数据回落的判断有待确认、美联储</w:t>
      </w:r>
      <w:proofErr w:type="gramStart"/>
      <w:r>
        <w:rPr>
          <w:color w:val="000000"/>
          <w:sz w:val="24"/>
          <w:szCs w:val="24"/>
        </w:rPr>
        <w:t>开启缩表预期</w:t>
      </w:r>
      <w:proofErr w:type="gramEnd"/>
      <w:r>
        <w:rPr>
          <w:color w:val="000000"/>
          <w:sz w:val="24"/>
          <w:szCs w:val="24"/>
        </w:rPr>
        <w:t>等因素成为债券市场收益率变动的主要原因。报告期内，上证综指和创业板指分别上涨</w:t>
      </w:r>
      <w:r>
        <w:rPr>
          <w:color w:val="000000"/>
          <w:sz w:val="24"/>
          <w:szCs w:val="24"/>
        </w:rPr>
        <w:t>4.90%</w:t>
      </w:r>
      <w:r>
        <w:rPr>
          <w:color w:val="000000"/>
          <w:sz w:val="24"/>
          <w:szCs w:val="24"/>
        </w:rPr>
        <w:t>和</w:t>
      </w:r>
      <w:r>
        <w:rPr>
          <w:color w:val="000000"/>
          <w:sz w:val="24"/>
          <w:szCs w:val="24"/>
        </w:rPr>
        <w:t>2.69%</w:t>
      </w:r>
      <w:r>
        <w:rPr>
          <w:color w:val="000000"/>
          <w:sz w:val="24"/>
          <w:szCs w:val="24"/>
        </w:rPr>
        <w:t>，</w:t>
      </w:r>
      <w:r>
        <w:rPr>
          <w:color w:val="000000"/>
          <w:sz w:val="24"/>
          <w:szCs w:val="24"/>
        </w:rPr>
        <w:t>10</w:t>
      </w:r>
      <w:r>
        <w:rPr>
          <w:color w:val="000000"/>
          <w:sz w:val="24"/>
          <w:szCs w:val="24"/>
        </w:rPr>
        <w:t>年期国债收益率上行</w:t>
      </w:r>
      <w:r>
        <w:rPr>
          <w:color w:val="000000"/>
          <w:sz w:val="24"/>
          <w:szCs w:val="24"/>
        </w:rPr>
        <w:t>5BP</w:t>
      </w:r>
      <w:r>
        <w:rPr>
          <w:color w:val="000000"/>
          <w:sz w:val="24"/>
          <w:szCs w:val="24"/>
        </w:rPr>
        <w:t>至</w:t>
      </w:r>
      <w:r>
        <w:rPr>
          <w:color w:val="000000"/>
          <w:sz w:val="24"/>
          <w:szCs w:val="24"/>
        </w:rPr>
        <w:t>3.61%</w:t>
      </w:r>
      <w:r>
        <w:rPr>
          <w:color w:val="000000"/>
          <w:sz w:val="24"/>
          <w:szCs w:val="24"/>
        </w:rPr>
        <w:t>，</w:t>
      </w:r>
      <w:r>
        <w:rPr>
          <w:color w:val="000000"/>
          <w:sz w:val="24"/>
          <w:szCs w:val="24"/>
        </w:rPr>
        <w:t>10</w:t>
      </w:r>
      <w:r>
        <w:rPr>
          <w:color w:val="000000"/>
          <w:sz w:val="24"/>
          <w:szCs w:val="24"/>
        </w:rPr>
        <w:t>年期</w:t>
      </w:r>
      <w:proofErr w:type="gramStart"/>
      <w:r>
        <w:rPr>
          <w:color w:val="000000"/>
          <w:sz w:val="24"/>
          <w:szCs w:val="24"/>
        </w:rPr>
        <w:t>国开债收益率</w:t>
      </w:r>
      <w:proofErr w:type="gramEnd"/>
      <w:r>
        <w:rPr>
          <w:color w:val="000000"/>
          <w:sz w:val="24"/>
          <w:szCs w:val="24"/>
        </w:rPr>
        <w:t>上行</w:t>
      </w:r>
      <w:r>
        <w:rPr>
          <w:color w:val="000000"/>
          <w:sz w:val="24"/>
          <w:szCs w:val="24"/>
        </w:rPr>
        <w:t>1BP</w:t>
      </w:r>
      <w:r>
        <w:rPr>
          <w:color w:val="000000"/>
          <w:sz w:val="24"/>
          <w:szCs w:val="24"/>
        </w:rPr>
        <w:t>到</w:t>
      </w:r>
      <w:r>
        <w:rPr>
          <w:color w:val="000000"/>
          <w:sz w:val="24"/>
          <w:szCs w:val="24"/>
        </w:rPr>
        <w:t>4.19%</w:t>
      </w:r>
      <w:r>
        <w:rPr>
          <w:color w:val="000000"/>
          <w:sz w:val="24"/>
          <w:szCs w:val="24"/>
        </w:rPr>
        <w:t>。</w:t>
      </w:r>
    </w:p>
    <w:p w:rsidR="00910CC7" w:rsidRDefault="003F5F85">
      <w:pPr>
        <w:spacing w:before="29" w:line="288" w:lineRule="auto"/>
        <w:ind w:firstLineChars="200" w:firstLine="480"/>
        <w:rPr>
          <w:color w:val="000000"/>
          <w:sz w:val="24"/>
          <w:szCs w:val="24"/>
        </w:rPr>
      </w:pPr>
      <w:r>
        <w:rPr>
          <w:color w:val="000000"/>
          <w:sz w:val="24"/>
          <w:szCs w:val="24"/>
        </w:rPr>
        <w:t>策略层面，本基金重点关注</w:t>
      </w:r>
      <w:proofErr w:type="gramStart"/>
      <w:r>
        <w:rPr>
          <w:color w:val="000000"/>
          <w:sz w:val="24"/>
          <w:szCs w:val="24"/>
        </w:rPr>
        <w:t>短久期</w:t>
      </w:r>
      <w:proofErr w:type="gramEnd"/>
      <w:r>
        <w:rPr>
          <w:color w:val="000000"/>
          <w:sz w:val="24"/>
          <w:szCs w:val="24"/>
        </w:rPr>
        <w:t>信用债以及同业存单的配置价值，保持组合流动性，积极关注新股及转债发行动态，进行权益和转债一级市场投资，同时也关注二级市场的投资机会，从各方面争取为持有人赚取回报。</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展望四季度，基本面下行的预期有待数据的进一步确认，</w:t>
      </w:r>
      <w:r w:rsidRPr="00414345">
        <w:rPr>
          <w:color w:val="000000"/>
          <w:sz w:val="24"/>
          <w:szCs w:val="24"/>
        </w:rPr>
        <w:t>CPI</w:t>
      </w:r>
      <w:r w:rsidRPr="00414345">
        <w:rPr>
          <w:color w:val="000000"/>
          <w:sz w:val="24"/>
          <w:szCs w:val="24"/>
        </w:rPr>
        <w:t>依然不具备大幅上行的风险，宏观经济对债市影响的</w:t>
      </w:r>
      <w:proofErr w:type="gramStart"/>
      <w:r w:rsidRPr="00414345">
        <w:rPr>
          <w:color w:val="000000"/>
          <w:sz w:val="24"/>
          <w:szCs w:val="24"/>
        </w:rPr>
        <w:t>增强仍</w:t>
      </w:r>
      <w:proofErr w:type="gramEnd"/>
      <w:r w:rsidRPr="00414345">
        <w:rPr>
          <w:color w:val="000000"/>
          <w:sz w:val="24"/>
          <w:szCs w:val="24"/>
        </w:rPr>
        <w:t>需要时间，在货币政策</w:t>
      </w:r>
      <w:r w:rsidRPr="00414345">
        <w:rPr>
          <w:color w:val="000000"/>
          <w:sz w:val="24"/>
          <w:szCs w:val="24"/>
        </w:rPr>
        <w:t>“</w:t>
      </w:r>
      <w:r w:rsidRPr="00414345">
        <w:rPr>
          <w:color w:val="000000"/>
          <w:sz w:val="24"/>
          <w:szCs w:val="24"/>
        </w:rPr>
        <w:t>不松不紧</w:t>
      </w:r>
      <w:r w:rsidRPr="00414345">
        <w:rPr>
          <w:color w:val="000000"/>
          <w:sz w:val="24"/>
          <w:szCs w:val="24"/>
        </w:rPr>
        <w:t>”</w:t>
      </w:r>
      <w:r w:rsidRPr="00414345">
        <w:rPr>
          <w:color w:val="000000"/>
          <w:sz w:val="24"/>
          <w:szCs w:val="24"/>
        </w:rPr>
        <w:t>的基调下，利率或继续处于震荡格局之中，但长端收益率上行空间似有顶，具备一定配置价值。我们将密切关注流动性边际变化、供给侧等改革进展、通胀预期变化、美联储加息</w:t>
      </w:r>
      <w:proofErr w:type="gramStart"/>
      <w:r w:rsidRPr="00414345">
        <w:rPr>
          <w:color w:val="000000"/>
          <w:sz w:val="24"/>
          <w:szCs w:val="24"/>
        </w:rPr>
        <w:t>及缩表进度</w:t>
      </w:r>
      <w:proofErr w:type="gramEnd"/>
      <w:r w:rsidRPr="00414345">
        <w:rPr>
          <w:color w:val="000000"/>
          <w:sz w:val="24"/>
          <w:szCs w:val="24"/>
        </w:rPr>
        <w:t>等因素对市场的影响。股票方面，力争继续保持稳健、审慎，积极关注一级市场动态。债券方面，保持组合流动性的前提下积极关注交易窗口，把握适中久期，同时特别重视信用风险。</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2017</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1.0743</w:t>
      </w:r>
      <w:r w:rsidRPr="00414345">
        <w:rPr>
          <w:color w:val="000000"/>
          <w:sz w:val="24"/>
          <w:szCs w:val="24"/>
        </w:rPr>
        <w:t>元，本报告期份额净值增长率为</w:t>
      </w:r>
      <w:r w:rsidRPr="00414345">
        <w:rPr>
          <w:color w:val="000000"/>
          <w:sz w:val="24"/>
          <w:szCs w:val="24"/>
        </w:rPr>
        <w:t>2.55%</w:t>
      </w:r>
      <w:r w:rsidRPr="00414345">
        <w:rPr>
          <w:color w:val="000000"/>
          <w:sz w:val="24"/>
          <w:szCs w:val="24"/>
        </w:rPr>
        <w:t>，同期业绩比较基准增长率为</w:t>
      </w:r>
      <w:r w:rsidRPr="00414345">
        <w:rPr>
          <w:color w:val="000000"/>
          <w:sz w:val="24"/>
          <w:szCs w:val="24"/>
        </w:rPr>
        <w:t>2.24%</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lastRenderedPageBreak/>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3F5F85">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65,176,002.26</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18.99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65,176,002.26</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18.99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269,182,085.10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78.44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269,182,085.10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78.44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w:t>
            </w:r>
            <w:proofErr w:type="gramStart"/>
            <w:r w:rsidRPr="00414345">
              <w:rPr>
                <w:color w:val="000000"/>
                <w:sz w:val="24"/>
                <w:szCs w:val="24"/>
              </w:rPr>
              <w:t>品投资</w:t>
            </w:r>
            <w:proofErr w:type="gramEnd"/>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3,922,379.96</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1.14</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4,895,832.09</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1.43</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343,176,299.41</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sz w:val="24"/>
                <w:szCs w:val="24"/>
              </w:rPr>
            </w:pPr>
            <w:r w:rsidRPr="00496808">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sz w:val="24"/>
                <w:szCs w:val="24"/>
              </w:rPr>
            </w:pPr>
            <w:r w:rsidRPr="00496808">
              <w:rPr>
                <w:rFonts w:ascii="宋体" w:hAnsi="宋体" w:hint="eastAsia"/>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autoSpaceDE w:val="0"/>
              <w:autoSpaceDN w:val="0"/>
              <w:spacing w:before="29" w:line="288" w:lineRule="auto"/>
              <w:ind w:left="15"/>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autoSpaceDE w:val="0"/>
              <w:autoSpaceDN w:val="0"/>
              <w:spacing w:before="29" w:line="288" w:lineRule="auto"/>
              <w:ind w:left="15"/>
              <w:jc w:val="right"/>
              <w:rPr>
                <w:sz w:val="24"/>
                <w:szCs w:val="24"/>
              </w:rPr>
            </w:pPr>
            <w:r w:rsidRPr="00496808">
              <w:rPr>
                <w:sz w:val="24"/>
                <w:szCs w:val="24"/>
              </w:rPr>
              <w:t>-</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sz w:val="24"/>
                <w:szCs w:val="24"/>
              </w:rPr>
            </w:pPr>
            <w:r w:rsidRPr="00496808">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sz w:val="24"/>
                <w:szCs w:val="24"/>
              </w:rPr>
            </w:pPr>
            <w:r w:rsidRPr="00496808">
              <w:rPr>
                <w:rFonts w:ascii="宋体" w:hAnsi="宋体" w:hint="eastAsia"/>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sz w:val="24"/>
                <w:szCs w:val="24"/>
              </w:rPr>
            </w:pPr>
            <w:r w:rsidRPr="00496808">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sz w:val="24"/>
                <w:szCs w:val="24"/>
              </w:rPr>
            </w:pPr>
            <w:r w:rsidRPr="00496808">
              <w:rPr>
                <w:rFonts w:ascii="宋体" w:hAnsi="宋体" w:hint="eastAsia"/>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31,875,795.43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9.89</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sz w:val="24"/>
                <w:szCs w:val="24"/>
              </w:rPr>
            </w:pPr>
            <w:r w:rsidRPr="00496808">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sz w:val="24"/>
                <w:szCs w:val="24"/>
              </w:rPr>
            </w:pPr>
            <w:r w:rsidRPr="00496808">
              <w:rPr>
                <w:rFonts w:ascii="宋体" w:hAnsi="宋体" w:hint="eastAsia"/>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3,993,339.61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1.24</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sz w:val="24"/>
                <w:szCs w:val="24"/>
              </w:rPr>
            </w:pPr>
            <w:r w:rsidRPr="00496808">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sz w:val="24"/>
                <w:szCs w:val="24"/>
              </w:rPr>
            </w:pPr>
            <w:r w:rsidRPr="00496808">
              <w:rPr>
                <w:rFonts w:ascii="宋体" w:hAnsi="宋体" w:hint="eastAsia"/>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sz w:val="24"/>
                <w:szCs w:val="24"/>
              </w:rPr>
            </w:pPr>
            <w:r w:rsidRPr="00496808">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sz w:val="24"/>
                <w:szCs w:val="24"/>
              </w:rPr>
            </w:pPr>
            <w:r w:rsidRPr="00496808">
              <w:rPr>
                <w:rFonts w:ascii="宋体" w:hAnsi="宋体" w:hint="eastAsia"/>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2,915,527.29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0.90</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sz w:val="24"/>
                <w:szCs w:val="24"/>
              </w:rPr>
            </w:pPr>
            <w:r w:rsidRPr="00496808">
              <w:rPr>
                <w:sz w:val="24"/>
                <w:szCs w:val="24"/>
              </w:rPr>
              <w:lastRenderedPageBreak/>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sz w:val="24"/>
                <w:szCs w:val="24"/>
              </w:rPr>
            </w:pPr>
            <w:r w:rsidRPr="00496808">
              <w:rPr>
                <w:rFonts w:ascii="宋体" w:hAnsi="宋体" w:hint="eastAsia"/>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25,571.91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0.01</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sz w:val="24"/>
                <w:szCs w:val="24"/>
              </w:rPr>
            </w:pPr>
            <w:r w:rsidRPr="00496808">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sz w:val="24"/>
                <w:szCs w:val="24"/>
              </w:rPr>
            </w:pPr>
            <w:r w:rsidRPr="00496808">
              <w:rPr>
                <w:rFonts w:ascii="宋体" w:hAnsi="宋体" w:hint="eastAsia"/>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r>
      <w:tr w:rsidR="00496808"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sz w:val="24"/>
                <w:szCs w:val="24"/>
              </w:rPr>
            </w:pPr>
            <w:r w:rsidRPr="00496808">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rPr>
                <w:sz w:val="24"/>
                <w:szCs w:val="24"/>
              </w:rPr>
            </w:pPr>
            <w:r w:rsidRPr="00496808">
              <w:rPr>
                <w:rFonts w:ascii="宋体" w:hAnsi="宋体" w:hint="eastAsia"/>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17,468.03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0.01</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color w:val="000000"/>
                <w:sz w:val="24"/>
                <w:szCs w:val="24"/>
              </w:rPr>
            </w:pPr>
            <w:r w:rsidRPr="00496808">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color w:val="000000"/>
                <w:sz w:val="24"/>
                <w:szCs w:val="24"/>
              </w:rPr>
            </w:pPr>
            <w:r w:rsidRPr="00496808">
              <w:rPr>
                <w:rFonts w:ascii="宋体" w:hAnsi="宋体" w:hint="eastAsia"/>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26,233,000.00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8.14</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color w:val="000000"/>
                <w:sz w:val="24"/>
                <w:szCs w:val="24"/>
              </w:rPr>
            </w:pPr>
            <w:r w:rsidRPr="00496808">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color w:val="000000"/>
                <w:sz w:val="24"/>
                <w:szCs w:val="24"/>
              </w:rPr>
            </w:pPr>
            <w:r w:rsidRPr="00496808">
              <w:rPr>
                <w:rFonts w:ascii="宋体" w:hAnsi="宋体" w:hint="eastAsia"/>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color w:val="000000"/>
                <w:sz w:val="24"/>
                <w:szCs w:val="24"/>
              </w:rPr>
            </w:pPr>
            <w:r w:rsidRPr="00496808">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color w:val="000000"/>
                <w:sz w:val="24"/>
                <w:szCs w:val="24"/>
              </w:rPr>
            </w:pPr>
            <w:r w:rsidRPr="00496808">
              <w:rPr>
                <w:rFonts w:ascii="宋体" w:hAnsi="宋体" w:hint="eastAsia"/>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color w:val="000000"/>
                <w:sz w:val="24"/>
                <w:szCs w:val="24"/>
              </w:rPr>
            </w:pPr>
            <w:r w:rsidRPr="00496808">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color w:val="000000"/>
                <w:sz w:val="24"/>
                <w:szCs w:val="24"/>
              </w:rPr>
            </w:pPr>
            <w:r w:rsidRPr="00496808">
              <w:rPr>
                <w:rFonts w:ascii="宋体" w:hAnsi="宋体" w:hint="eastAsia"/>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color w:val="000000"/>
                <w:sz w:val="24"/>
                <w:szCs w:val="24"/>
              </w:rPr>
            </w:pPr>
            <w:r w:rsidRPr="00496808">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color w:val="000000"/>
                <w:sz w:val="24"/>
                <w:szCs w:val="24"/>
              </w:rPr>
            </w:pPr>
            <w:r w:rsidRPr="00496808">
              <w:rPr>
                <w:rFonts w:ascii="宋体" w:hAnsi="宋体" w:hint="eastAsia"/>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color w:val="000000"/>
                <w:sz w:val="24"/>
                <w:szCs w:val="24"/>
              </w:rPr>
            </w:pPr>
            <w:r w:rsidRPr="00496808">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color w:val="000000"/>
                <w:sz w:val="24"/>
                <w:szCs w:val="24"/>
              </w:rPr>
            </w:pPr>
            <w:r w:rsidRPr="00496808">
              <w:rPr>
                <w:rFonts w:ascii="宋体" w:hAnsi="宋体" w:hint="eastAsia"/>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color w:val="000000"/>
                <w:sz w:val="24"/>
                <w:szCs w:val="24"/>
              </w:rPr>
            </w:pPr>
            <w:r w:rsidRPr="00496808">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color w:val="000000"/>
                <w:sz w:val="24"/>
                <w:szCs w:val="24"/>
              </w:rPr>
            </w:pPr>
            <w:r w:rsidRPr="00496808">
              <w:rPr>
                <w:rFonts w:ascii="宋体" w:hAnsi="宋体" w:hint="eastAsia"/>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color w:val="000000"/>
                <w:sz w:val="24"/>
                <w:szCs w:val="24"/>
              </w:rPr>
            </w:pPr>
            <w:r w:rsidRPr="00496808">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color w:val="000000"/>
                <w:sz w:val="24"/>
                <w:szCs w:val="24"/>
              </w:rPr>
            </w:pPr>
            <w:r w:rsidRPr="00496808">
              <w:rPr>
                <w:rFonts w:ascii="宋体" w:hAnsi="宋体" w:hint="eastAsia"/>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115,299.99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0.04</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color w:val="000000"/>
                <w:sz w:val="24"/>
                <w:szCs w:val="24"/>
              </w:rPr>
            </w:pPr>
            <w:r w:rsidRPr="00496808">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color w:val="000000"/>
                <w:sz w:val="24"/>
                <w:szCs w:val="24"/>
              </w:rPr>
            </w:pPr>
            <w:r w:rsidRPr="00496808">
              <w:rPr>
                <w:rFonts w:ascii="宋体" w:hAnsi="宋体" w:hint="eastAsia"/>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color w:val="000000"/>
                <w:sz w:val="24"/>
                <w:szCs w:val="24"/>
              </w:rPr>
            </w:pPr>
            <w:r w:rsidRPr="00496808">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color w:val="000000"/>
                <w:sz w:val="24"/>
                <w:szCs w:val="24"/>
              </w:rPr>
            </w:pPr>
            <w:r w:rsidRPr="00496808">
              <w:rPr>
                <w:rFonts w:ascii="宋体" w:hAnsi="宋体" w:hint="eastAsia"/>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w:t>
            </w:r>
          </w:p>
        </w:tc>
      </w:tr>
      <w:tr w:rsidR="00496808"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496808" w:rsidRPr="00496808" w:rsidRDefault="00496808" w:rsidP="00496808">
            <w:pPr>
              <w:snapToGrid w:val="0"/>
              <w:spacing w:before="29" w:line="288" w:lineRule="auto"/>
              <w:jc w:val="left"/>
              <w:rPr>
                <w:color w:val="000000"/>
                <w:sz w:val="24"/>
                <w:szCs w:val="24"/>
              </w:rPr>
            </w:pPr>
            <w:r w:rsidRPr="00496808">
              <w:rPr>
                <w:rFonts w:ascii="宋体" w:hAnsi="宋体" w:hint="eastAsia"/>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65,176,002.26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496808" w:rsidRPr="00496808" w:rsidRDefault="00496808" w:rsidP="00496808">
            <w:pPr>
              <w:spacing w:before="29" w:line="288" w:lineRule="auto"/>
              <w:jc w:val="right"/>
              <w:rPr>
                <w:sz w:val="24"/>
                <w:szCs w:val="24"/>
              </w:rPr>
            </w:pPr>
            <w:r w:rsidRPr="00496808">
              <w:rPr>
                <w:sz w:val="24"/>
                <w:szCs w:val="24"/>
              </w:rPr>
              <w:t>20.22</w:t>
            </w:r>
          </w:p>
        </w:tc>
      </w:tr>
    </w:tbl>
    <w:p w:rsidR="00003966" w:rsidRDefault="00003966"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bookmarkStart w:id="0" w:name="_GoBack"/>
      <w:bookmarkEnd w:id="0"/>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910CC7">
        <w:trPr>
          <w:jc w:val="center"/>
        </w:trPr>
        <w:tc>
          <w:tcPr>
            <w:tcW w:w="855" w:type="dxa"/>
            <w:vAlign w:val="center"/>
          </w:tcPr>
          <w:p w:rsidR="00910CC7" w:rsidRDefault="003F5F85">
            <w:pPr>
              <w:jc w:val="center"/>
            </w:pPr>
            <w:r>
              <w:rPr>
                <w:color w:val="000000"/>
                <w:sz w:val="24"/>
                <w:szCs w:val="24"/>
              </w:rPr>
              <w:t>1</w:t>
            </w:r>
          </w:p>
        </w:tc>
        <w:tc>
          <w:tcPr>
            <w:tcW w:w="1334" w:type="dxa"/>
            <w:vAlign w:val="center"/>
          </w:tcPr>
          <w:p w:rsidR="00910CC7" w:rsidRDefault="003F5F85">
            <w:pPr>
              <w:jc w:val="center"/>
            </w:pPr>
            <w:r>
              <w:rPr>
                <w:color w:val="000000"/>
                <w:sz w:val="24"/>
                <w:szCs w:val="24"/>
              </w:rPr>
              <w:t>600887</w:t>
            </w:r>
          </w:p>
        </w:tc>
        <w:tc>
          <w:tcPr>
            <w:tcW w:w="1777" w:type="dxa"/>
            <w:vAlign w:val="center"/>
          </w:tcPr>
          <w:p w:rsidR="00910CC7" w:rsidRDefault="003F5F85">
            <w:pPr>
              <w:jc w:val="center"/>
            </w:pPr>
            <w:r>
              <w:rPr>
                <w:color w:val="000000"/>
                <w:sz w:val="24"/>
                <w:szCs w:val="24"/>
              </w:rPr>
              <w:t>伊利股份</w:t>
            </w:r>
          </w:p>
        </w:tc>
        <w:tc>
          <w:tcPr>
            <w:tcW w:w="1334" w:type="dxa"/>
            <w:vAlign w:val="center"/>
          </w:tcPr>
          <w:p w:rsidR="00910CC7" w:rsidRDefault="003F5F85">
            <w:pPr>
              <w:jc w:val="right"/>
            </w:pPr>
            <w:r>
              <w:rPr>
                <w:color w:val="000000"/>
                <w:sz w:val="24"/>
                <w:szCs w:val="24"/>
              </w:rPr>
              <w:t>350,000</w:t>
            </w:r>
          </w:p>
        </w:tc>
        <w:tc>
          <w:tcPr>
            <w:tcW w:w="1924" w:type="dxa"/>
            <w:vAlign w:val="center"/>
          </w:tcPr>
          <w:p w:rsidR="00910CC7" w:rsidRDefault="003F5F85">
            <w:pPr>
              <w:jc w:val="right"/>
            </w:pPr>
            <w:r>
              <w:rPr>
                <w:color w:val="000000"/>
                <w:sz w:val="24"/>
                <w:szCs w:val="24"/>
              </w:rPr>
              <w:t>9,625,000.00</w:t>
            </w:r>
          </w:p>
        </w:tc>
        <w:tc>
          <w:tcPr>
            <w:tcW w:w="1644" w:type="dxa"/>
            <w:vAlign w:val="center"/>
          </w:tcPr>
          <w:p w:rsidR="00910CC7" w:rsidRDefault="003F5F85">
            <w:pPr>
              <w:jc w:val="right"/>
            </w:pPr>
            <w:r>
              <w:rPr>
                <w:color w:val="000000"/>
                <w:sz w:val="24"/>
                <w:szCs w:val="24"/>
              </w:rPr>
              <w:t>2.99</w:t>
            </w:r>
          </w:p>
        </w:tc>
      </w:tr>
      <w:tr w:rsidR="00910CC7">
        <w:trPr>
          <w:jc w:val="center"/>
        </w:trPr>
        <w:tc>
          <w:tcPr>
            <w:tcW w:w="855" w:type="dxa"/>
            <w:vAlign w:val="center"/>
          </w:tcPr>
          <w:p w:rsidR="00910CC7" w:rsidRDefault="003F5F85">
            <w:pPr>
              <w:jc w:val="center"/>
            </w:pPr>
            <w:r>
              <w:rPr>
                <w:color w:val="000000"/>
                <w:sz w:val="24"/>
                <w:szCs w:val="24"/>
              </w:rPr>
              <w:t>2</w:t>
            </w:r>
          </w:p>
        </w:tc>
        <w:tc>
          <w:tcPr>
            <w:tcW w:w="1334" w:type="dxa"/>
            <w:vAlign w:val="center"/>
          </w:tcPr>
          <w:p w:rsidR="00910CC7" w:rsidRDefault="003F5F85">
            <w:pPr>
              <w:jc w:val="center"/>
            </w:pPr>
            <w:r>
              <w:rPr>
                <w:color w:val="000000"/>
                <w:sz w:val="24"/>
                <w:szCs w:val="24"/>
              </w:rPr>
              <w:t>601318</w:t>
            </w:r>
          </w:p>
        </w:tc>
        <w:tc>
          <w:tcPr>
            <w:tcW w:w="1777" w:type="dxa"/>
            <w:vAlign w:val="center"/>
          </w:tcPr>
          <w:p w:rsidR="00910CC7" w:rsidRDefault="003F5F85">
            <w:pPr>
              <w:jc w:val="center"/>
            </w:pPr>
            <w:r>
              <w:rPr>
                <w:color w:val="000000"/>
                <w:sz w:val="24"/>
                <w:szCs w:val="24"/>
              </w:rPr>
              <w:t>中国平安</w:t>
            </w:r>
          </w:p>
        </w:tc>
        <w:tc>
          <w:tcPr>
            <w:tcW w:w="1334" w:type="dxa"/>
            <w:vAlign w:val="center"/>
          </w:tcPr>
          <w:p w:rsidR="00910CC7" w:rsidRDefault="003F5F85">
            <w:pPr>
              <w:jc w:val="right"/>
            </w:pPr>
            <w:r>
              <w:rPr>
                <w:color w:val="000000"/>
                <w:sz w:val="24"/>
                <w:szCs w:val="24"/>
              </w:rPr>
              <w:t>150,000</w:t>
            </w:r>
          </w:p>
        </w:tc>
        <w:tc>
          <w:tcPr>
            <w:tcW w:w="1924" w:type="dxa"/>
            <w:vAlign w:val="center"/>
          </w:tcPr>
          <w:p w:rsidR="00910CC7" w:rsidRDefault="003F5F85">
            <w:pPr>
              <w:jc w:val="right"/>
            </w:pPr>
            <w:r>
              <w:rPr>
                <w:color w:val="000000"/>
                <w:sz w:val="24"/>
                <w:szCs w:val="24"/>
              </w:rPr>
              <w:t>8,124,000.00</w:t>
            </w:r>
          </w:p>
        </w:tc>
        <w:tc>
          <w:tcPr>
            <w:tcW w:w="1644" w:type="dxa"/>
            <w:vAlign w:val="center"/>
          </w:tcPr>
          <w:p w:rsidR="00910CC7" w:rsidRDefault="003F5F85">
            <w:pPr>
              <w:jc w:val="right"/>
            </w:pPr>
            <w:r>
              <w:rPr>
                <w:color w:val="000000"/>
                <w:sz w:val="24"/>
                <w:szCs w:val="24"/>
              </w:rPr>
              <w:t>2.52</w:t>
            </w:r>
          </w:p>
        </w:tc>
      </w:tr>
      <w:tr w:rsidR="00910CC7">
        <w:trPr>
          <w:jc w:val="center"/>
        </w:trPr>
        <w:tc>
          <w:tcPr>
            <w:tcW w:w="855" w:type="dxa"/>
            <w:vAlign w:val="center"/>
          </w:tcPr>
          <w:p w:rsidR="00910CC7" w:rsidRDefault="003F5F85">
            <w:pPr>
              <w:jc w:val="center"/>
            </w:pPr>
            <w:r>
              <w:rPr>
                <w:color w:val="000000"/>
                <w:sz w:val="24"/>
                <w:szCs w:val="24"/>
              </w:rPr>
              <w:t>3</w:t>
            </w:r>
          </w:p>
        </w:tc>
        <w:tc>
          <w:tcPr>
            <w:tcW w:w="1334" w:type="dxa"/>
            <w:vAlign w:val="center"/>
          </w:tcPr>
          <w:p w:rsidR="00910CC7" w:rsidRDefault="003F5F85">
            <w:pPr>
              <w:jc w:val="center"/>
            </w:pPr>
            <w:r>
              <w:rPr>
                <w:color w:val="000000"/>
                <w:sz w:val="24"/>
                <w:szCs w:val="24"/>
              </w:rPr>
              <w:t>600519</w:t>
            </w:r>
          </w:p>
        </w:tc>
        <w:tc>
          <w:tcPr>
            <w:tcW w:w="1777" w:type="dxa"/>
            <w:vAlign w:val="center"/>
          </w:tcPr>
          <w:p w:rsidR="00910CC7" w:rsidRDefault="003F5F85">
            <w:pPr>
              <w:jc w:val="center"/>
            </w:pPr>
            <w:r>
              <w:rPr>
                <w:color w:val="000000"/>
                <w:sz w:val="24"/>
                <w:szCs w:val="24"/>
              </w:rPr>
              <w:t>贵州茅台</w:t>
            </w:r>
          </w:p>
        </w:tc>
        <w:tc>
          <w:tcPr>
            <w:tcW w:w="1334" w:type="dxa"/>
            <w:vAlign w:val="center"/>
          </w:tcPr>
          <w:p w:rsidR="00910CC7" w:rsidRDefault="003F5F85">
            <w:pPr>
              <w:jc w:val="right"/>
            </w:pPr>
            <w:r>
              <w:rPr>
                <w:color w:val="000000"/>
                <w:sz w:val="24"/>
                <w:szCs w:val="24"/>
              </w:rPr>
              <w:t>15,000</w:t>
            </w:r>
          </w:p>
        </w:tc>
        <w:tc>
          <w:tcPr>
            <w:tcW w:w="1924" w:type="dxa"/>
            <w:vAlign w:val="center"/>
          </w:tcPr>
          <w:p w:rsidR="00910CC7" w:rsidRDefault="003F5F85">
            <w:pPr>
              <w:jc w:val="right"/>
            </w:pPr>
            <w:r>
              <w:rPr>
                <w:color w:val="000000"/>
                <w:sz w:val="24"/>
                <w:szCs w:val="24"/>
              </w:rPr>
              <w:t>7,764,600.00</w:t>
            </w:r>
          </w:p>
        </w:tc>
        <w:tc>
          <w:tcPr>
            <w:tcW w:w="1644" w:type="dxa"/>
            <w:vAlign w:val="center"/>
          </w:tcPr>
          <w:p w:rsidR="00910CC7" w:rsidRDefault="003F5F85">
            <w:pPr>
              <w:jc w:val="right"/>
            </w:pPr>
            <w:r>
              <w:rPr>
                <w:color w:val="000000"/>
                <w:sz w:val="24"/>
                <w:szCs w:val="24"/>
              </w:rPr>
              <w:t>2.41</w:t>
            </w:r>
          </w:p>
        </w:tc>
      </w:tr>
      <w:tr w:rsidR="00910CC7">
        <w:trPr>
          <w:jc w:val="center"/>
        </w:trPr>
        <w:tc>
          <w:tcPr>
            <w:tcW w:w="855" w:type="dxa"/>
            <w:vAlign w:val="center"/>
          </w:tcPr>
          <w:p w:rsidR="00910CC7" w:rsidRDefault="003F5F85">
            <w:pPr>
              <w:jc w:val="center"/>
            </w:pPr>
            <w:r>
              <w:rPr>
                <w:color w:val="000000"/>
                <w:sz w:val="24"/>
                <w:szCs w:val="24"/>
              </w:rPr>
              <w:t>4</w:t>
            </w:r>
          </w:p>
        </w:tc>
        <w:tc>
          <w:tcPr>
            <w:tcW w:w="1334" w:type="dxa"/>
            <w:vAlign w:val="center"/>
          </w:tcPr>
          <w:p w:rsidR="00910CC7" w:rsidRDefault="003F5F85">
            <w:pPr>
              <w:jc w:val="center"/>
            </w:pPr>
            <w:r>
              <w:rPr>
                <w:color w:val="000000"/>
                <w:sz w:val="24"/>
                <w:szCs w:val="24"/>
              </w:rPr>
              <w:t>601398</w:t>
            </w:r>
          </w:p>
        </w:tc>
        <w:tc>
          <w:tcPr>
            <w:tcW w:w="1777" w:type="dxa"/>
            <w:vAlign w:val="center"/>
          </w:tcPr>
          <w:p w:rsidR="00910CC7" w:rsidRDefault="003F5F85">
            <w:pPr>
              <w:jc w:val="center"/>
            </w:pPr>
            <w:r>
              <w:rPr>
                <w:color w:val="000000"/>
                <w:sz w:val="24"/>
                <w:szCs w:val="24"/>
              </w:rPr>
              <w:t>工商银行</w:t>
            </w:r>
          </w:p>
        </w:tc>
        <w:tc>
          <w:tcPr>
            <w:tcW w:w="1334" w:type="dxa"/>
            <w:vAlign w:val="center"/>
          </w:tcPr>
          <w:p w:rsidR="00910CC7" w:rsidRDefault="003F5F85">
            <w:pPr>
              <w:jc w:val="right"/>
            </w:pPr>
            <w:r>
              <w:rPr>
                <w:color w:val="000000"/>
                <w:sz w:val="24"/>
                <w:szCs w:val="24"/>
              </w:rPr>
              <w:t>1,250,000</w:t>
            </w:r>
          </w:p>
        </w:tc>
        <w:tc>
          <w:tcPr>
            <w:tcW w:w="1924" w:type="dxa"/>
            <w:vAlign w:val="center"/>
          </w:tcPr>
          <w:p w:rsidR="00910CC7" w:rsidRDefault="003F5F85">
            <w:pPr>
              <w:jc w:val="right"/>
            </w:pPr>
            <w:r>
              <w:rPr>
                <w:color w:val="000000"/>
                <w:sz w:val="24"/>
                <w:szCs w:val="24"/>
              </w:rPr>
              <w:t>7,500,000.00</w:t>
            </w:r>
          </w:p>
        </w:tc>
        <w:tc>
          <w:tcPr>
            <w:tcW w:w="1644" w:type="dxa"/>
            <w:vAlign w:val="center"/>
          </w:tcPr>
          <w:p w:rsidR="00910CC7" w:rsidRDefault="003F5F85">
            <w:pPr>
              <w:jc w:val="right"/>
            </w:pPr>
            <w:r>
              <w:rPr>
                <w:color w:val="000000"/>
                <w:sz w:val="24"/>
                <w:szCs w:val="24"/>
              </w:rPr>
              <w:t>2.33</w:t>
            </w:r>
          </w:p>
        </w:tc>
      </w:tr>
      <w:tr w:rsidR="00910CC7">
        <w:trPr>
          <w:jc w:val="center"/>
        </w:trPr>
        <w:tc>
          <w:tcPr>
            <w:tcW w:w="855" w:type="dxa"/>
            <w:vAlign w:val="center"/>
          </w:tcPr>
          <w:p w:rsidR="00910CC7" w:rsidRDefault="003F5F85">
            <w:pPr>
              <w:jc w:val="center"/>
            </w:pPr>
            <w:r>
              <w:rPr>
                <w:color w:val="000000"/>
                <w:sz w:val="24"/>
                <w:szCs w:val="24"/>
              </w:rPr>
              <w:t>5</w:t>
            </w:r>
          </w:p>
        </w:tc>
        <w:tc>
          <w:tcPr>
            <w:tcW w:w="1334" w:type="dxa"/>
            <w:vAlign w:val="center"/>
          </w:tcPr>
          <w:p w:rsidR="00910CC7" w:rsidRDefault="003F5F85">
            <w:pPr>
              <w:jc w:val="center"/>
            </w:pPr>
            <w:r>
              <w:rPr>
                <w:color w:val="000000"/>
                <w:sz w:val="24"/>
                <w:szCs w:val="24"/>
              </w:rPr>
              <w:t>601288</w:t>
            </w:r>
          </w:p>
        </w:tc>
        <w:tc>
          <w:tcPr>
            <w:tcW w:w="1777" w:type="dxa"/>
            <w:vAlign w:val="center"/>
          </w:tcPr>
          <w:p w:rsidR="00910CC7" w:rsidRDefault="003F5F85">
            <w:pPr>
              <w:jc w:val="center"/>
            </w:pPr>
            <w:r>
              <w:rPr>
                <w:color w:val="000000"/>
                <w:sz w:val="24"/>
                <w:szCs w:val="24"/>
              </w:rPr>
              <w:t>农业银行</w:t>
            </w:r>
          </w:p>
        </w:tc>
        <w:tc>
          <w:tcPr>
            <w:tcW w:w="1334" w:type="dxa"/>
            <w:vAlign w:val="center"/>
          </w:tcPr>
          <w:p w:rsidR="00910CC7" w:rsidRDefault="003F5F85">
            <w:pPr>
              <w:jc w:val="right"/>
            </w:pPr>
            <w:r>
              <w:rPr>
                <w:color w:val="000000"/>
                <w:sz w:val="24"/>
                <w:szCs w:val="24"/>
              </w:rPr>
              <w:t>1,500,000</w:t>
            </w:r>
          </w:p>
        </w:tc>
        <w:tc>
          <w:tcPr>
            <w:tcW w:w="1924" w:type="dxa"/>
            <w:vAlign w:val="center"/>
          </w:tcPr>
          <w:p w:rsidR="00910CC7" w:rsidRDefault="003F5F85">
            <w:pPr>
              <w:jc w:val="right"/>
            </w:pPr>
            <w:r>
              <w:rPr>
                <w:color w:val="000000"/>
                <w:sz w:val="24"/>
                <w:szCs w:val="24"/>
              </w:rPr>
              <w:t>5,730,000.00</w:t>
            </w:r>
          </w:p>
        </w:tc>
        <w:tc>
          <w:tcPr>
            <w:tcW w:w="1644" w:type="dxa"/>
            <w:vAlign w:val="center"/>
          </w:tcPr>
          <w:p w:rsidR="00910CC7" w:rsidRDefault="003F5F85">
            <w:pPr>
              <w:jc w:val="right"/>
            </w:pPr>
            <w:r>
              <w:rPr>
                <w:color w:val="000000"/>
                <w:sz w:val="24"/>
                <w:szCs w:val="24"/>
              </w:rPr>
              <w:t>1.78</w:t>
            </w:r>
          </w:p>
        </w:tc>
      </w:tr>
      <w:tr w:rsidR="00910CC7">
        <w:trPr>
          <w:jc w:val="center"/>
        </w:trPr>
        <w:tc>
          <w:tcPr>
            <w:tcW w:w="855" w:type="dxa"/>
            <w:vAlign w:val="center"/>
          </w:tcPr>
          <w:p w:rsidR="00910CC7" w:rsidRDefault="003F5F85">
            <w:pPr>
              <w:jc w:val="center"/>
            </w:pPr>
            <w:r>
              <w:rPr>
                <w:color w:val="000000"/>
                <w:sz w:val="24"/>
                <w:szCs w:val="24"/>
              </w:rPr>
              <w:t>6</w:t>
            </w:r>
          </w:p>
        </w:tc>
        <w:tc>
          <w:tcPr>
            <w:tcW w:w="1334" w:type="dxa"/>
            <w:vAlign w:val="center"/>
          </w:tcPr>
          <w:p w:rsidR="00910CC7" w:rsidRDefault="003F5F85">
            <w:pPr>
              <w:jc w:val="center"/>
            </w:pPr>
            <w:r>
              <w:rPr>
                <w:color w:val="000000"/>
                <w:sz w:val="24"/>
                <w:szCs w:val="24"/>
              </w:rPr>
              <w:t>601939</w:t>
            </w:r>
          </w:p>
        </w:tc>
        <w:tc>
          <w:tcPr>
            <w:tcW w:w="1777" w:type="dxa"/>
            <w:vAlign w:val="center"/>
          </w:tcPr>
          <w:p w:rsidR="00910CC7" w:rsidRDefault="003F5F85">
            <w:pPr>
              <w:jc w:val="center"/>
            </w:pPr>
            <w:r>
              <w:rPr>
                <w:color w:val="000000"/>
                <w:sz w:val="24"/>
                <w:szCs w:val="24"/>
              </w:rPr>
              <w:t>建设银行</w:t>
            </w:r>
          </w:p>
        </w:tc>
        <w:tc>
          <w:tcPr>
            <w:tcW w:w="1334" w:type="dxa"/>
            <w:vAlign w:val="center"/>
          </w:tcPr>
          <w:p w:rsidR="00910CC7" w:rsidRDefault="003F5F85">
            <w:pPr>
              <w:jc w:val="right"/>
            </w:pPr>
            <w:r>
              <w:rPr>
                <w:color w:val="000000"/>
                <w:sz w:val="24"/>
                <w:szCs w:val="24"/>
              </w:rPr>
              <w:t>700,000</w:t>
            </w:r>
          </w:p>
        </w:tc>
        <w:tc>
          <w:tcPr>
            <w:tcW w:w="1924" w:type="dxa"/>
            <w:vAlign w:val="center"/>
          </w:tcPr>
          <w:p w:rsidR="00910CC7" w:rsidRDefault="003F5F85">
            <w:pPr>
              <w:jc w:val="right"/>
            </w:pPr>
            <w:r>
              <w:rPr>
                <w:color w:val="000000"/>
                <w:sz w:val="24"/>
                <w:szCs w:val="24"/>
              </w:rPr>
              <w:t>4,879,000.00</w:t>
            </w:r>
          </w:p>
        </w:tc>
        <w:tc>
          <w:tcPr>
            <w:tcW w:w="1644" w:type="dxa"/>
            <w:vAlign w:val="center"/>
          </w:tcPr>
          <w:p w:rsidR="00910CC7" w:rsidRDefault="003F5F85">
            <w:pPr>
              <w:jc w:val="right"/>
            </w:pPr>
            <w:r>
              <w:rPr>
                <w:color w:val="000000"/>
                <w:sz w:val="24"/>
                <w:szCs w:val="24"/>
              </w:rPr>
              <w:t>1.51</w:t>
            </w:r>
          </w:p>
        </w:tc>
      </w:tr>
      <w:tr w:rsidR="00910CC7">
        <w:trPr>
          <w:jc w:val="center"/>
        </w:trPr>
        <w:tc>
          <w:tcPr>
            <w:tcW w:w="855" w:type="dxa"/>
            <w:vAlign w:val="center"/>
          </w:tcPr>
          <w:p w:rsidR="00910CC7" w:rsidRDefault="003F5F85">
            <w:pPr>
              <w:jc w:val="center"/>
            </w:pPr>
            <w:r>
              <w:rPr>
                <w:color w:val="000000"/>
                <w:sz w:val="24"/>
                <w:szCs w:val="24"/>
              </w:rPr>
              <w:t>7</w:t>
            </w:r>
          </w:p>
        </w:tc>
        <w:tc>
          <w:tcPr>
            <w:tcW w:w="1334" w:type="dxa"/>
            <w:vAlign w:val="center"/>
          </w:tcPr>
          <w:p w:rsidR="00910CC7" w:rsidRDefault="003F5F85">
            <w:pPr>
              <w:jc w:val="center"/>
            </w:pPr>
            <w:r>
              <w:rPr>
                <w:color w:val="000000"/>
                <w:sz w:val="24"/>
                <w:szCs w:val="24"/>
              </w:rPr>
              <w:t>600056</w:t>
            </w:r>
          </w:p>
        </w:tc>
        <w:tc>
          <w:tcPr>
            <w:tcW w:w="1777" w:type="dxa"/>
            <w:vAlign w:val="center"/>
          </w:tcPr>
          <w:p w:rsidR="00910CC7" w:rsidRDefault="003F5F85">
            <w:pPr>
              <w:jc w:val="center"/>
            </w:pPr>
            <w:r>
              <w:rPr>
                <w:color w:val="000000"/>
                <w:sz w:val="24"/>
                <w:szCs w:val="24"/>
              </w:rPr>
              <w:t>中国医药</w:t>
            </w:r>
          </w:p>
        </w:tc>
        <w:tc>
          <w:tcPr>
            <w:tcW w:w="1334" w:type="dxa"/>
            <w:vAlign w:val="center"/>
          </w:tcPr>
          <w:p w:rsidR="00910CC7" w:rsidRDefault="003F5F85">
            <w:pPr>
              <w:jc w:val="right"/>
            </w:pPr>
            <w:r>
              <w:rPr>
                <w:color w:val="000000"/>
                <w:sz w:val="24"/>
                <w:szCs w:val="24"/>
              </w:rPr>
              <w:t>190,000</w:t>
            </w:r>
          </w:p>
        </w:tc>
        <w:tc>
          <w:tcPr>
            <w:tcW w:w="1924" w:type="dxa"/>
            <w:vAlign w:val="center"/>
          </w:tcPr>
          <w:p w:rsidR="00910CC7" w:rsidRDefault="003F5F85">
            <w:pPr>
              <w:jc w:val="right"/>
            </w:pPr>
            <w:r>
              <w:rPr>
                <w:color w:val="000000"/>
                <w:sz w:val="24"/>
                <w:szCs w:val="24"/>
              </w:rPr>
              <w:t>4,647,400.00</w:t>
            </w:r>
          </w:p>
        </w:tc>
        <w:tc>
          <w:tcPr>
            <w:tcW w:w="1644" w:type="dxa"/>
            <w:vAlign w:val="center"/>
          </w:tcPr>
          <w:p w:rsidR="00910CC7" w:rsidRDefault="003F5F85">
            <w:pPr>
              <w:jc w:val="right"/>
            </w:pPr>
            <w:r>
              <w:rPr>
                <w:color w:val="000000"/>
                <w:sz w:val="24"/>
                <w:szCs w:val="24"/>
              </w:rPr>
              <w:t>1.44</w:t>
            </w:r>
          </w:p>
        </w:tc>
      </w:tr>
      <w:tr w:rsidR="00910CC7">
        <w:trPr>
          <w:jc w:val="center"/>
        </w:trPr>
        <w:tc>
          <w:tcPr>
            <w:tcW w:w="855" w:type="dxa"/>
            <w:vAlign w:val="center"/>
          </w:tcPr>
          <w:p w:rsidR="00910CC7" w:rsidRDefault="003F5F85">
            <w:pPr>
              <w:jc w:val="center"/>
            </w:pPr>
            <w:r>
              <w:rPr>
                <w:color w:val="000000"/>
                <w:sz w:val="24"/>
                <w:szCs w:val="24"/>
              </w:rPr>
              <w:t>8</w:t>
            </w:r>
          </w:p>
        </w:tc>
        <w:tc>
          <w:tcPr>
            <w:tcW w:w="1334" w:type="dxa"/>
            <w:vAlign w:val="center"/>
          </w:tcPr>
          <w:p w:rsidR="00910CC7" w:rsidRDefault="003F5F85">
            <w:pPr>
              <w:jc w:val="center"/>
            </w:pPr>
            <w:r>
              <w:rPr>
                <w:color w:val="000000"/>
                <w:sz w:val="24"/>
                <w:szCs w:val="24"/>
              </w:rPr>
              <w:t>600062</w:t>
            </w:r>
          </w:p>
        </w:tc>
        <w:tc>
          <w:tcPr>
            <w:tcW w:w="1777" w:type="dxa"/>
            <w:vAlign w:val="center"/>
          </w:tcPr>
          <w:p w:rsidR="00910CC7" w:rsidRDefault="003F5F85">
            <w:pPr>
              <w:jc w:val="center"/>
            </w:pPr>
            <w:proofErr w:type="gramStart"/>
            <w:r>
              <w:rPr>
                <w:color w:val="000000"/>
                <w:sz w:val="24"/>
                <w:szCs w:val="24"/>
              </w:rPr>
              <w:t>华润双鹤</w:t>
            </w:r>
            <w:proofErr w:type="gramEnd"/>
          </w:p>
        </w:tc>
        <w:tc>
          <w:tcPr>
            <w:tcW w:w="1334" w:type="dxa"/>
            <w:vAlign w:val="center"/>
          </w:tcPr>
          <w:p w:rsidR="00910CC7" w:rsidRDefault="003F5F85">
            <w:pPr>
              <w:jc w:val="right"/>
            </w:pPr>
            <w:r>
              <w:rPr>
                <w:color w:val="000000"/>
                <w:sz w:val="24"/>
                <w:szCs w:val="24"/>
              </w:rPr>
              <w:t>204,000</w:t>
            </w:r>
          </w:p>
        </w:tc>
        <w:tc>
          <w:tcPr>
            <w:tcW w:w="1924" w:type="dxa"/>
            <w:vAlign w:val="center"/>
          </w:tcPr>
          <w:p w:rsidR="00910CC7" w:rsidRDefault="003F5F85">
            <w:pPr>
              <w:jc w:val="right"/>
            </w:pPr>
            <w:r>
              <w:rPr>
                <w:color w:val="000000"/>
                <w:sz w:val="24"/>
                <w:szCs w:val="24"/>
              </w:rPr>
              <w:t>4,294,200.00</w:t>
            </w:r>
          </w:p>
        </w:tc>
        <w:tc>
          <w:tcPr>
            <w:tcW w:w="1644" w:type="dxa"/>
            <w:vAlign w:val="center"/>
          </w:tcPr>
          <w:p w:rsidR="00910CC7" w:rsidRDefault="003F5F85">
            <w:pPr>
              <w:jc w:val="right"/>
            </w:pPr>
            <w:r>
              <w:rPr>
                <w:color w:val="000000"/>
                <w:sz w:val="24"/>
                <w:szCs w:val="24"/>
              </w:rPr>
              <w:t>1.33</w:t>
            </w:r>
          </w:p>
        </w:tc>
      </w:tr>
      <w:tr w:rsidR="00910CC7">
        <w:trPr>
          <w:jc w:val="center"/>
        </w:trPr>
        <w:tc>
          <w:tcPr>
            <w:tcW w:w="855" w:type="dxa"/>
            <w:vAlign w:val="center"/>
          </w:tcPr>
          <w:p w:rsidR="00910CC7" w:rsidRDefault="003F5F85">
            <w:pPr>
              <w:jc w:val="center"/>
            </w:pPr>
            <w:r>
              <w:rPr>
                <w:color w:val="000000"/>
                <w:sz w:val="24"/>
                <w:szCs w:val="24"/>
              </w:rPr>
              <w:t>9</w:t>
            </w:r>
          </w:p>
        </w:tc>
        <w:tc>
          <w:tcPr>
            <w:tcW w:w="1334" w:type="dxa"/>
            <w:vAlign w:val="center"/>
          </w:tcPr>
          <w:p w:rsidR="00910CC7" w:rsidRDefault="003F5F85">
            <w:pPr>
              <w:jc w:val="center"/>
            </w:pPr>
            <w:r>
              <w:rPr>
                <w:color w:val="000000"/>
                <w:sz w:val="24"/>
                <w:szCs w:val="24"/>
              </w:rPr>
              <w:t>601607</w:t>
            </w:r>
          </w:p>
        </w:tc>
        <w:tc>
          <w:tcPr>
            <w:tcW w:w="1777" w:type="dxa"/>
            <w:vAlign w:val="center"/>
          </w:tcPr>
          <w:p w:rsidR="00910CC7" w:rsidRDefault="003F5F85">
            <w:pPr>
              <w:jc w:val="center"/>
            </w:pPr>
            <w:r>
              <w:rPr>
                <w:color w:val="000000"/>
                <w:sz w:val="24"/>
                <w:szCs w:val="24"/>
              </w:rPr>
              <w:t>上海医药</w:t>
            </w:r>
          </w:p>
        </w:tc>
        <w:tc>
          <w:tcPr>
            <w:tcW w:w="1334" w:type="dxa"/>
            <w:vAlign w:val="center"/>
          </w:tcPr>
          <w:p w:rsidR="00910CC7" w:rsidRDefault="003F5F85">
            <w:pPr>
              <w:jc w:val="right"/>
            </w:pPr>
            <w:r>
              <w:rPr>
                <w:color w:val="000000"/>
                <w:sz w:val="24"/>
                <w:szCs w:val="24"/>
              </w:rPr>
              <w:t>119,919</w:t>
            </w:r>
          </w:p>
        </w:tc>
        <w:tc>
          <w:tcPr>
            <w:tcW w:w="1924" w:type="dxa"/>
            <w:vAlign w:val="center"/>
          </w:tcPr>
          <w:p w:rsidR="00910CC7" w:rsidRDefault="003F5F85">
            <w:pPr>
              <w:jc w:val="right"/>
            </w:pPr>
            <w:r>
              <w:rPr>
                <w:color w:val="000000"/>
                <w:sz w:val="24"/>
                <w:szCs w:val="24"/>
              </w:rPr>
              <w:t>2,846,877.06</w:t>
            </w:r>
          </w:p>
        </w:tc>
        <w:tc>
          <w:tcPr>
            <w:tcW w:w="1644" w:type="dxa"/>
            <w:vAlign w:val="center"/>
          </w:tcPr>
          <w:p w:rsidR="00910CC7" w:rsidRDefault="003F5F85">
            <w:pPr>
              <w:jc w:val="right"/>
            </w:pPr>
            <w:r>
              <w:rPr>
                <w:color w:val="000000"/>
                <w:sz w:val="24"/>
                <w:szCs w:val="24"/>
              </w:rPr>
              <w:t>0.88</w:t>
            </w:r>
          </w:p>
        </w:tc>
      </w:tr>
      <w:tr w:rsidR="00910CC7">
        <w:trPr>
          <w:jc w:val="center"/>
        </w:trPr>
        <w:tc>
          <w:tcPr>
            <w:tcW w:w="855" w:type="dxa"/>
            <w:vAlign w:val="center"/>
          </w:tcPr>
          <w:p w:rsidR="00910CC7" w:rsidRDefault="003F5F85">
            <w:pPr>
              <w:jc w:val="center"/>
            </w:pPr>
            <w:r>
              <w:rPr>
                <w:color w:val="000000"/>
                <w:sz w:val="24"/>
                <w:szCs w:val="24"/>
              </w:rPr>
              <w:t>10</w:t>
            </w:r>
          </w:p>
        </w:tc>
        <w:tc>
          <w:tcPr>
            <w:tcW w:w="1334" w:type="dxa"/>
            <w:vAlign w:val="center"/>
          </w:tcPr>
          <w:p w:rsidR="00910CC7" w:rsidRDefault="003F5F85">
            <w:pPr>
              <w:jc w:val="center"/>
            </w:pPr>
            <w:r>
              <w:rPr>
                <w:color w:val="000000"/>
                <w:sz w:val="24"/>
                <w:szCs w:val="24"/>
              </w:rPr>
              <w:t>600329</w:t>
            </w:r>
          </w:p>
        </w:tc>
        <w:tc>
          <w:tcPr>
            <w:tcW w:w="1777" w:type="dxa"/>
            <w:vAlign w:val="center"/>
          </w:tcPr>
          <w:p w:rsidR="00910CC7" w:rsidRDefault="003F5F85">
            <w:pPr>
              <w:jc w:val="center"/>
            </w:pPr>
            <w:r>
              <w:rPr>
                <w:color w:val="000000"/>
                <w:sz w:val="24"/>
                <w:szCs w:val="24"/>
              </w:rPr>
              <w:t>中新药业</w:t>
            </w:r>
          </w:p>
        </w:tc>
        <w:tc>
          <w:tcPr>
            <w:tcW w:w="1334" w:type="dxa"/>
            <w:vAlign w:val="center"/>
          </w:tcPr>
          <w:p w:rsidR="00910CC7" w:rsidRDefault="003F5F85">
            <w:pPr>
              <w:jc w:val="right"/>
            </w:pPr>
            <w:r>
              <w:rPr>
                <w:color w:val="000000"/>
                <w:sz w:val="24"/>
                <w:szCs w:val="24"/>
              </w:rPr>
              <w:t>138,681</w:t>
            </w:r>
          </w:p>
        </w:tc>
        <w:tc>
          <w:tcPr>
            <w:tcW w:w="1924" w:type="dxa"/>
            <w:vAlign w:val="center"/>
          </w:tcPr>
          <w:p w:rsidR="00910CC7" w:rsidRDefault="003F5F85">
            <w:pPr>
              <w:jc w:val="right"/>
            </w:pPr>
            <w:r>
              <w:rPr>
                <w:color w:val="000000"/>
                <w:sz w:val="24"/>
                <w:szCs w:val="24"/>
              </w:rPr>
              <w:t>2,365,897.86</w:t>
            </w:r>
          </w:p>
        </w:tc>
        <w:tc>
          <w:tcPr>
            <w:tcW w:w="1644" w:type="dxa"/>
            <w:vAlign w:val="center"/>
          </w:tcPr>
          <w:p w:rsidR="00910CC7" w:rsidRDefault="003F5F85">
            <w:pPr>
              <w:jc w:val="right"/>
            </w:pPr>
            <w:r>
              <w:rPr>
                <w:color w:val="000000"/>
                <w:sz w:val="24"/>
                <w:szCs w:val="24"/>
              </w:rPr>
              <w:t>0.73</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58,794,000.00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18.24</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58,794,000.00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18.24</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160,148,085.10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49.68</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proofErr w:type="gramStart"/>
            <w:r w:rsidR="00963F40" w:rsidRPr="00414345">
              <w:rPr>
                <w:color w:val="000000"/>
                <w:sz w:val="24"/>
                <w:szCs w:val="24"/>
              </w:rPr>
              <w:t>券</w:t>
            </w:r>
            <w:proofErr w:type="gramEnd"/>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50,240,000.00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15.59</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269,182,085.10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83.51</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910CC7">
        <w:trPr>
          <w:jc w:val="center"/>
        </w:trPr>
        <w:tc>
          <w:tcPr>
            <w:tcW w:w="850" w:type="dxa"/>
            <w:vAlign w:val="center"/>
          </w:tcPr>
          <w:p w:rsidR="00910CC7" w:rsidRDefault="003F5F85">
            <w:pPr>
              <w:jc w:val="center"/>
            </w:pPr>
            <w:r>
              <w:rPr>
                <w:color w:val="000000"/>
                <w:sz w:val="24"/>
                <w:szCs w:val="24"/>
              </w:rPr>
              <w:t>1</w:t>
            </w:r>
          </w:p>
        </w:tc>
        <w:tc>
          <w:tcPr>
            <w:tcW w:w="1475" w:type="dxa"/>
            <w:vAlign w:val="center"/>
          </w:tcPr>
          <w:p w:rsidR="00910CC7" w:rsidRDefault="003F5F85">
            <w:pPr>
              <w:jc w:val="center"/>
            </w:pPr>
            <w:r>
              <w:rPr>
                <w:color w:val="000000"/>
                <w:sz w:val="24"/>
                <w:szCs w:val="24"/>
              </w:rPr>
              <w:t>170210</w:t>
            </w:r>
          </w:p>
        </w:tc>
        <w:tc>
          <w:tcPr>
            <w:tcW w:w="1769" w:type="dxa"/>
            <w:vAlign w:val="center"/>
          </w:tcPr>
          <w:p w:rsidR="00910CC7" w:rsidRDefault="003F5F85">
            <w:pPr>
              <w:jc w:val="center"/>
            </w:pPr>
            <w:r>
              <w:rPr>
                <w:color w:val="000000"/>
                <w:sz w:val="24"/>
                <w:szCs w:val="24"/>
              </w:rPr>
              <w:t>17</w:t>
            </w:r>
            <w:r>
              <w:rPr>
                <w:color w:val="000000"/>
                <w:sz w:val="24"/>
                <w:szCs w:val="24"/>
              </w:rPr>
              <w:t>国开</w:t>
            </w:r>
            <w:r>
              <w:rPr>
                <w:color w:val="000000"/>
                <w:sz w:val="24"/>
                <w:szCs w:val="24"/>
              </w:rPr>
              <w:t>10</w:t>
            </w:r>
          </w:p>
        </w:tc>
        <w:tc>
          <w:tcPr>
            <w:tcW w:w="1387" w:type="dxa"/>
            <w:vAlign w:val="center"/>
          </w:tcPr>
          <w:p w:rsidR="00910CC7" w:rsidRDefault="003F5F85">
            <w:pPr>
              <w:jc w:val="right"/>
            </w:pPr>
            <w:r>
              <w:rPr>
                <w:color w:val="000000"/>
                <w:sz w:val="24"/>
                <w:szCs w:val="24"/>
              </w:rPr>
              <w:t>600,000</w:t>
            </w:r>
          </w:p>
        </w:tc>
        <w:tc>
          <w:tcPr>
            <w:tcW w:w="2150" w:type="dxa"/>
            <w:vAlign w:val="center"/>
          </w:tcPr>
          <w:p w:rsidR="00910CC7" w:rsidRDefault="003F5F85">
            <w:pPr>
              <w:jc w:val="right"/>
            </w:pPr>
            <w:r>
              <w:rPr>
                <w:color w:val="000000"/>
                <w:sz w:val="24"/>
                <w:szCs w:val="24"/>
              </w:rPr>
              <w:t>58,794,000.00</w:t>
            </w:r>
          </w:p>
        </w:tc>
        <w:tc>
          <w:tcPr>
            <w:tcW w:w="1237" w:type="dxa"/>
            <w:vAlign w:val="center"/>
          </w:tcPr>
          <w:p w:rsidR="00910CC7" w:rsidRDefault="003F5F85">
            <w:pPr>
              <w:jc w:val="right"/>
            </w:pPr>
            <w:r>
              <w:rPr>
                <w:color w:val="000000"/>
                <w:sz w:val="24"/>
                <w:szCs w:val="24"/>
              </w:rPr>
              <w:t>18.24</w:t>
            </w:r>
          </w:p>
        </w:tc>
      </w:tr>
      <w:tr w:rsidR="00910CC7">
        <w:trPr>
          <w:jc w:val="center"/>
        </w:trPr>
        <w:tc>
          <w:tcPr>
            <w:tcW w:w="850" w:type="dxa"/>
            <w:vAlign w:val="center"/>
          </w:tcPr>
          <w:p w:rsidR="00910CC7" w:rsidRDefault="003F5F85">
            <w:pPr>
              <w:jc w:val="center"/>
            </w:pPr>
            <w:r>
              <w:rPr>
                <w:color w:val="000000"/>
                <w:sz w:val="24"/>
                <w:szCs w:val="24"/>
              </w:rPr>
              <w:t>2</w:t>
            </w:r>
          </w:p>
        </w:tc>
        <w:tc>
          <w:tcPr>
            <w:tcW w:w="1475" w:type="dxa"/>
            <w:vAlign w:val="center"/>
          </w:tcPr>
          <w:p w:rsidR="00910CC7" w:rsidRDefault="003F5F85">
            <w:pPr>
              <w:jc w:val="center"/>
            </w:pPr>
            <w:r>
              <w:rPr>
                <w:color w:val="000000"/>
                <w:sz w:val="24"/>
                <w:szCs w:val="24"/>
              </w:rPr>
              <w:t>011755005</w:t>
            </w:r>
          </w:p>
        </w:tc>
        <w:tc>
          <w:tcPr>
            <w:tcW w:w="1769" w:type="dxa"/>
            <w:vAlign w:val="center"/>
          </w:tcPr>
          <w:p w:rsidR="00910CC7" w:rsidRDefault="003F5F85">
            <w:pPr>
              <w:jc w:val="center"/>
            </w:pPr>
            <w:r>
              <w:rPr>
                <w:color w:val="000000"/>
                <w:sz w:val="24"/>
                <w:szCs w:val="24"/>
              </w:rPr>
              <w:t>17</w:t>
            </w:r>
            <w:proofErr w:type="gramStart"/>
            <w:r>
              <w:rPr>
                <w:color w:val="000000"/>
                <w:sz w:val="24"/>
                <w:szCs w:val="24"/>
              </w:rPr>
              <w:t>杭金投</w:t>
            </w:r>
            <w:proofErr w:type="gramEnd"/>
            <w:r>
              <w:rPr>
                <w:color w:val="000000"/>
                <w:sz w:val="24"/>
                <w:szCs w:val="24"/>
              </w:rPr>
              <w:t>SCP001</w:t>
            </w:r>
          </w:p>
        </w:tc>
        <w:tc>
          <w:tcPr>
            <w:tcW w:w="1387" w:type="dxa"/>
            <w:vAlign w:val="center"/>
          </w:tcPr>
          <w:p w:rsidR="00910CC7" w:rsidRDefault="003F5F85">
            <w:pPr>
              <w:jc w:val="right"/>
            </w:pPr>
            <w:r>
              <w:rPr>
                <w:color w:val="000000"/>
                <w:sz w:val="24"/>
                <w:szCs w:val="24"/>
              </w:rPr>
              <w:t>300,000</w:t>
            </w:r>
          </w:p>
        </w:tc>
        <w:tc>
          <w:tcPr>
            <w:tcW w:w="2150" w:type="dxa"/>
            <w:vAlign w:val="center"/>
          </w:tcPr>
          <w:p w:rsidR="00910CC7" w:rsidRDefault="003F5F85">
            <w:pPr>
              <w:jc w:val="right"/>
            </w:pPr>
            <w:r>
              <w:rPr>
                <w:color w:val="000000"/>
                <w:sz w:val="24"/>
                <w:szCs w:val="24"/>
              </w:rPr>
              <w:t>30,156,000.00</w:t>
            </w:r>
          </w:p>
        </w:tc>
        <w:tc>
          <w:tcPr>
            <w:tcW w:w="1237" w:type="dxa"/>
            <w:vAlign w:val="center"/>
          </w:tcPr>
          <w:p w:rsidR="00910CC7" w:rsidRDefault="003F5F85">
            <w:pPr>
              <w:jc w:val="right"/>
            </w:pPr>
            <w:r>
              <w:rPr>
                <w:color w:val="000000"/>
                <w:sz w:val="24"/>
                <w:szCs w:val="24"/>
              </w:rPr>
              <w:t>9.36</w:t>
            </w:r>
          </w:p>
        </w:tc>
      </w:tr>
      <w:tr w:rsidR="00910CC7">
        <w:trPr>
          <w:jc w:val="center"/>
        </w:trPr>
        <w:tc>
          <w:tcPr>
            <w:tcW w:w="850" w:type="dxa"/>
            <w:vAlign w:val="center"/>
          </w:tcPr>
          <w:p w:rsidR="00910CC7" w:rsidRDefault="003F5F85">
            <w:pPr>
              <w:jc w:val="center"/>
            </w:pPr>
            <w:r>
              <w:rPr>
                <w:color w:val="000000"/>
                <w:sz w:val="24"/>
                <w:szCs w:val="24"/>
              </w:rPr>
              <w:t>3</w:t>
            </w:r>
          </w:p>
        </w:tc>
        <w:tc>
          <w:tcPr>
            <w:tcW w:w="1475" w:type="dxa"/>
            <w:vAlign w:val="center"/>
          </w:tcPr>
          <w:p w:rsidR="00910CC7" w:rsidRDefault="003F5F85">
            <w:pPr>
              <w:jc w:val="center"/>
            </w:pPr>
            <w:r>
              <w:rPr>
                <w:color w:val="000000"/>
                <w:sz w:val="24"/>
                <w:szCs w:val="24"/>
              </w:rPr>
              <w:t>122273</w:t>
            </w:r>
          </w:p>
        </w:tc>
        <w:tc>
          <w:tcPr>
            <w:tcW w:w="1769" w:type="dxa"/>
            <w:vAlign w:val="center"/>
          </w:tcPr>
          <w:p w:rsidR="00910CC7" w:rsidRDefault="003F5F85">
            <w:pPr>
              <w:jc w:val="center"/>
            </w:pPr>
            <w:r>
              <w:rPr>
                <w:color w:val="000000"/>
                <w:sz w:val="24"/>
                <w:szCs w:val="24"/>
              </w:rPr>
              <w:t>13</w:t>
            </w:r>
            <w:r>
              <w:rPr>
                <w:color w:val="000000"/>
                <w:sz w:val="24"/>
                <w:szCs w:val="24"/>
              </w:rPr>
              <w:t>鲁金</w:t>
            </w:r>
            <w:r>
              <w:rPr>
                <w:color w:val="000000"/>
                <w:sz w:val="24"/>
                <w:szCs w:val="24"/>
              </w:rPr>
              <w:t>01</w:t>
            </w:r>
          </w:p>
        </w:tc>
        <w:tc>
          <w:tcPr>
            <w:tcW w:w="1387" w:type="dxa"/>
            <w:vAlign w:val="center"/>
          </w:tcPr>
          <w:p w:rsidR="00910CC7" w:rsidRDefault="003F5F85">
            <w:pPr>
              <w:jc w:val="right"/>
            </w:pPr>
            <w:r>
              <w:rPr>
                <w:color w:val="000000"/>
                <w:sz w:val="24"/>
                <w:szCs w:val="24"/>
              </w:rPr>
              <w:t>200,000</w:t>
            </w:r>
          </w:p>
        </w:tc>
        <w:tc>
          <w:tcPr>
            <w:tcW w:w="2150" w:type="dxa"/>
            <w:vAlign w:val="center"/>
          </w:tcPr>
          <w:p w:rsidR="00910CC7" w:rsidRDefault="003F5F85">
            <w:pPr>
              <w:jc w:val="right"/>
            </w:pPr>
            <w:r>
              <w:rPr>
                <w:color w:val="000000"/>
                <w:sz w:val="24"/>
                <w:szCs w:val="24"/>
              </w:rPr>
              <w:t>20,124,000.00</w:t>
            </w:r>
          </w:p>
        </w:tc>
        <w:tc>
          <w:tcPr>
            <w:tcW w:w="1237" w:type="dxa"/>
            <w:vAlign w:val="center"/>
          </w:tcPr>
          <w:p w:rsidR="00910CC7" w:rsidRDefault="003F5F85">
            <w:pPr>
              <w:jc w:val="right"/>
            </w:pPr>
            <w:r>
              <w:rPr>
                <w:color w:val="000000"/>
                <w:sz w:val="24"/>
                <w:szCs w:val="24"/>
              </w:rPr>
              <w:t>6.24</w:t>
            </w:r>
          </w:p>
        </w:tc>
      </w:tr>
      <w:tr w:rsidR="00910CC7">
        <w:trPr>
          <w:jc w:val="center"/>
        </w:trPr>
        <w:tc>
          <w:tcPr>
            <w:tcW w:w="850" w:type="dxa"/>
            <w:vAlign w:val="center"/>
          </w:tcPr>
          <w:p w:rsidR="00910CC7" w:rsidRDefault="003F5F85">
            <w:pPr>
              <w:jc w:val="center"/>
            </w:pPr>
            <w:r>
              <w:rPr>
                <w:color w:val="000000"/>
                <w:sz w:val="24"/>
                <w:szCs w:val="24"/>
              </w:rPr>
              <w:t>4</w:t>
            </w:r>
          </w:p>
        </w:tc>
        <w:tc>
          <w:tcPr>
            <w:tcW w:w="1475" w:type="dxa"/>
            <w:vAlign w:val="center"/>
          </w:tcPr>
          <w:p w:rsidR="00910CC7" w:rsidRDefault="003F5F85">
            <w:pPr>
              <w:jc w:val="center"/>
            </w:pPr>
            <w:r>
              <w:rPr>
                <w:color w:val="000000"/>
                <w:sz w:val="24"/>
                <w:szCs w:val="24"/>
              </w:rPr>
              <w:t>041773001</w:t>
            </w:r>
          </w:p>
        </w:tc>
        <w:tc>
          <w:tcPr>
            <w:tcW w:w="1769" w:type="dxa"/>
            <w:vAlign w:val="center"/>
          </w:tcPr>
          <w:p w:rsidR="00910CC7" w:rsidRDefault="003F5F85">
            <w:pPr>
              <w:jc w:val="center"/>
            </w:pPr>
            <w:r>
              <w:rPr>
                <w:color w:val="000000"/>
                <w:sz w:val="24"/>
                <w:szCs w:val="24"/>
              </w:rPr>
              <w:t>17</w:t>
            </w:r>
            <w:r>
              <w:rPr>
                <w:color w:val="000000"/>
                <w:sz w:val="24"/>
                <w:szCs w:val="24"/>
              </w:rPr>
              <w:t>中信重工</w:t>
            </w:r>
            <w:r>
              <w:rPr>
                <w:color w:val="000000"/>
                <w:sz w:val="24"/>
                <w:szCs w:val="24"/>
              </w:rPr>
              <w:t>CP001</w:t>
            </w:r>
          </w:p>
        </w:tc>
        <w:tc>
          <w:tcPr>
            <w:tcW w:w="1387" w:type="dxa"/>
            <w:vAlign w:val="center"/>
          </w:tcPr>
          <w:p w:rsidR="00910CC7" w:rsidRDefault="003F5F85">
            <w:pPr>
              <w:jc w:val="right"/>
            </w:pPr>
            <w:r>
              <w:rPr>
                <w:color w:val="000000"/>
                <w:sz w:val="24"/>
                <w:szCs w:val="24"/>
              </w:rPr>
              <w:t>200,000</w:t>
            </w:r>
          </w:p>
        </w:tc>
        <w:tc>
          <w:tcPr>
            <w:tcW w:w="2150" w:type="dxa"/>
            <w:vAlign w:val="center"/>
          </w:tcPr>
          <w:p w:rsidR="00910CC7" w:rsidRDefault="003F5F85">
            <w:pPr>
              <w:jc w:val="right"/>
            </w:pPr>
            <w:r>
              <w:rPr>
                <w:color w:val="000000"/>
                <w:sz w:val="24"/>
                <w:szCs w:val="24"/>
              </w:rPr>
              <w:t>20,084,000.00</w:t>
            </w:r>
          </w:p>
        </w:tc>
        <w:tc>
          <w:tcPr>
            <w:tcW w:w="1237" w:type="dxa"/>
            <w:vAlign w:val="center"/>
          </w:tcPr>
          <w:p w:rsidR="00910CC7" w:rsidRDefault="003F5F85">
            <w:pPr>
              <w:jc w:val="right"/>
            </w:pPr>
            <w:r>
              <w:rPr>
                <w:color w:val="000000"/>
                <w:sz w:val="24"/>
                <w:szCs w:val="24"/>
              </w:rPr>
              <w:t>6.23</w:t>
            </w:r>
          </w:p>
        </w:tc>
      </w:tr>
      <w:tr w:rsidR="00910CC7">
        <w:trPr>
          <w:jc w:val="center"/>
        </w:trPr>
        <w:tc>
          <w:tcPr>
            <w:tcW w:w="850" w:type="dxa"/>
            <w:vAlign w:val="center"/>
          </w:tcPr>
          <w:p w:rsidR="00910CC7" w:rsidRDefault="003F5F85">
            <w:pPr>
              <w:jc w:val="center"/>
            </w:pPr>
            <w:r>
              <w:rPr>
                <w:color w:val="000000"/>
                <w:sz w:val="24"/>
                <w:szCs w:val="24"/>
              </w:rPr>
              <w:t>5</w:t>
            </w:r>
          </w:p>
        </w:tc>
        <w:tc>
          <w:tcPr>
            <w:tcW w:w="1475" w:type="dxa"/>
            <w:vAlign w:val="center"/>
          </w:tcPr>
          <w:p w:rsidR="00910CC7" w:rsidRDefault="003F5F85">
            <w:pPr>
              <w:jc w:val="center"/>
            </w:pPr>
            <w:r>
              <w:rPr>
                <w:color w:val="000000"/>
                <w:sz w:val="24"/>
                <w:szCs w:val="24"/>
              </w:rPr>
              <w:t>136513</w:t>
            </w:r>
          </w:p>
        </w:tc>
        <w:tc>
          <w:tcPr>
            <w:tcW w:w="1769" w:type="dxa"/>
            <w:vAlign w:val="center"/>
          </w:tcPr>
          <w:p w:rsidR="00910CC7" w:rsidRDefault="003F5F85">
            <w:pPr>
              <w:jc w:val="center"/>
            </w:pPr>
            <w:r>
              <w:rPr>
                <w:color w:val="000000"/>
                <w:sz w:val="24"/>
                <w:szCs w:val="24"/>
              </w:rPr>
              <w:t>16</w:t>
            </w:r>
            <w:proofErr w:type="gramStart"/>
            <w:r>
              <w:rPr>
                <w:color w:val="000000"/>
                <w:sz w:val="24"/>
                <w:szCs w:val="24"/>
              </w:rPr>
              <w:t>电投</w:t>
            </w:r>
            <w:proofErr w:type="gramEnd"/>
            <w:r>
              <w:rPr>
                <w:color w:val="000000"/>
                <w:sz w:val="24"/>
                <w:szCs w:val="24"/>
              </w:rPr>
              <w:t>03</w:t>
            </w:r>
          </w:p>
        </w:tc>
        <w:tc>
          <w:tcPr>
            <w:tcW w:w="1387" w:type="dxa"/>
            <w:vAlign w:val="center"/>
          </w:tcPr>
          <w:p w:rsidR="00910CC7" w:rsidRDefault="003F5F85">
            <w:pPr>
              <w:jc w:val="right"/>
            </w:pPr>
            <w:r>
              <w:rPr>
                <w:color w:val="000000"/>
                <w:sz w:val="24"/>
                <w:szCs w:val="24"/>
              </w:rPr>
              <w:t>200,000</w:t>
            </w:r>
          </w:p>
        </w:tc>
        <w:tc>
          <w:tcPr>
            <w:tcW w:w="2150" w:type="dxa"/>
            <w:vAlign w:val="center"/>
          </w:tcPr>
          <w:p w:rsidR="00910CC7" w:rsidRDefault="003F5F85">
            <w:pPr>
              <w:jc w:val="right"/>
            </w:pPr>
            <w:r>
              <w:rPr>
                <w:color w:val="000000"/>
                <w:sz w:val="24"/>
                <w:szCs w:val="24"/>
              </w:rPr>
              <w:t>19,714,000.00</w:t>
            </w:r>
          </w:p>
        </w:tc>
        <w:tc>
          <w:tcPr>
            <w:tcW w:w="1237" w:type="dxa"/>
            <w:vAlign w:val="center"/>
          </w:tcPr>
          <w:p w:rsidR="00910CC7" w:rsidRDefault="003F5F85">
            <w:pPr>
              <w:jc w:val="right"/>
            </w:pPr>
            <w:r>
              <w:rPr>
                <w:color w:val="000000"/>
                <w:sz w:val="24"/>
                <w:szCs w:val="24"/>
              </w:rPr>
              <w:t>6.12</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报告期内本基金投资的前十名证券的发行主体除</w:t>
      </w:r>
      <w:r w:rsidRPr="00BE5388">
        <w:rPr>
          <w:bCs/>
          <w:color w:val="000000"/>
          <w:kern w:val="0"/>
          <w:sz w:val="24"/>
          <w:szCs w:val="24"/>
        </w:rPr>
        <w:t>15</w:t>
      </w:r>
      <w:r w:rsidRPr="00BE5388">
        <w:rPr>
          <w:bCs/>
          <w:color w:val="000000"/>
          <w:kern w:val="0"/>
          <w:sz w:val="24"/>
          <w:szCs w:val="24"/>
        </w:rPr>
        <w:t>中银债（证券代码</w:t>
      </w:r>
      <w:r w:rsidRPr="00BE5388">
        <w:rPr>
          <w:bCs/>
          <w:color w:val="000000"/>
          <w:kern w:val="0"/>
          <w:sz w:val="24"/>
          <w:szCs w:val="24"/>
        </w:rPr>
        <w:t>: 122394</w:t>
      </w:r>
      <w:r w:rsidRPr="00BE5388">
        <w:rPr>
          <w:bCs/>
          <w:color w:val="000000"/>
          <w:kern w:val="0"/>
          <w:sz w:val="24"/>
          <w:szCs w:val="24"/>
        </w:rPr>
        <w:t>）外，未出现被监管部门立案调查，或在报告编制日前一年内受到公开谴责、处罚的情形。</w:t>
      </w:r>
    </w:p>
    <w:p w:rsidR="00910CC7" w:rsidRDefault="003F5F85">
      <w:pPr>
        <w:autoSpaceDE w:val="0"/>
        <w:autoSpaceDN w:val="0"/>
        <w:adjustRightInd w:val="0"/>
        <w:spacing w:before="29" w:line="288" w:lineRule="auto"/>
        <w:jc w:val="left"/>
        <w:rPr>
          <w:bCs/>
          <w:color w:val="000000"/>
          <w:kern w:val="0"/>
          <w:sz w:val="24"/>
          <w:szCs w:val="24"/>
        </w:rPr>
      </w:pPr>
      <w:r>
        <w:rPr>
          <w:bCs/>
          <w:color w:val="000000"/>
          <w:kern w:val="0"/>
          <w:sz w:val="24"/>
          <w:szCs w:val="24"/>
        </w:rPr>
        <w:t>报告期内本基金投资的前十名证券之一</w:t>
      </w:r>
      <w:r>
        <w:rPr>
          <w:bCs/>
          <w:color w:val="000000"/>
          <w:kern w:val="0"/>
          <w:sz w:val="24"/>
          <w:szCs w:val="24"/>
        </w:rPr>
        <w:t>15</w:t>
      </w:r>
      <w:r>
        <w:rPr>
          <w:bCs/>
          <w:color w:val="000000"/>
          <w:kern w:val="0"/>
          <w:sz w:val="24"/>
          <w:szCs w:val="24"/>
        </w:rPr>
        <w:t>中银债（证券代码</w:t>
      </w:r>
      <w:r>
        <w:rPr>
          <w:bCs/>
          <w:color w:val="000000"/>
          <w:kern w:val="0"/>
          <w:sz w:val="24"/>
          <w:szCs w:val="24"/>
        </w:rPr>
        <w:t>:122394</w:t>
      </w:r>
      <w:r>
        <w:rPr>
          <w:bCs/>
          <w:color w:val="000000"/>
          <w:kern w:val="0"/>
          <w:sz w:val="24"/>
          <w:szCs w:val="24"/>
        </w:rPr>
        <w:t>）的发行主体中银国际在投资者适当性管理过程中违反了《全国中小企业股份转让系统业务规则（试行）》第</w:t>
      </w:r>
      <w:r>
        <w:rPr>
          <w:bCs/>
          <w:color w:val="000000"/>
          <w:kern w:val="0"/>
          <w:sz w:val="24"/>
          <w:szCs w:val="24"/>
        </w:rPr>
        <w:t>5.8</w:t>
      </w:r>
      <w:r>
        <w:rPr>
          <w:bCs/>
          <w:color w:val="000000"/>
          <w:kern w:val="0"/>
          <w:sz w:val="24"/>
          <w:szCs w:val="24"/>
        </w:rPr>
        <w:t>条规定，《全国中小企业股份转让系统投资者适当性管理细则（试行）》第五条、第九条、第十九条的相关规定，</w:t>
      </w:r>
      <w:r>
        <w:rPr>
          <w:bCs/>
          <w:color w:val="000000"/>
          <w:kern w:val="0"/>
          <w:sz w:val="24"/>
          <w:szCs w:val="24"/>
        </w:rPr>
        <w:t>2016</w:t>
      </w:r>
      <w:r>
        <w:rPr>
          <w:bCs/>
          <w:color w:val="000000"/>
          <w:kern w:val="0"/>
          <w:sz w:val="24"/>
          <w:szCs w:val="24"/>
        </w:rPr>
        <w:t>年</w:t>
      </w:r>
      <w:r>
        <w:rPr>
          <w:bCs/>
          <w:color w:val="000000"/>
          <w:kern w:val="0"/>
          <w:sz w:val="24"/>
          <w:szCs w:val="24"/>
        </w:rPr>
        <w:t>11</w:t>
      </w:r>
      <w:r>
        <w:rPr>
          <w:bCs/>
          <w:color w:val="000000"/>
          <w:kern w:val="0"/>
          <w:sz w:val="24"/>
          <w:szCs w:val="24"/>
        </w:rPr>
        <w:t>月</w:t>
      </w:r>
      <w:r>
        <w:rPr>
          <w:bCs/>
          <w:color w:val="000000"/>
          <w:kern w:val="0"/>
          <w:sz w:val="24"/>
          <w:szCs w:val="24"/>
        </w:rPr>
        <w:t>15</w:t>
      </w:r>
      <w:r>
        <w:rPr>
          <w:bCs/>
          <w:color w:val="000000"/>
          <w:kern w:val="0"/>
          <w:sz w:val="24"/>
          <w:szCs w:val="24"/>
        </w:rPr>
        <w:t>日全国中小企业股份转让系统有限责任公司根据《关于给予中银国际证券有限责任公司公开谴责的纪律处分的决定》（股</w:t>
      </w:r>
      <w:proofErr w:type="gramStart"/>
      <w:r>
        <w:rPr>
          <w:bCs/>
          <w:color w:val="000000"/>
          <w:kern w:val="0"/>
          <w:sz w:val="24"/>
          <w:szCs w:val="24"/>
        </w:rPr>
        <w:t>转系统</w:t>
      </w:r>
      <w:proofErr w:type="gramEnd"/>
      <w:r>
        <w:rPr>
          <w:bCs/>
          <w:color w:val="000000"/>
          <w:kern w:val="0"/>
          <w:sz w:val="24"/>
          <w:szCs w:val="24"/>
        </w:rPr>
        <w:t>发</w:t>
      </w:r>
      <w:r>
        <w:rPr>
          <w:bCs/>
          <w:color w:val="000000"/>
          <w:kern w:val="0"/>
          <w:sz w:val="24"/>
          <w:szCs w:val="24"/>
        </w:rPr>
        <w:t>[2016]373</w:t>
      </w:r>
      <w:r>
        <w:rPr>
          <w:bCs/>
          <w:color w:val="000000"/>
          <w:kern w:val="0"/>
          <w:sz w:val="24"/>
          <w:szCs w:val="24"/>
        </w:rPr>
        <w:t>号），给予中银国际公开谴责的纪律处分。</w:t>
      </w:r>
    </w:p>
    <w:p w:rsidR="00910CC7" w:rsidRDefault="003F5F85">
      <w:pPr>
        <w:autoSpaceDE w:val="0"/>
        <w:autoSpaceDN w:val="0"/>
        <w:adjustRightInd w:val="0"/>
        <w:spacing w:before="29" w:line="288" w:lineRule="auto"/>
        <w:jc w:val="left"/>
        <w:rPr>
          <w:bCs/>
          <w:color w:val="000000"/>
          <w:kern w:val="0"/>
          <w:sz w:val="24"/>
          <w:szCs w:val="24"/>
        </w:rPr>
      </w:pPr>
      <w:r>
        <w:rPr>
          <w:bCs/>
          <w:color w:val="000000"/>
          <w:kern w:val="0"/>
          <w:sz w:val="24"/>
          <w:szCs w:val="24"/>
        </w:rPr>
        <w:t>本基金管理人对该证券投资决策程序的说明如下：本基金管理人对证券投资特别是重仓</w:t>
      </w:r>
      <w:proofErr w:type="gramStart"/>
      <w:r>
        <w:rPr>
          <w:bCs/>
          <w:color w:val="000000"/>
          <w:kern w:val="0"/>
          <w:sz w:val="24"/>
          <w:szCs w:val="24"/>
        </w:rPr>
        <w:t>个券</w:t>
      </w:r>
      <w:proofErr w:type="gramEnd"/>
      <w:r>
        <w:rPr>
          <w:bCs/>
          <w:color w:val="000000"/>
          <w:kern w:val="0"/>
          <w:sz w:val="24"/>
          <w:szCs w:val="24"/>
        </w:rPr>
        <w:t>的投资有严格的投资决策流程控制。本基金在对该证券的投资也严格执行投资决策流程。在对该证券的选择上，严格执行公司</w:t>
      </w:r>
      <w:proofErr w:type="gramStart"/>
      <w:r>
        <w:rPr>
          <w:bCs/>
          <w:color w:val="000000"/>
          <w:kern w:val="0"/>
          <w:sz w:val="24"/>
          <w:szCs w:val="24"/>
        </w:rPr>
        <w:t>个券</w:t>
      </w:r>
      <w:proofErr w:type="gramEnd"/>
      <w:r>
        <w:rPr>
          <w:bCs/>
          <w:color w:val="000000"/>
          <w:kern w:val="0"/>
          <w:sz w:val="24"/>
          <w:szCs w:val="24"/>
        </w:rPr>
        <w:t>审核流程。在对该证券的持有过程中研究员密切关注债券发行主体动向。在上述处罚发生时及时分析其对投资决策的影响，经过分析认为此事件对债券发行主体财务状况、经营成果和现金流量未产生重大的实质性影响，所以不影响对该债券基本面和投资价值的判断。</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29,543.48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59,572.11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4,806,716.50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4,895,832.09</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w:t>
      </w:r>
      <w:proofErr w:type="gramStart"/>
      <w:r w:rsidR="004061AC" w:rsidRPr="00414345">
        <w:rPr>
          <w:bCs/>
          <w:color w:val="000000"/>
          <w:kern w:val="0"/>
          <w:sz w:val="24"/>
          <w:szCs w:val="24"/>
        </w:rPr>
        <w:t>期末前</w:t>
      </w:r>
      <w:proofErr w:type="gramEnd"/>
      <w:r w:rsidR="004061AC" w:rsidRPr="00414345">
        <w:rPr>
          <w:bCs/>
          <w:color w:val="000000"/>
          <w:kern w:val="0"/>
          <w:sz w:val="24"/>
          <w:szCs w:val="24"/>
        </w:rPr>
        <w:t>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w:t>
      </w:r>
      <w:proofErr w:type="gramStart"/>
      <w:r w:rsidRPr="00414345">
        <w:rPr>
          <w:color w:val="000000"/>
          <w:sz w:val="24"/>
          <w:szCs w:val="24"/>
        </w:rPr>
        <w:t>期末前</w:t>
      </w:r>
      <w:proofErr w:type="gramEnd"/>
      <w:r w:rsidRPr="00414345">
        <w:rPr>
          <w:color w:val="000000"/>
          <w:sz w:val="24"/>
          <w:szCs w:val="24"/>
        </w:rPr>
        <w:t>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w:t>
            </w:r>
            <w:proofErr w:type="gramStart"/>
            <w:r w:rsidRPr="00414345">
              <w:rPr>
                <w:color w:val="000000"/>
                <w:kern w:val="0"/>
                <w:sz w:val="24"/>
                <w:szCs w:val="24"/>
              </w:rPr>
              <w:t>初基金</w:t>
            </w:r>
            <w:proofErr w:type="gramEnd"/>
            <w:r w:rsidRPr="00414345">
              <w:rPr>
                <w:color w:val="000000"/>
                <w:kern w:val="0"/>
                <w:sz w:val="24"/>
                <w:szCs w:val="24"/>
              </w:rPr>
              <w:t>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300,044,266.71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300,044,266.71</w:t>
            </w:r>
          </w:p>
        </w:tc>
      </w:tr>
    </w:tbl>
    <w:p w:rsidR="00910CC7" w:rsidRDefault="003F5F8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3F5F85">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w:t>
      </w:r>
      <w:proofErr w:type="gramStart"/>
      <w:r w:rsidR="00ED2620" w:rsidRPr="00ED2620">
        <w:rPr>
          <w:sz w:val="24"/>
          <w:szCs w:val="24"/>
        </w:rPr>
        <w:t>固有资金</w:t>
      </w:r>
      <w:proofErr w:type="gramEnd"/>
      <w:r w:rsidR="00ED2620" w:rsidRPr="00ED2620">
        <w:rPr>
          <w:sz w:val="24"/>
          <w:szCs w:val="24"/>
        </w:rPr>
        <w:t>投资本基金情况</w:t>
      </w:r>
    </w:p>
    <w:p w:rsidR="003F5F85" w:rsidRDefault="003F5F85" w:rsidP="003F5F85">
      <w:pPr>
        <w:spacing w:line="288" w:lineRule="auto"/>
        <w:jc w:val="left"/>
        <w:rPr>
          <w:sz w:val="24"/>
          <w:szCs w:val="24"/>
        </w:rPr>
      </w:pPr>
      <w:r>
        <w:rPr>
          <w:b/>
          <w:sz w:val="24"/>
        </w:rPr>
        <w:t xml:space="preserve">7.1 </w:t>
      </w:r>
      <w:r>
        <w:rPr>
          <w:rFonts w:hint="eastAsia"/>
          <w:b/>
          <w:sz w:val="24"/>
        </w:rPr>
        <w:t>基金管理人持有本基金份额变动情况</w:t>
      </w:r>
    </w:p>
    <w:p w:rsidR="003F5F85" w:rsidRDefault="003F5F85" w:rsidP="003F5F85">
      <w:pPr>
        <w:autoSpaceDE w:val="0"/>
        <w:autoSpaceDN w:val="0"/>
        <w:adjustRightInd w:val="0"/>
        <w:spacing w:before="29" w:line="288" w:lineRule="auto"/>
        <w:jc w:val="left"/>
        <w:rPr>
          <w:rFonts w:eastAsiaTheme="minorEastAsia"/>
          <w:color w:val="000000"/>
          <w:sz w:val="24"/>
        </w:rPr>
      </w:pPr>
      <w:r>
        <w:rPr>
          <w:rFonts w:eastAsiaTheme="minorEastAsia" w:hint="eastAsia"/>
          <w:color w:val="000000"/>
          <w:sz w:val="24"/>
        </w:rPr>
        <w:t>本报告期内未发生基金管理人运用</w:t>
      </w:r>
      <w:proofErr w:type="gramStart"/>
      <w:r>
        <w:rPr>
          <w:rFonts w:eastAsiaTheme="minorEastAsia" w:hint="eastAsia"/>
          <w:color w:val="000000"/>
          <w:sz w:val="24"/>
        </w:rPr>
        <w:t>固有资金</w:t>
      </w:r>
      <w:proofErr w:type="gramEnd"/>
      <w:r>
        <w:rPr>
          <w:rFonts w:eastAsiaTheme="minorEastAsia" w:hint="eastAsia"/>
          <w:color w:val="000000"/>
          <w:sz w:val="24"/>
        </w:rPr>
        <w:t>投资本基金的情况。</w:t>
      </w:r>
    </w:p>
    <w:p w:rsidR="003F5F85" w:rsidRDefault="003F5F85" w:rsidP="003F5F85">
      <w:pPr>
        <w:autoSpaceDE w:val="0"/>
        <w:autoSpaceDN w:val="0"/>
        <w:adjustRightInd w:val="0"/>
        <w:spacing w:before="29" w:line="288" w:lineRule="auto"/>
        <w:jc w:val="left"/>
        <w:rPr>
          <w:rFonts w:eastAsiaTheme="minorEastAsia"/>
          <w:color w:val="000000"/>
          <w:sz w:val="24"/>
        </w:rPr>
      </w:pPr>
    </w:p>
    <w:p w:rsidR="003F5F85" w:rsidRDefault="003F5F85" w:rsidP="003F5F85">
      <w:pPr>
        <w:spacing w:line="288" w:lineRule="auto"/>
        <w:jc w:val="left"/>
        <w:rPr>
          <w:b/>
          <w:sz w:val="24"/>
        </w:rPr>
      </w:pPr>
      <w:r>
        <w:rPr>
          <w:b/>
          <w:sz w:val="24"/>
        </w:rPr>
        <w:t>7.2</w:t>
      </w:r>
      <w:r>
        <w:rPr>
          <w:rFonts w:hint="eastAsia"/>
          <w:b/>
          <w:sz w:val="24"/>
        </w:rPr>
        <w:t>基金管理人运用</w:t>
      </w:r>
      <w:proofErr w:type="gramStart"/>
      <w:r>
        <w:rPr>
          <w:rFonts w:hint="eastAsia"/>
          <w:b/>
          <w:sz w:val="24"/>
        </w:rPr>
        <w:t>固有资金</w:t>
      </w:r>
      <w:proofErr w:type="gramEnd"/>
      <w:r>
        <w:rPr>
          <w:rFonts w:hint="eastAsia"/>
          <w:b/>
          <w:sz w:val="24"/>
        </w:rPr>
        <w:t>投资本基金交易明细</w:t>
      </w:r>
    </w:p>
    <w:p w:rsidR="003F5F85" w:rsidRDefault="003F5F85" w:rsidP="003F5F85">
      <w:pPr>
        <w:autoSpaceDE w:val="0"/>
        <w:autoSpaceDN w:val="0"/>
        <w:adjustRightInd w:val="0"/>
        <w:spacing w:before="29" w:line="288" w:lineRule="auto"/>
        <w:jc w:val="left"/>
        <w:rPr>
          <w:color w:val="000000"/>
          <w:sz w:val="24"/>
        </w:rPr>
      </w:pPr>
      <w:r>
        <w:rPr>
          <w:rFonts w:hint="eastAsia"/>
          <w:color w:val="000000"/>
          <w:sz w:val="24"/>
        </w:rPr>
        <w:t>本基金管理人本报告期内未进行本基金的申购、赎回、红利再投等。</w:t>
      </w:r>
    </w:p>
    <w:p w:rsidR="003F5F85" w:rsidRDefault="003F5F85" w:rsidP="003F5F85">
      <w:pPr>
        <w:autoSpaceDE w:val="0"/>
        <w:autoSpaceDN w:val="0"/>
        <w:adjustRightInd w:val="0"/>
        <w:spacing w:before="29" w:line="288" w:lineRule="auto"/>
        <w:jc w:val="left"/>
        <w:rPr>
          <w:color w:val="000000"/>
          <w:sz w:val="24"/>
        </w:rPr>
      </w:pP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3F5F85">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lastRenderedPageBreak/>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bCs/>
          <w:color w:val="000000"/>
          <w:kern w:val="0"/>
          <w:sz w:val="24"/>
          <w:szCs w:val="24"/>
        </w:rPr>
        <w:t>8.</w:t>
      </w:r>
      <w:r w:rsidRPr="009A5C99">
        <w:rPr>
          <w:rFonts w:ascii="宋体" w:hAnsi="宋体" w:hint="eastAsia"/>
          <w:b/>
          <w:bCs/>
          <w:color w:val="000000"/>
          <w:kern w:val="0"/>
          <w:sz w:val="24"/>
          <w:szCs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4F4D27" w:rsidTr="00424D30">
        <w:tc>
          <w:tcPr>
            <w:tcW w:w="993" w:type="dxa"/>
            <w:vMerge w:val="restart"/>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xml:space="preserve">  </w:t>
            </w:r>
          </w:p>
        </w:tc>
        <w:tc>
          <w:tcPr>
            <w:tcW w:w="5670" w:type="dxa"/>
            <w:gridSpan w:val="5"/>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w="2549" w:type="dxa"/>
            <w:gridSpan w:val="2"/>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w="993" w:type="dxa"/>
            <w:vMerge/>
            <w:vAlign w:val="center"/>
          </w:tcPr>
          <w:p w:rsidR="003C50AD" w:rsidRPr="004F4D27" w:rsidRDefault="003C50AD" w:rsidP="00424D30">
            <w:pPr>
              <w:autoSpaceDE w:val="0"/>
              <w:autoSpaceDN w:val="0"/>
              <w:adjustRightInd w:val="0"/>
              <w:jc w:val="center"/>
              <w:rPr>
                <w:rFonts w:ascii="宋体" w:hAnsi="宋体"/>
                <w:b/>
                <w:bCs/>
                <w:color w:val="000000"/>
                <w:kern w:val="0"/>
              </w:rPr>
            </w:pPr>
          </w:p>
        </w:tc>
        <w:tc>
          <w:tcPr>
            <w:tcW w:w="992"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w="1843"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w="851"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期初份额</w:t>
            </w:r>
          </w:p>
        </w:tc>
        <w:tc>
          <w:tcPr>
            <w:tcW w:w="850"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申购份额</w:t>
            </w:r>
          </w:p>
        </w:tc>
        <w:tc>
          <w:tcPr>
            <w:tcW w:w="1134"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赎回份额</w:t>
            </w:r>
          </w:p>
        </w:tc>
        <w:tc>
          <w:tcPr>
            <w:tcW w:w="1419"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w="1130"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rsidR="00910CC7">
        <w:tc>
          <w:tcPr>
            <w:tcW w:w="993" w:type="dxa"/>
            <w:vMerge w:val="restart"/>
          </w:tcPr>
          <w:p w:rsidR="00910CC7" w:rsidRDefault="00910CC7"/>
          <w:p w:rsidR="00910CC7" w:rsidRDefault="003F5F85">
            <w:r>
              <w:rPr>
                <w:rFonts w:ascii="宋体" w:hAnsi="宋体" w:hint="eastAsia"/>
                <w:bCs/>
                <w:color w:val="000000"/>
                <w:kern w:val="0"/>
              </w:rPr>
              <w:t>机构</w:t>
            </w:r>
          </w:p>
        </w:tc>
        <w:tc>
          <w:tcPr>
            <w:tcW w:w="992" w:type="dxa"/>
            <w:vAlign w:val="center"/>
          </w:tcPr>
          <w:p w:rsidR="00910CC7" w:rsidRDefault="003F5F85">
            <w:pPr>
              <w:jc w:val="center"/>
            </w:pPr>
            <w:r>
              <w:rPr>
                <w:rFonts w:ascii="宋体" w:hAnsi="宋体"/>
                <w:color w:val="000000"/>
                <w:kern w:val="0"/>
              </w:rPr>
              <w:t>1</w:t>
            </w:r>
          </w:p>
        </w:tc>
        <w:tc>
          <w:tcPr>
            <w:tcW w:w="1843" w:type="dxa"/>
            <w:vAlign w:val="center"/>
          </w:tcPr>
          <w:p w:rsidR="00910CC7" w:rsidRDefault="003F5F85">
            <w:pPr>
              <w:jc w:val="center"/>
            </w:pPr>
            <w:r>
              <w:rPr>
                <w:rFonts w:ascii="宋体" w:hAnsi="宋体"/>
                <w:color w:val="000000"/>
                <w:kern w:val="0"/>
              </w:rPr>
              <w:t>2017/7/1-2017/9/30</w:t>
            </w:r>
          </w:p>
        </w:tc>
        <w:tc>
          <w:tcPr>
            <w:tcW w:w="851" w:type="dxa"/>
            <w:vAlign w:val="center"/>
          </w:tcPr>
          <w:p w:rsidR="00910CC7" w:rsidRDefault="003F5F85">
            <w:pPr>
              <w:jc w:val="center"/>
            </w:pPr>
            <w:r>
              <w:rPr>
                <w:rFonts w:ascii="宋体" w:hAnsi="宋体"/>
                <w:color w:val="000000"/>
                <w:kern w:val="0"/>
              </w:rPr>
              <w:t>300,039,500.00</w:t>
            </w:r>
          </w:p>
        </w:tc>
        <w:tc>
          <w:tcPr>
            <w:tcW w:w="850" w:type="dxa"/>
            <w:vAlign w:val="center"/>
          </w:tcPr>
          <w:p w:rsidR="00910CC7" w:rsidRDefault="003F5F85">
            <w:pPr>
              <w:jc w:val="center"/>
            </w:pPr>
            <w:r>
              <w:rPr>
                <w:rFonts w:ascii="宋体" w:hAnsi="宋体"/>
                <w:color w:val="000000"/>
                <w:kern w:val="0"/>
              </w:rPr>
              <w:t>-</w:t>
            </w:r>
          </w:p>
        </w:tc>
        <w:tc>
          <w:tcPr>
            <w:tcW w:w="1134" w:type="dxa"/>
            <w:vAlign w:val="center"/>
          </w:tcPr>
          <w:p w:rsidR="00910CC7" w:rsidRDefault="003F5F85">
            <w:pPr>
              <w:jc w:val="center"/>
            </w:pPr>
            <w:r>
              <w:rPr>
                <w:rFonts w:ascii="宋体" w:hAnsi="宋体"/>
                <w:color w:val="000000"/>
                <w:kern w:val="0"/>
              </w:rPr>
              <w:t>-</w:t>
            </w:r>
          </w:p>
        </w:tc>
        <w:tc>
          <w:tcPr>
            <w:tcW w:w="1419" w:type="dxa"/>
            <w:vAlign w:val="center"/>
          </w:tcPr>
          <w:p w:rsidR="00910CC7" w:rsidRDefault="003F5F85">
            <w:pPr>
              <w:jc w:val="center"/>
            </w:pPr>
            <w:r>
              <w:rPr>
                <w:rFonts w:ascii="宋体" w:hAnsi="宋体"/>
                <w:color w:val="000000"/>
                <w:kern w:val="0"/>
              </w:rPr>
              <w:t>300,039,500.00</w:t>
            </w:r>
          </w:p>
        </w:tc>
        <w:tc>
          <w:tcPr>
            <w:tcW w:w="1130" w:type="dxa"/>
            <w:vAlign w:val="center"/>
          </w:tcPr>
          <w:p w:rsidR="00910CC7" w:rsidRDefault="003F5F85">
            <w:pPr>
              <w:jc w:val="center"/>
            </w:pPr>
            <w:r>
              <w:rPr>
                <w:rFonts w:ascii="宋体" w:hAnsi="宋体"/>
                <w:color w:val="000000"/>
                <w:kern w:val="0"/>
              </w:rPr>
              <w:t>100.00%</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center"/>
              <w:rPr>
                <w:rFonts w:ascii="宋体" w:hAnsi="宋体"/>
                <w:kern w:val="0"/>
              </w:rPr>
            </w:pPr>
            <w:r w:rsidRPr="004F4D27">
              <w:rPr>
                <w:rFonts w:ascii="宋体" w:hAnsi="宋体"/>
                <w:color w:val="000000"/>
                <w:kern w:val="0"/>
              </w:rPr>
              <w:t>产品特有风险</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left"/>
              <w:rPr>
                <w:rFonts w:ascii="宋体" w:hAnsi="宋体"/>
                <w:kern w:val="0"/>
              </w:rPr>
            </w:pP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B22DEE" w:rsidRPr="00E02660" w:rsidRDefault="004061AC" w:rsidP="003F5F85">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910CC7" w:rsidRDefault="003F5F85">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、中国证监会准予交银施罗德瑞景定期开放灵活配置混合型证券投资基金募集注册的文件；</w:t>
      </w:r>
      <w:r>
        <w:rPr>
          <w:color w:val="000000"/>
          <w:sz w:val="24"/>
          <w:szCs w:val="24"/>
        </w:rPr>
        <w:t xml:space="preserve"> </w:t>
      </w:r>
    </w:p>
    <w:p w:rsidR="00910CC7" w:rsidRDefault="003F5F85">
      <w:pPr>
        <w:spacing w:before="29" w:line="288" w:lineRule="auto"/>
        <w:ind w:firstLineChars="200" w:firstLine="480"/>
        <w:rPr>
          <w:color w:val="000000"/>
          <w:sz w:val="24"/>
          <w:szCs w:val="24"/>
        </w:rPr>
      </w:pPr>
      <w:r>
        <w:rPr>
          <w:color w:val="000000"/>
          <w:sz w:val="24"/>
          <w:szCs w:val="24"/>
        </w:rPr>
        <w:t>2</w:t>
      </w:r>
      <w:r>
        <w:rPr>
          <w:color w:val="000000"/>
          <w:sz w:val="24"/>
          <w:szCs w:val="24"/>
        </w:rPr>
        <w:t>、《交银施罗德瑞景定期开放灵活配置混合型证券投资基金基金合同》；</w:t>
      </w:r>
      <w:r>
        <w:rPr>
          <w:color w:val="000000"/>
          <w:sz w:val="24"/>
          <w:szCs w:val="24"/>
        </w:rPr>
        <w:t xml:space="preserve"> </w:t>
      </w:r>
    </w:p>
    <w:p w:rsidR="00910CC7" w:rsidRDefault="003F5F85">
      <w:pPr>
        <w:spacing w:before="29" w:line="288" w:lineRule="auto"/>
        <w:ind w:firstLineChars="200" w:firstLine="480"/>
        <w:rPr>
          <w:color w:val="000000"/>
          <w:sz w:val="24"/>
          <w:szCs w:val="24"/>
        </w:rPr>
      </w:pPr>
      <w:r>
        <w:rPr>
          <w:color w:val="000000"/>
          <w:sz w:val="24"/>
          <w:szCs w:val="24"/>
        </w:rPr>
        <w:t>3</w:t>
      </w:r>
      <w:r>
        <w:rPr>
          <w:color w:val="000000"/>
          <w:sz w:val="24"/>
          <w:szCs w:val="24"/>
        </w:rPr>
        <w:t>、《交银施罗德瑞景定期开放灵活配置混合型证券投资基金招募说明书》；</w:t>
      </w:r>
      <w:r>
        <w:rPr>
          <w:color w:val="000000"/>
          <w:sz w:val="24"/>
          <w:szCs w:val="24"/>
        </w:rPr>
        <w:t xml:space="preserve"> </w:t>
      </w:r>
    </w:p>
    <w:p w:rsidR="00910CC7" w:rsidRDefault="003F5F85">
      <w:pPr>
        <w:spacing w:before="29" w:line="288" w:lineRule="auto"/>
        <w:ind w:firstLineChars="200" w:firstLine="480"/>
        <w:rPr>
          <w:color w:val="000000"/>
          <w:sz w:val="24"/>
          <w:szCs w:val="24"/>
        </w:rPr>
      </w:pPr>
      <w:r>
        <w:rPr>
          <w:color w:val="000000"/>
          <w:sz w:val="24"/>
          <w:szCs w:val="24"/>
        </w:rPr>
        <w:t>4</w:t>
      </w:r>
      <w:r>
        <w:rPr>
          <w:color w:val="000000"/>
          <w:sz w:val="24"/>
          <w:szCs w:val="24"/>
        </w:rPr>
        <w:t>、《交银施罗德瑞景定期开放灵活配置混合型证券投资基金托管协议》；</w:t>
      </w:r>
      <w:r>
        <w:rPr>
          <w:color w:val="000000"/>
          <w:sz w:val="24"/>
          <w:szCs w:val="24"/>
        </w:rPr>
        <w:t xml:space="preserve"> </w:t>
      </w:r>
    </w:p>
    <w:p w:rsidR="00910CC7" w:rsidRDefault="003F5F85">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、关于申请募集注册交银施罗德瑞景定期开放灵活配置混合型证券投资基金的法律意见书；</w:t>
      </w:r>
      <w:r>
        <w:rPr>
          <w:color w:val="000000"/>
          <w:sz w:val="24"/>
          <w:szCs w:val="24"/>
        </w:rPr>
        <w:t xml:space="preserve"> </w:t>
      </w:r>
    </w:p>
    <w:p w:rsidR="00910CC7" w:rsidRDefault="003F5F85">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910CC7" w:rsidRDefault="003F5F85">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、报告期内交银施罗德瑞景定期开放灵活配置混合型证券投资基金在指定报刊上各项公告的原稿。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910CC7" w:rsidRDefault="003F5F85">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lastRenderedPageBreak/>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A33" w:rsidRDefault="005A0A33" w:rsidP="00876D65">
      <w:r>
        <w:separator/>
      </w:r>
    </w:p>
  </w:endnote>
  <w:endnote w:type="continuationSeparator" w:id="0">
    <w:p w:rsidR="005A0A33" w:rsidRDefault="005A0A33"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910CC7">
      <w:rPr>
        <w:kern w:val="0"/>
        <w:szCs w:val="21"/>
      </w:rPr>
      <w:fldChar w:fldCharType="begin"/>
    </w:r>
    <w:r>
      <w:rPr>
        <w:kern w:val="0"/>
        <w:szCs w:val="21"/>
      </w:rPr>
      <w:instrText xml:space="preserve"> PAGE </w:instrText>
    </w:r>
    <w:r w:rsidR="00910CC7">
      <w:rPr>
        <w:kern w:val="0"/>
        <w:szCs w:val="21"/>
      </w:rPr>
      <w:fldChar w:fldCharType="separate"/>
    </w:r>
    <w:r w:rsidR="00003966">
      <w:rPr>
        <w:noProof/>
        <w:kern w:val="0"/>
        <w:szCs w:val="21"/>
      </w:rPr>
      <w:t>14</w:t>
    </w:r>
    <w:r w:rsidR="00910CC7">
      <w:rPr>
        <w:kern w:val="0"/>
        <w:szCs w:val="21"/>
      </w:rPr>
      <w:fldChar w:fldCharType="end"/>
    </w:r>
    <w:proofErr w:type="gramStart"/>
    <w:r>
      <w:rPr>
        <w:rFonts w:hint="eastAsia"/>
        <w:kern w:val="0"/>
        <w:szCs w:val="21"/>
      </w:rPr>
      <w:t>页共</w:t>
    </w:r>
    <w:proofErr w:type="gramEnd"/>
    <w:r w:rsidR="00910CC7">
      <w:rPr>
        <w:kern w:val="0"/>
        <w:szCs w:val="21"/>
      </w:rPr>
      <w:fldChar w:fldCharType="begin"/>
    </w:r>
    <w:r>
      <w:rPr>
        <w:kern w:val="0"/>
        <w:szCs w:val="21"/>
      </w:rPr>
      <w:instrText xml:space="preserve"> NUMPAGES </w:instrText>
    </w:r>
    <w:r w:rsidR="00910CC7">
      <w:rPr>
        <w:kern w:val="0"/>
        <w:szCs w:val="21"/>
      </w:rPr>
      <w:fldChar w:fldCharType="separate"/>
    </w:r>
    <w:r w:rsidR="00003966">
      <w:rPr>
        <w:noProof/>
        <w:kern w:val="0"/>
        <w:szCs w:val="21"/>
      </w:rPr>
      <w:t>14</w:t>
    </w:r>
    <w:r w:rsidR="00910CC7">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A33" w:rsidRDefault="005A0A33" w:rsidP="00876D65">
      <w:r>
        <w:separator/>
      </w:r>
    </w:p>
  </w:footnote>
  <w:footnote w:type="continuationSeparator" w:id="0">
    <w:p w:rsidR="005A0A33" w:rsidRDefault="005A0A33"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3966"/>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50AD"/>
    <w:rsid w:val="003D742E"/>
    <w:rsid w:val="003E62FB"/>
    <w:rsid w:val="003E6867"/>
    <w:rsid w:val="003F09B5"/>
    <w:rsid w:val="003F1ECB"/>
    <w:rsid w:val="003F39DF"/>
    <w:rsid w:val="003F5F85"/>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96808"/>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A33"/>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2837"/>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10CC7"/>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3600"/>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04BE1"/>
    <w:rsid w:val="00E215BA"/>
    <w:rsid w:val="00E36549"/>
    <w:rsid w:val="00E40D31"/>
    <w:rsid w:val="00E41260"/>
    <w:rsid w:val="00E44E18"/>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7FB1B585-A726-41DD-B465-BEBABF68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972056465">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7AD9C-9265-41EF-9CBA-8251E799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14</Pages>
  <Words>1177</Words>
  <Characters>6709</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570</cp:revision>
  <dcterms:created xsi:type="dcterms:W3CDTF">2012-10-16T06:07:00Z</dcterms:created>
  <dcterms:modified xsi:type="dcterms:W3CDTF">2017-10-23T09:22:00Z</dcterms:modified>
</cp:coreProperties>
</file>