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交银施罗德瑞鑫定期开放灵活配置混合型证券投资基金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2017年第3季度报告</w:t>
      </w:r>
    </w:p>
    <w:p w:rsidR="004061AC" w:rsidRPr="0081286B" w:rsidRDefault="00655CD8" w:rsidP="00C15CAC">
      <w:pPr>
        <w:spacing w:before="29" w:line="288" w:lineRule="auto"/>
        <w:jc w:val="center"/>
        <w:rPr>
          <w:b/>
          <w:sz w:val="36"/>
          <w:szCs w:val="36"/>
        </w:rPr>
      </w:pPr>
      <w:r w:rsidRPr="0081286B">
        <w:rPr>
          <w:b/>
          <w:sz w:val="36"/>
          <w:szCs w:val="36"/>
        </w:rPr>
        <w:t>2017年9月30日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w:t>
      </w:r>
      <w:r w:rsidRPr="0081286B">
        <w:rPr>
          <w:b/>
          <w:color w:val="000000"/>
          <w:sz w:val="24"/>
          <w:szCs w:val="24"/>
        </w:rPr>
        <w:t>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二〇一七年十月二十五日</w:t>
      </w:r>
    </w:p>
    <w:p w:rsidR="004061AC" w:rsidRPr="00414345" w:rsidRDefault="004061AC" w:rsidP="00EE49FE">
      <w:pPr>
        <w:pStyle w:val="1"/>
        <w:spacing w:beforeLines="100" w:after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Chars="200" w:firstLine="48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Chars="200" w:firstLine="480"/>
        <w:rPr>
          <w:color w:val="000000"/>
          <w:sz w:val="24"/>
          <w:szCs w:val="24"/>
        </w:rPr>
      </w:pPr>
      <w:r>
        <w:rPr>
          <w:color w:val="000000"/>
          <w:sz w:val="24"/>
          <w:szCs w:val="24"/>
        </w:rPr>
        <w:t xml:space="preserve">基金托管人招商银行股份有限公司根据本基金合同规定，于2017年10月24日复核了本报告中的财务指标、净值表现和投资组合报告等内容，保证复核内容不存在虚假记载、误导性陈述或者重大遗漏。 </w:t>
      </w:r>
    </w:p>
    <w:p>
      <w:pPr>
        <w:spacing w:before="29" w:line="288" w:lineRule="auto"/>
        <w:ind w:firstLineChars="200" w:firstLine="48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Chars="200" w:firstLine="48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本报告期自2017年7月1日起至9月30日止。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交银瑞鑫定期开放灵活配置混合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003900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gridSpan w:val="2"/>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003900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2016年12月14日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300,022,732.19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本基金在控制风险的前提下，力争为投资者提供长期稳健的投资回报。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50%×沪深300指数收益率+50%×中债综合全价指数收益率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2706"/>
        <w:gridCol w:w="2555"/>
      </w:tblGrid>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w="4962" w:type="dxa"/>
            <w:hMerge w:val="restart"/>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(2017年7月1日-2017年9月30日)</w:t>
            </w:r>
          </w:p>
        </w:tc>
        <w:tc>
          <w:tcPr>
            <w:tcW w:w="2410" w:type="dxa"/>
            <w:hMerge/>
            <w:vAlign w:val="center"/>
          </w:tcPr>
          <w:p w:rsidR="00C21520" w:rsidRPr="00414345" w:rsidRDefault="00C21520" w:rsidP="00C15CAC">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5,527,207.14</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8,049,841.25</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0.0268</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322,058,013.43</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1.0734</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R="004061AC" w:rsidRPr="00414345" w:rsidRDefault="00A5612C"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2.56%</w:t>
            </w:r>
          </w:p>
        </w:tc>
        <w:tc>
          <w:tcPr>
            <w:vAlign w:val="center"/>
          </w:tcPr>
          <w:p>
            <w:pPr>
              <w:jc w:val="center"/>
            </w:pPr>
            <w:r>
              <w:rPr>
                <w:color w:val="000000"/>
                <w:sz w:val="24"/>
                <w:szCs w:val="24"/>
              </w:rPr>
              <w:t>0.13%</w:t>
            </w:r>
          </w:p>
        </w:tc>
        <w:tc>
          <w:tcPr>
            <w:vAlign w:val="center"/>
          </w:tcPr>
          <w:p>
            <w:pPr>
              <w:jc w:val="center"/>
            </w:pPr>
            <w:r>
              <w:rPr>
                <w:color w:val="000000"/>
                <w:sz w:val="24"/>
                <w:szCs w:val="24"/>
              </w:rPr>
              <w:t>2.24%</w:t>
            </w:r>
          </w:p>
        </w:tc>
        <w:tc>
          <w:tcPr>
            <w:vAlign w:val="center"/>
          </w:tcPr>
          <w:p>
            <w:pPr>
              <w:jc w:val="center"/>
            </w:pPr>
            <w:r>
              <w:rPr>
                <w:color w:val="000000"/>
                <w:sz w:val="24"/>
                <w:szCs w:val="24"/>
              </w:rPr>
              <w:t>0.29%</w:t>
            </w:r>
          </w:p>
        </w:tc>
        <w:tc>
          <w:tcPr>
            <w:vAlign w:val="center"/>
          </w:tcPr>
          <w:p>
            <w:pPr>
              <w:jc w:val="center"/>
            </w:pPr>
            <w:r>
              <w:rPr>
                <w:color w:val="000000"/>
                <w:sz w:val="24"/>
                <w:szCs w:val="24"/>
              </w:rPr>
              <w:t>0.32%</w:t>
            </w:r>
          </w:p>
        </w:tc>
        <w:tc>
          <w:tcPr>
            <w:vAlign w:val="center"/>
          </w:tcPr>
          <w:p>
            <w:pPr>
              <w:jc w:val="center"/>
            </w:pPr>
            <w:r>
              <w:rPr>
                <w:color w:val="000000"/>
                <w:sz w:val="24"/>
                <w:szCs w:val="24"/>
              </w:rPr>
              <w:t>-0.16%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交银施罗德瑞鑫定期开放灵活配置混合型证券投资基金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2016年12月14日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2017年9月30日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1C79F2"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基金合同生效日为2016年12月14日，基金合同生效日至报告期期末，本基金运作时间未满一年。本基金建仓期为自基金合同生效日起的6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tc>
          <w:tcPr>
            <w:vAlign w:val="center"/>
          </w:tcPr>
          <w:p>
            <w:pPr>
              <w:jc w:val="center"/>
            </w:pPr>
            <w:r>
              <w:rPr>
                <w:color w:val="000000"/>
                <w:sz w:val="24"/>
                <w:szCs w:val="24"/>
              </w:rPr>
              <w:t>李娜</w:t>
            </w:r>
          </w:p>
        </w:tc>
        <w:tc>
          <w:tcPr>
            <w:vAlign w:val="center"/>
          </w:tcPr>
          <w:p>
            <w:pPr>
              <w:jc w:val="center"/>
            </w:pPr>
            <w:r>
              <w:rPr>
                <w:color w:val="000000"/>
                <w:sz w:val="24"/>
                <w:szCs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交银瑞安定期开放灵活配置混合的基金经理</w:t>
            </w:r>
          </w:p>
        </w:tc>
        <w:tc>
          <w:tcPr>
            <w:vAlign w:val="center"/>
          </w:tcPr>
          <w:p>
            <w:pPr>
              <w:jc w:val="center"/>
            </w:pPr>
            <w:r>
              <w:rPr>
                <w:color w:val="000000"/>
                <w:sz w:val="24"/>
                <w:szCs w:val="24"/>
              </w:rPr>
              <w:t>2016-12-14</w:t>
            </w:r>
          </w:p>
        </w:tc>
        <w:tc>
          <w:tcPr>
            <w:vAlign w:val="center"/>
          </w:tcPr>
          <w:p>
            <w:pPr>
              <w:jc w:val="center"/>
            </w:pPr>
            <w:r>
              <w:rPr>
                <w:color w:val="000000"/>
                <w:sz w:val="24"/>
                <w:szCs w:val="24"/>
              </w:rPr>
              <w:t>-</w:t>
            </w:r>
          </w:p>
        </w:tc>
        <w:tc>
          <w:tcPr>
            <w:vAlign w:val="center"/>
          </w:tcPr>
          <w:p>
            <w:pPr>
              <w:jc w:val="center"/>
            </w:pPr>
            <w:r>
              <w:rPr>
                <w:color w:val="000000"/>
                <w:sz w:val="24"/>
                <w:szCs w:val="24"/>
              </w:rPr>
              <w:t>7年</w:t>
            </w:r>
          </w:p>
        </w:tc>
        <w:tc>
          <w:tcPr>
            <w:vAlign w:val="center"/>
          </w:tcPr>
          <w:p>
            <w:pPr>
              <w:jc w:val="both"/>
            </w:pPr>
            <w:r>
              <w:rPr>
                <w:color w:val="000000"/>
                <w:sz w:val="24"/>
                <w:szCs w:val="24"/>
              </w:rPr>
              <w:t>李娜女士，美国宾夕法尼亚大学应用数学与计算科学硕士。历任国泰基金管理有限公司研究员。2012年加入交银施罗德基金管理有限公司，历任债券分析师、基金经理助理。</w:t>
            </w:r>
          </w:p>
        </w:tc>
      </w:tr>
    </w:tbl>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Chars="200" w:firstLine="480"/>
        <w:rPr>
          <w:color w:val="000000"/>
          <w:sz w:val="24"/>
          <w:szCs w:val="24"/>
        </w:rPr>
      </w:pPr>
      <w:r>
        <w:rPr>
          <w:color w:val="000000"/>
          <w:sz w:val="24"/>
          <w:szCs w:val="24"/>
        </w:rPr>
        <w:t>本报告期内，部分经济增长数据呈现小幅回落，通胀数据温和上升，货币政策保持稳健中性，银行间流动性结构性分层进一步分化，季节性特征凸显，整体资金中枢略微上移。股票市场受中报业绩改善、商品价格上涨等因素的拉动，风险偏好回升，呈现分化上行的走势后略有调整，同期债券收益率上行后亦有回落，其中流动性季节性收紧、大宗商品价格上涨带动通胀预期、经济数据回落的判断有待确认、美联储开启缩表预期等因素成为债券市场收益率变动的主要原因。报告期内，上证综指和创业板指分别上涨4.90%和2.69%，10年期国债收益率上行5BP至3.61%，10年期国开债收益率上行1BP到4.19%。</w:t>
      </w:r>
    </w:p>
    <w:p>
      <w:pPr>
        <w:spacing w:before="29" w:line="288" w:lineRule="auto"/>
        <w:ind w:firstLineChars="200" w:firstLine="480"/>
        <w:rPr>
          <w:color w:val="000000"/>
          <w:sz w:val="24"/>
          <w:szCs w:val="24"/>
        </w:rPr>
      </w:pPr>
      <w:r>
        <w:rPr>
          <w:color w:val="000000"/>
          <w:sz w:val="24"/>
          <w:szCs w:val="24"/>
        </w:rPr>
        <w:t>策略层面，本基金重点关注短久期信用债以及同业存单的配置价值，保持组合流动性，积极关注新股及转债发行动态，进行权益和转债一级市场投资，同时也关注二级市场的投资机会，从各方面争取为持有人赚取回报。</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基本面下行的预期有待数据的进一步确认，CPI依然不具备大幅上行的风险，宏观经济对债市影响的增强仍需要时间，在货币政策“不松不紧”的基调下，利率或继续处于震荡格局之中，但长端收益率上行空间似有顶，具备一定配置价值。我们将密切关注流动性边际变化、供给侧等改革进展、通胀预期变化、美联储加息及缩表进度等因素对市场的影响。股票方面，力争继续保持稳健、审慎，积极关注一级市场动态。债券方面，保持组合流动性的前提下积极关注交易窗口，把握适中久期，同时特别重视信用风险。</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截至2017年9月30日，本基金份额净值为 1.0734元，本报告期份额净值增长率为2.56%，同期业绩比较基准增长率为2.24%。</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lastRenderedPageBreak/>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65,304,938.73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20.04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65,304,938.73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20.04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253,097,496.30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77.65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253,097,496.30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77.65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2,997,968.06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0.92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
            </w:r>
            <w:r w:rsidR="00C012F9" w:rsidRPr="00414345">
              <w:rPr>
                <w:color w:val="000000"/>
                <w:sz w:val="24"/>
                <w:szCs w:val="24"/>
              </w:rPr>
              <w:t/>
            </w: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4,533,963.51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1.39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
            </w:r>
            <w:r w:rsidR="00C012F9" w:rsidRPr="00414345">
              <w:rPr>
                <w:color w:val="000000"/>
                <w:sz w:val="24"/>
                <w:szCs w:val="24"/>
              </w:rPr>
              <w:t/>
            </w: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325,934,366.60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
            </w:r>
            <w:r w:rsidRPr="00414345">
              <w:rPr>
                <w:color w:val="000000"/>
                <w:sz w:val="24"/>
                <w:szCs w:val="24"/>
              </w:rPr>
              <w:lastRenderedPageBreak/>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b/>
          <w:color w:val="000000" w:themeColor="text1"/>
          <w:sz w:val="24"/>
        </w:rPr>
        <w:t/>
      </w: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32,001,648.57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9.94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3,994,500.00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2,917,450.23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0.91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25,571.91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17,468.03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26,233,000.00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115,299.99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65,304,938.73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20.28</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b/>
          <w:bCs/>
          <w:color w:val="000000" w:themeColor="text1"/>
          <w:kern w:val="0"/>
          <w:sz w:val="24"/>
        </w:rPr>
        <w:t/>
      </w: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600887</w:t>
            </w:r>
          </w:p>
        </w:tc>
        <w:tc>
          <w:tcPr>
            <w:vAlign w:val="center"/>
          </w:tcPr>
          <w:p>
            <w:pPr>
              <w:jc w:val="center"/>
            </w:pPr>
            <w:r>
              <w:rPr>
                <w:color w:val="000000"/>
                <w:sz w:val="24"/>
                <w:szCs w:val="24"/>
              </w:rPr>
              <w:t>伊利股份</w:t>
            </w:r>
          </w:p>
        </w:tc>
        <w:tc>
          <w:tcPr>
            <w:vAlign w:val="center"/>
          </w:tcPr>
          <w:p>
            <w:pPr>
              <w:jc w:val="right"/>
            </w:pPr>
            <w:r>
              <w:rPr>
                <w:color w:val="000000"/>
                <w:sz w:val="24"/>
                <w:szCs w:val="24"/>
              </w:rPr>
              <w:t>350,000</w:t>
            </w:r>
          </w:p>
        </w:tc>
        <w:tc>
          <w:tcPr>
            <w:vAlign w:val="center"/>
          </w:tcPr>
          <w:p>
            <w:pPr>
              <w:jc w:val="right"/>
            </w:pPr>
            <w:r>
              <w:rPr>
                <w:color w:val="000000"/>
                <w:sz w:val="24"/>
                <w:szCs w:val="24"/>
              </w:rPr>
              <w:t>9,625,000.00</w:t>
            </w:r>
          </w:p>
        </w:tc>
        <w:tc>
          <w:tcPr>
            <w:vAlign w:val="center"/>
          </w:tcPr>
          <w:p>
            <w:pPr>
              <w:jc w:val="right"/>
            </w:pPr>
            <w:r>
              <w:rPr>
                <w:color w:val="000000"/>
                <w:sz w:val="24"/>
                <w:szCs w:val="24"/>
              </w:rPr>
              <w:t>2.99</w:t>
            </w:r>
          </w:p>
        </w:tc>
      </w:tr>
      <w:tr>
        <w:tc>
          <w:tcPr>
            <w:vAlign w:val="center"/>
          </w:tcPr>
          <w:p>
            <w:pPr>
              <w:jc w:val="center"/>
            </w:pPr>
            <w:r>
              <w:rPr>
                <w:color w:val="000000"/>
                <w:sz w:val="24"/>
                <w:szCs w:val="24"/>
              </w:rPr>
              <w:t>2</w:t>
            </w:r>
          </w:p>
        </w:tc>
        <w:tc>
          <w:tcPr>
            <w:vAlign w:val="center"/>
          </w:tcPr>
          <w:p>
            <w:pPr>
              <w:jc w:val="center"/>
            </w:pPr>
            <w:r>
              <w:rPr>
                <w:color w:val="000000"/>
                <w:sz w:val="24"/>
                <w:szCs w:val="24"/>
              </w:rPr>
              <w:t>601318</w:t>
            </w:r>
          </w:p>
        </w:tc>
        <w:tc>
          <w:tcPr>
            <w:vAlign w:val="center"/>
          </w:tcPr>
          <w:p>
            <w:pPr>
              <w:jc w:val="center"/>
            </w:pPr>
            <w:r>
              <w:rPr>
                <w:color w:val="000000"/>
                <w:sz w:val="24"/>
                <w:szCs w:val="24"/>
              </w:rPr>
              <w:t>中国平安</w:t>
            </w:r>
          </w:p>
        </w:tc>
        <w:tc>
          <w:tcPr>
            <w:vAlign w:val="center"/>
          </w:tcPr>
          <w:p>
            <w:pPr>
              <w:jc w:val="right"/>
            </w:pPr>
            <w:r>
              <w:rPr>
                <w:color w:val="000000"/>
                <w:sz w:val="24"/>
                <w:szCs w:val="24"/>
              </w:rPr>
              <w:t>150,000</w:t>
            </w:r>
          </w:p>
        </w:tc>
        <w:tc>
          <w:tcPr>
            <w:vAlign w:val="center"/>
          </w:tcPr>
          <w:p>
            <w:pPr>
              <w:jc w:val="right"/>
            </w:pPr>
            <w:r>
              <w:rPr>
                <w:color w:val="000000"/>
                <w:sz w:val="24"/>
                <w:szCs w:val="24"/>
              </w:rPr>
              <w:t>8,124,000.00</w:t>
            </w:r>
          </w:p>
        </w:tc>
        <w:tc>
          <w:tcPr>
            <w:vAlign w:val="center"/>
          </w:tcPr>
          <w:p>
            <w:pPr>
              <w:jc w:val="right"/>
            </w:pPr>
            <w:r>
              <w:rPr>
                <w:color w:val="000000"/>
                <w:sz w:val="24"/>
                <w:szCs w:val="24"/>
              </w:rPr>
              <w:t>2.52</w:t>
            </w:r>
          </w:p>
        </w:tc>
      </w:tr>
      <w:tr>
        <w:tc>
          <w:tcPr>
            <w:vAlign w:val="center"/>
          </w:tcPr>
          <w:p>
            <w:pPr>
              <w:jc w:val="center"/>
            </w:pPr>
            <w:r>
              <w:rPr>
                <w:color w:val="000000"/>
                <w:sz w:val="24"/>
                <w:szCs w:val="24"/>
              </w:rPr>
              <w:t>3</w:t>
            </w:r>
          </w:p>
        </w:tc>
        <w:tc>
          <w:tcPr>
            <w:vAlign w:val="center"/>
          </w:tcPr>
          <w:p>
            <w:pPr>
              <w:jc w:val="center"/>
            </w:pPr>
            <w:r>
              <w:rPr>
                <w:color w:val="000000"/>
                <w:sz w:val="24"/>
                <w:szCs w:val="24"/>
              </w:rPr>
              <w:t>600519</w:t>
            </w:r>
          </w:p>
        </w:tc>
        <w:tc>
          <w:tcPr>
            <w:vAlign w:val="center"/>
          </w:tcPr>
          <w:p>
            <w:pPr>
              <w:jc w:val="center"/>
            </w:pPr>
            <w:r>
              <w:rPr>
                <w:color w:val="000000"/>
                <w:sz w:val="24"/>
                <w:szCs w:val="24"/>
              </w:rPr>
              <w:t>贵州茅台</w:t>
            </w:r>
          </w:p>
        </w:tc>
        <w:tc>
          <w:tcPr>
            <w:vAlign w:val="center"/>
          </w:tcPr>
          <w:p>
            <w:pPr>
              <w:jc w:val="right"/>
            </w:pPr>
            <w:r>
              <w:rPr>
                <w:color w:val="000000"/>
                <w:sz w:val="24"/>
                <w:szCs w:val="24"/>
              </w:rPr>
              <w:t>15,000</w:t>
            </w:r>
          </w:p>
        </w:tc>
        <w:tc>
          <w:tcPr>
            <w:vAlign w:val="center"/>
          </w:tcPr>
          <w:p>
            <w:pPr>
              <w:jc w:val="right"/>
            </w:pPr>
            <w:r>
              <w:rPr>
                <w:color w:val="000000"/>
                <w:sz w:val="24"/>
                <w:szCs w:val="24"/>
              </w:rPr>
              <w:t>7,764,600.00</w:t>
            </w:r>
          </w:p>
        </w:tc>
        <w:tc>
          <w:tcPr>
            <w:vAlign w:val="center"/>
          </w:tcPr>
          <w:p>
            <w:pPr>
              <w:jc w:val="right"/>
            </w:pPr>
            <w:r>
              <w:rPr>
                <w:color w:val="000000"/>
                <w:sz w:val="24"/>
                <w:szCs w:val="24"/>
              </w:rPr>
              <w:t>2.41</w:t>
            </w:r>
          </w:p>
        </w:tc>
      </w:tr>
      <w:tr>
        <w:tc>
          <w:tcPr>
            <w:vAlign w:val="center"/>
          </w:tcPr>
          <w:p>
            <w:pPr>
              <w:jc w:val="center"/>
            </w:pPr>
            <w:r>
              <w:rPr>
                <w:color w:val="000000"/>
                <w:sz w:val="24"/>
                <w:szCs w:val="24"/>
              </w:rPr>
              <w:t>4</w:t>
            </w:r>
          </w:p>
        </w:tc>
        <w:tc>
          <w:tcPr>
            <w:vAlign w:val="center"/>
          </w:tcPr>
          <w:p>
            <w:pPr>
              <w:jc w:val="center"/>
            </w:pPr>
            <w:r>
              <w:rPr>
                <w:color w:val="000000"/>
                <w:sz w:val="24"/>
                <w:szCs w:val="24"/>
              </w:rPr>
              <w:t>601398</w:t>
            </w:r>
          </w:p>
        </w:tc>
        <w:tc>
          <w:tcPr>
            <w:vAlign w:val="center"/>
          </w:tcPr>
          <w:p>
            <w:pPr>
              <w:jc w:val="center"/>
            </w:pPr>
            <w:r>
              <w:rPr>
                <w:color w:val="000000"/>
                <w:sz w:val="24"/>
                <w:szCs w:val="24"/>
              </w:rPr>
              <w:t>工商银行</w:t>
            </w:r>
          </w:p>
        </w:tc>
        <w:tc>
          <w:tcPr>
            <w:vAlign w:val="center"/>
          </w:tcPr>
          <w:p>
            <w:pPr>
              <w:jc w:val="right"/>
            </w:pPr>
            <w:r>
              <w:rPr>
                <w:color w:val="000000"/>
                <w:sz w:val="24"/>
                <w:szCs w:val="24"/>
              </w:rPr>
              <w:t>1,250,000</w:t>
            </w:r>
          </w:p>
        </w:tc>
        <w:tc>
          <w:tcPr>
            <w:vAlign w:val="center"/>
          </w:tcPr>
          <w:p>
            <w:pPr>
              <w:jc w:val="right"/>
            </w:pPr>
            <w:r>
              <w:rPr>
                <w:color w:val="000000"/>
                <w:sz w:val="24"/>
                <w:szCs w:val="24"/>
              </w:rPr>
              <w:t>7,500,000.00</w:t>
            </w:r>
          </w:p>
        </w:tc>
        <w:tc>
          <w:tcPr>
            <w:vAlign w:val="center"/>
          </w:tcPr>
          <w:p>
            <w:pPr>
              <w:jc w:val="right"/>
            </w:pPr>
            <w:r>
              <w:rPr>
                <w:color w:val="000000"/>
                <w:sz w:val="24"/>
                <w:szCs w:val="24"/>
              </w:rPr>
              <w:t>2.33</w:t>
            </w:r>
          </w:p>
        </w:tc>
      </w:tr>
      <w:tr>
        <w:tc>
          <w:tcPr>
            <w:vAlign w:val="center"/>
          </w:tcPr>
          <w:p>
            <w:pPr>
              <w:jc w:val="center"/>
            </w:pPr>
            <w:r>
              <w:rPr>
                <w:color w:val="000000"/>
                <w:sz w:val="24"/>
                <w:szCs w:val="24"/>
              </w:rPr>
              <w:t>5</w:t>
            </w:r>
          </w:p>
        </w:tc>
        <w:tc>
          <w:tcPr>
            <w:vAlign w:val="center"/>
          </w:tcPr>
          <w:p>
            <w:pPr>
              <w:jc w:val="center"/>
            </w:pPr>
            <w:r>
              <w:rPr>
                <w:color w:val="000000"/>
                <w:sz w:val="24"/>
                <w:szCs w:val="24"/>
              </w:rPr>
              <w:t>601288</w:t>
            </w:r>
          </w:p>
        </w:tc>
        <w:tc>
          <w:tcPr>
            <w:vAlign w:val="center"/>
          </w:tcPr>
          <w:p>
            <w:pPr>
              <w:jc w:val="center"/>
            </w:pPr>
            <w:r>
              <w:rPr>
                <w:color w:val="000000"/>
                <w:sz w:val="24"/>
                <w:szCs w:val="24"/>
              </w:rPr>
              <w:t>农业银行</w:t>
            </w:r>
          </w:p>
        </w:tc>
        <w:tc>
          <w:tcPr>
            <w:vAlign w:val="center"/>
          </w:tcPr>
          <w:p>
            <w:pPr>
              <w:jc w:val="right"/>
            </w:pPr>
            <w:r>
              <w:rPr>
                <w:color w:val="000000"/>
                <w:sz w:val="24"/>
                <w:szCs w:val="24"/>
              </w:rPr>
              <w:t>1,500,000</w:t>
            </w:r>
          </w:p>
        </w:tc>
        <w:tc>
          <w:tcPr>
            <w:vAlign w:val="center"/>
          </w:tcPr>
          <w:p>
            <w:pPr>
              <w:jc w:val="right"/>
            </w:pPr>
            <w:r>
              <w:rPr>
                <w:color w:val="000000"/>
                <w:sz w:val="24"/>
                <w:szCs w:val="24"/>
              </w:rPr>
              <w:t>5,730,000.00</w:t>
            </w:r>
          </w:p>
        </w:tc>
        <w:tc>
          <w:tcPr>
            <w:vAlign w:val="center"/>
          </w:tcPr>
          <w:p>
            <w:pPr>
              <w:jc w:val="right"/>
            </w:pPr>
            <w:r>
              <w:rPr>
                <w:color w:val="000000"/>
                <w:sz w:val="24"/>
                <w:szCs w:val="24"/>
              </w:rPr>
              <w:t>1.78</w:t>
            </w:r>
          </w:p>
        </w:tc>
      </w:tr>
      <w:tr>
        <w:tc>
          <w:tcPr>
            <w:vAlign w:val="center"/>
          </w:tcPr>
          <w:p>
            <w:pPr>
              <w:jc w:val="center"/>
            </w:pPr>
            <w:r>
              <w:rPr>
                <w:color w:val="000000"/>
                <w:sz w:val="24"/>
                <w:szCs w:val="24"/>
              </w:rPr>
              <w:t>6</w:t>
            </w:r>
          </w:p>
        </w:tc>
        <w:tc>
          <w:tcPr>
            <w:vAlign w:val="center"/>
          </w:tcPr>
          <w:p>
            <w:pPr>
              <w:jc w:val="center"/>
            </w:pPr>
            <w:r>
              <w:rPr>
                <w:color w:val="000000"/>
                <w:sz w:val="24"/>
                <w:szCs w:val="24"/>
              </w:rPr>
              <w:t>601939</w:t>
            </w:r>
          </w:p>
        </w:tc>
        <w:tc>
          <w:tcPr>
            <w:vAlign w:val="center"/>
          </w:tcPr>
          <w:p>
            <w:pPr>
              <w:jc w:val="center"/>
            </w:pPr>
            <w:r>
              <w:rPr>
                <w:color w:val="000000"/>
                <w:sz w:val="24"/>
                <w:szCs w:val="24"/>
              </w:rPr>
              <w:t>建设银行</w:t>
            </w:r>
          </w:p>
        </w:tc>
        <w:tc>
          <w:tcPr>
            <w:vAlign w:val="center"/>
          </w:tcPr>
          <w:p>
            <w:pPr>
              <w:jc w:val="right"/>
            </w:pPr>
            <w:r>
              <w:rPr>
                <w:color w:val="000000"/>
                <w:sz w:val="24"/>
                <w:szCs w:val="24"/>
              </w:rPr>
              <w:t>700,000</w:t>
            </w:r>
          </w:p>
        </w:tc>
        <w:tc>
          <w:tcPr>
            <w:vAlign w:val="center"/>
          </w:tcPr>
          <w:p>
            <w:pPr>
              <w:jc w:val="right"/>
            </w:pPr>
            <w:r>
              <w:rPr>
                <w:color w:val="000000"/>
                <w:sz w:val="24"/>
                <w:szCs w:val="24"/>
              </w:rPr>
              <w:t>4,879,000.00</w:t>
            </w:r>
          </w:p>
        </w:tc>
        <w:tc>
          <w:tcPr>
            <w:vAlign w:val="center"/>
          </w:tcPr>
          <w:p>
            <w:pPr>
              <w:jc w:val="right"/>
            </w:pPr>
            <w:r>
              <w:rPr>
                <w:color w:val="000000"/>
                <w:sz w:val="24"/>
                <w:szCs w:val="24"/>
              </w:rPr>
              <w:t>1.51</w:t>
            </w:r>
          </w:p>
        </w:tc>
      </w:tr>
      <w:tr>
        <w:tc>
          <w:tcPr>
            <w:vAlign w:val="center"/>
          </w:tcPr>
          <w:p>
            <w:pPr>
              <w:jc w:val="center"/>
            </w:pPr>
            <w:r>
              <w:rPr>
                <w:color w:val="000000"/>
                <w:sz w:val="24"/>
                <w:szCs w:val="24"/>
              </w:rPr>
              <w:t>7</w:t>
            </w:r>
          </w:p>
        </w:tc>
        <w:tc>
          <w:tcPr>
            <w:vAlign w:val="center"/>
          </w:tcPr>
          <w:p>
            <w:pPr>
              <w:jc w:val="center"/>
            </w:pPr>
            <w:r>
              <w:rPr>
                <w:color w:val="000000"/>
                <w:sz w:val="24"/>
                <w:szCs w:val="24"/>
              </w:rPr>
              <w:t>600056</w:t>
            </w:r>
          </w:p>
        </w:tc>
        <w:tc>
          <w:tcPr>
            <w:vAlign w:val="center"/>
          </w:tcPr>
          <w:p>
            <w:pPr>
              <w:jc w:val="center"/>
            </w:pPr>
            <w:r>
              <w:rPr>
                <w:color w:val="000000"/>
                <w:sz w:val="24"/>
                <w:szCs w:val="24"/>
              </w:rPr>
              <w:t>中国医药</w:t>
            </w:r>
          </w:p>
        </w:tc>
        <w:tc>
          <w:tcPr>
            <w:vAlign w:val="center"/>
          </w:tcPr>
          <w:p>
            <w:pPr>
              <w:jc w:val="right"/>
            </w:pPr>
            <w:r>
              <w:rPr>
                <w:color w:val="000000"/>
                <w:sz w:val="24"/>
                <w:szCs w:val="24"/>
              </w:rPr>
              <w:t>190,000</w:t>
            </w:r>
          </w:p>
        </w:tc>
        <w:tc>
          <w:tcPr>
            <w:vAlign w:val="center"/>
          </w:tcPr>
          <w:p>
            <w:pPr>
              <w:jc w:val="right"/>
            </w:pPr>
            <w:r>
              <w:rPr>
                <w:color w:val="000000"/>
                <w:sz w:val="24"/>
                <w:szCs w:val="24"/>
              </w:rPr>
              <w:t>4,647,400.00</w:t>
            </w:r>
          </w:p>
        </w:tc>
        <w:tc>
          <w:tcPr>
            <w:vAlign w:val="center"/>
          </w:tcPr>
          <w:p>
            <w:pPr>
              <w:jc w:val="right"/>
            </w:pPr>
            <w:r>
              <w:rPr>
                <w:color w:val="000000"/>
                <w:sz w:val="24"/>
                <w:szCs w:val="24"/>
              </w:rPr>
              <w:t>1.44</w:t>
            </w:r>
          </w:p>
        </w:tc>
      </w:tr>
      <w:tr>
        <w:tc>
          <w:tcPr>
            <w:vAlign w:val="center"/>
          </w:tcPr>
          <w:p>
            <w:pPr>
              <w:jc w:val="center"/>
            </w:pPr>
            <w:r>
              <w:rPr>
                <w:color w:val="000000"/>
                <w:sz w:val="24"/>
                <w:szCs w:val="24"/>
              </w:rPr>
              <w:t>8</w:t>
            </w:r>
          </w:p>
        </w:tc>
        <w:tc>
          <w:tcPr>
            <w:vAlign w:val="center"/>
          </w:tcPr>
          <w:p>
            <w:pPr>
              <w:jc w:val="center"/>
            </w:pPr>
            <w:r>
              <w:rPr>
                <w:color w:val="000000"/>
                <w:sz w:val="24"/>
                <w:szCs w:val="24"/>
              </w:rPr>
              <w:t>600062</w:t>
            </w:r>
          </w:p>
        </w:tc>
        <w:tc>
          <w:tcPr>
            <w:vAlign w:val="center"/>
          </w:tcPr>
          <w:p>
            <w:pPr>
              <w:jc w:val="center"/>
            </w:pPr>
            <w:r>
              <w:rPr>
                <w:color w:val="000000"/>
                <w:sz w:val="24"/>
                <w:szCs w:val="24"/>
              </w:rPr>
              <w:t>华润双鹤</w:t>
            </w:r>
          </w:p>
        </w:tc>
        <w:tc>
          <w:tcPr>
            <w:vAlign w:val="center"/>
          </w:tcPr>
          <w:p>
            <w:pPr>
              <w:jc w:val="right"/>
            </w:pPr>
            <w:r>
              <w:rPr>
                <w:color w:val="000000"/>
                <w:sz w:val="24"/>
                <w:szCs w:val="24"/>
              </w:rPr>
              <w:t>204,000</w:t>
            </w:r>
          </w:p>
        </w:tc>
        <w:tc>
          <w:tcPr>
            <w:vAlign w:val="center"/>
          </w:tcPr>
          <w:p>
            <w:pPr>
              <w:jc w:val="right"/>
            </w:pPr>
            <w:r>
              <w:rPr>
                <w:color w:val="000000"/>
                <w:sz w:val="24"/>
                <w:szCs w:val="24"/>
              </w:rPr>
              <w:t>4,294,200.00</w:t>
            </w:r>
          </w:p>
        </w:tc>
        <w:tc>
          <w:tcPr>
            <w:vAlign w:val="center"/>
          </w:tcPr>
          <w:p>
            <w:pPr>
              <w:jc w:val="right"/>
            </w:pPr>
            <w:r>
              <w:rPr>
                <w:color w:val="000000"/>
                <w:sz w:val="24"/>
                <w:szCs w:val="24"/>
              </w:rPr>
              <w:t>1.33</w:t>
            </w:r>
          </w:p>
        </w:tc>
      </w:tr>
      <w:tr>
        <w:tc>
          <w:tcPr>
            <w:vAlign w:val="center"/>
          </w:tcPr>
          <w:p>
            <w:pPr>
              <w:jc w:val="center"/>
            </w:pPr>
            <w:r>
              <w:rPr>
                <w:color w:val="000000"/>
                <w:sz w:val="24"/>
                <w:szCs w:val="24"/>
              </w:rPr>
              <w:t>9</w:t>
            </w:r>
          </w:p>
        </w:tc>
        <w:tc>
          <w:tcPr>
            <w:vAlign w:val="center"/>
          </w:tcPr>
          <w:p>
            <w:pPr>
              <w:jc w:val="center"/>
            </w:pPr>
            <w:r>
              <w:rPr>
                <w:color w:val="000000"/>
                <w:sz w:val="24"/>
                <w:szCs w:val="24"/>
              </w:rPr>
              <w:t>601607</w:t>
            </w:r>
          </w:p>
        </w:tc>
        <w:tc>
          <w:tcPr>
            <w:vAlign w:val="center"/>
          </w:tcPr>
          <w:p>
            <w:pPr>
              <w:jc w:val="center"/>
            </w:pPr>
            <w:r>
              <w:rPr>
                <w:color w:val="000000"/>
                <w:sz w:val="24"/>
                <w:szCs w:val="24"/>
              </w:rPr>
              <w:t>上海医药</w:t>
            </w:r>
          </w:p>
        </w:tc>
        <w:tc>
          <w:tcPr>
            <w:vAlign w:val="center"/>
          </w:tcPr>
          <w:p>
            <w:pPr>
              <w:jc w:val="right"/>
            </w:pPr>
            <w:r>
              <w:rPr>
                <w:color w:val="000000"/>
                <w:sz w:val="24"/>
                <w:szCs w:val="24"/>
              </w:rPr>
              <w:t>120,000</w:t>
            </w:r>
          </w:p>
        </w:tc>
        <w:tc>
          <w:tcPr>
            <w:vAlign w:val="center"/>
          </w:tcPr>
          <w:p>
            <w:pPr>
              <w:jc w:val="right"/>
            </w:pPr>
            <w:r>
              <w:rPr>
                <w:color w:val="000000"/>
                <w:sz w:val="24"/>
                <w:szCs w:val="24"/>
              </w:rPr>
              <w:t>2,848,800.00</w:t>
            </w:r>
          </w:p>
        </w:tc>
        <w:tc>
          <w:tcPr>
            <w:vAlign w:val="center"/>
          </w:tcPr>
          <w:p>
            <w:pPr>
              <w:jc w:val="right"/>
            </w:pPr>
            <w:r>
              <w:rPr>
                <w:color w:val="000000"/>
                <w:sz w:val="24"/>
                <w:szCs w:val="24"/>
              </w:rPr>
              <w:t>0.88</w:t>
            </w:r>
          </w:p>
        </w:tc>
      </w:tr>
      <w:tr>
        <w:tc>
          <w:tcPr>
            <w:vAlign w:val="center"/>
          </w:tcPr>
          <w:p>
            <w:pPr>
              <w:jc w:val="center"/>
            </w:pPr>
            <w:r>
              <w:rPr>
                <w:color w:val="000000"/>
                <w:sz w:val="24"/>
                <w:szCs w:val="24"/>
              </w:rPr>
              <w:t>10</w:t>
            </w:r>
          </w:p>
        </w:tc>
        <w:tc>
          <w:tcPr>
            <w:vAlign w:val="center"/>
          </w:tcPr>
          <w:p>
            <w:pPr>
              <w:jc w:val="center"/>
            </w:pPr>
            <w:r>
              <w:rPr>
                <w:color w:val="000000"/>
                <w:sz w:val="24"/>
                <w:szCs w:val="24"/>
              </w:rPr>
              <w:t>600329</w:t>
            </w:r>
          </w:p>
        </w:tc>
        <w:tc>
          <w:tcPr>
            <w:vAlign w:val="center"/>
          </w:tcPr>
          <w:p>
            <w:pPr>
              <w:jc w:val="center"/>
            </w:pPr>
            <w:r>
              <w:rPr>
                <w:color w:val="000000"/>
                <w:sz w:val="24"/>
                <w:szCs w:val="24"/>
              </w:rPr>
              <w:t>中新药业</w:t>
            </w:r>
          </w:p>
        </w:tc>
        <w:tc>
          <w:tcPr>
            <w:vAlign w:val="center"/>
          </w:tcPr>
          <w:p>
            <w:pPr>
              <w:jc w:val="right"/>
            </w:pPr>
            <w:r>
              <w:rPr>
                <w:color w:val="000000"/>
                <w:sz w:val="24"/>
                <w:szCs w:val="24"/>
              </w:rPr>
              <w:t>142,500</w:t>
            </w:r>
          </w:p>
        </w:tc>
        <w:tc>
          <w:tcPr>
            <w:vAlign w:val="center"/>
          </w:tcPr>
          <w:p>
            <w:pPr>
              <w:jc w:val="right"/>
            </w:pPr>
            <w:r>
              <w:rPr>
                <w:color w:val="000000"/>
                <w:sz w:val="24"/>
                <w:szCs w:val="24"/>
              </w:rPr>
              <w:t>2,431,050.00</w:t>
            </w:r>
          </w:p>
        </w:tc>
        <w:tc>
          <w:tcPr>
            <w:vAlign w:val="center"/>
          </w:tcPr>
          <w:p>
            <w:pPr>
              <w:jc w:val="right"/>
            </w:pPr>
            <w:r>
              <w:rPr>
                <w:color w:val="000000"/>
                <w:sz w:val="24"/>
                <w:szCs w:val="24"/>
              </w:rPr>
              <w:t>0.75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58,794,000.00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18.26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58,794,000.00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18.26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164,179,496.30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50.98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30,124,000.00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9.35</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lastRenderedPageBreak/>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253,097,496.30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78.59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170210</w:t>
            </w:r>
          </w:p>
        </w:tc>
        <w:tc>
          <w:tcPr>
            <w:vAlign w:val="center"/>
          </w:tcPr>
          <w:p>
            <w:pPr>
              <w:jc w:val="center"/>
            </w:pPr>
            <w:r>
              <w:rPr>
                <w:color w:val="000000"/>
                <w:sz w:val="24"/>
                <w:szCs w:val="24"/>
              </w:rPr>
              <w:t>17国开10</w:t>
            </w:r>
          </w:p>
        </w:tc>
        <w:tc>
          <w:tcPr>
            <w:vAlign w:val="center"/>
          </w:tcPr>
          <w:p>
            <w:pPr>
              <w:jc w:val="right"/>
            </w:pPr>
            <w:r>
              <w:rPr>
                <w:color w:val="000000"/>
                <w:sz w:val="24"/>
                <w:szCs w:val="24"/>
              </w:rPr>
              <w:t>600,000</w:t>
            </w:r>
          </w:p>
        </w:tc>
        <w:tc>
          <w:tcPr>
            <w:vAlign w:val="center"/>
          </w:tcPr>
          <w:p>
            <w:pPr>
              <w:jc w:val="right"/>
            </w:pPr>
            <w:r>
              <w:rPr>
                <w:color w:val="000000"/>
                <w:sz w:val="24"/>
                <w:szCs w:val="24"/>
              </w:rPr>
              <w:t>58,794,000.00</w:t>
            </w:r>
          </w:p>
        </w:tc>
        <w:tc>
          <w:tcPr>
            <w:vAlign w:val="center"/>
          </w:tcPr>
          <w:p>
            <w:pPr>
              <w:jc w:val="right"/>
            </w:pPr>
            <w:r>
              <w:rPr>
                <w:color w:val="000000"/>
                <w:sz w:val="24"/>
                <w:szCs w:val="24"/>
              </w:rPr>
              <w:t>18.26</w:t>
            </w:r>
          </w:p>
        </w:tc>
      </w:tr>
      <w:tr>
        <w:tc>
          <w:tcPr>
            <w:vAlign w:val="center"/>
          </w:tcPr>
          <w:p>
            <w:pPr>
              <w:jc w:val="center"/>
            </w:pPr>
            <w:r>
              <w:rPr>
                <w:color w:val="000000"/>
                <w:sz w:val="24"/>
                <w:szCs w:val="24"/>
              </w:rPr>
              <w:t>2</w:t>
            </w:r>
          </w:p>
        </w:tc>
        <w:tc>
          <w:tcPr>
            <w:vAlign w:val="center"/>
          </w:tcPr>
          <w:p>
            <w:pPr>
              <w:jc w:val="center"/>
            </w:pPr>
            <w:r>
              <w:rPr>
                <w:color w:val="000000"/>
                <w:sz w:val="24"/>
                <w:szCs w:val="24"/>
              </w:rPr>
              <w:t>122273</w:t>
            </w:r>
          </w:p>
        </w:tc>
        <w:tc>
          <w:tcPr>
            <w:vAlign w:val="center"/>
          </w:tcPr>
          <w:p>
            <w:pPr>
              <w:jc w:val="center"/>
            </w:pPr>
            <w:r>
              <w:rPr>
                <w:color w:val="000000"/>
                <w:sz w:val="24"/>
                <w:szCs w:val="24"/>
              </w:rPr>
              <w:t>13鲁金01</w:t>
            </w:r>
          </w:p>
        </w:tc>
        <w:tc>
          <w:tcPr>
            <w:vAlign w:val="center"/>
          </w:tcPr>
          <w:p>
            <w:pPr>
              <w:jc w:val="right"/>
            </w:pPr>
            <w:r>
              <w:rPr>
                <w:color w:val="000000"/>
                <w:sz w:val="24"/>
                <w:szCs w:val="24"/>
              </w:rPr>
              <w:t>200,000</w:t>
            </w:r>
          </w:p>
        </w:tc>
        <w:tc>
          <w:tcPr>
            <w:vAlign w:val="center"/>
          </w:tcPr>
          <w:p>
            <w:pPr>
              <w:jc w:val="right"/>
            </w:pPr>
            <w:r>
              <w:rPr>
                <w:color w:val="000000"/>
                <w:sz w:val="24"/>
                <w:szCs w:val="24"/>
              </w:rPr>
              <w:t>20,124,000.00</w:t>
            </w:r>
          </w:p>
        </w:tc>
        <w:tc>
          <w:tcPr>
            <w:vAlign w:val="center"/>
          </w:tcPr>
          <w:p>
            <w:pPr>
              <w:jc w:val="right"/>
            </w:pPr>
            <w:r>
              <w:rPr>
                <w:color w:val="000000"/>
                <w:sz w:val="24"/>
                <w:szCs w:val="24"/>
              </w:rPr>
              <w:t>6.25</w:t>
            </w:r>
          </w:p>
        </w:tc>
      </w:tr>
      <w:tr>
        <w:tc>
          <w:tcPr>
            <w:vAlign w:val="center"/>
          </w:tcPr>
          <w:p>
            <w:pPr>
              <w:jc w:val="center"/>
            </w:pPr>
            <w:r>
              <w:rPr>
                <w:color w:val="000000"/>
                <w:sz w:val="24"/>
                <w:szCs w:val="24"/>
              </w:rPr>
              <w:t>3</w:t>
            </w:r>
          </w:p>
        </w:tc>
        <w:tc>
          <w:tcPr>
            <w:vAlign w:val="center"/>
          </w:tcPr>
          <w:p>
            <w:pPr>
              <w:jc w:val="center"/>
            </w:pPr>
            <w:r>
              <w:rPr>
                <w:color w:val="000000"/>
                <w:sz w:val="24"/>
                <w:szCs w:val="24"/>
              </w:rPr>
              <w:t>041773001</w:t>
            </w:r>
          </w:p>
        </w:tc>
        <w:tc>
          <w:tcPr>
            <w:vAlign w:val="center"/>
          </w:tcPr>
          <w:p>
            <w:pPr>
              <w:jc w:val="center"/>
            </w:pPr>
            <w:r>
              <w:rPr>
                <w:color w:val="000000"/>
                <w:sz w:val="24"/>
                <w:szCs w:val="24"/>
              </w:rPr>
              <w:t>17中信重工CP001</w:t>
            </w:r>
          </w:p>
        </w:tc>
        <w:tc>
          <w:tcPr>
            <w:vAlign w:val="center"/>
          </w:tcPr>
          <w:p>
            <w:pPr>
              <w:jc w:val="right"/>
            </w:pPr>
            <w:r>
              <w:rPr>
                <w:color w:val="000000"/>
                <w:sz w:val="24"/>
                <w:szCs w:val="24"/>
              </w:rPr>
              <w:t>200,000</w:t>
            </w:r>
          </w:p>
        </w:tc>
        <w:tc>
          <w:tcPr>
            <w:vAlign w:val="center"/>
          </w:tcPr>
          <w:p>
            <w:pPr>
              <w:jc w:val="right"/>
            </w:pPr>
            <w:r>
              <w:rPr>
                <w:color w:val="000000"/>
                <w:sz w:val="24"/>
                <w:szCs w:val="24"/>
              </w:rPr>
              <w:t>20,084,000.00</w:t>
            </w:r>
          </w:p>
        </w:tc>
        <w:tc>
          <w:tcPr>
            <w:vAlign w:val="center"/>
          </w:tcPr>
          <w:p>
            <w:pPr>
              <w:jc w:val="right"/>
            </w:pPr>
            <w:r>
              <w:rPr>
                <w:color w:val="000000"/>
                <w:sz w:val="24"/>
                <w:szCs w:val="24"/>
              </w:rPr>
              <w:t>6.24</w:t>
            </w:r>
          </w:p>
        </w:tc>
      </w:tr>
      <w:tr>
        <w:tc>
          <w:tcPr>
            <w:vAlign w:val="center"/>
          </w:tcPr>
          <w:p>
            <w:pPr>
              <w:jc w:val="center"/>
            </w:pPr>
            <w:r>
              <w:rPr>
                <w:color w:val="000000"/>
                <w:sz w:val="24"/>
                <w:szCs w:val="24"/>
              </w:rPr>
              <w:t>4</w:t>
            </w:r>
          </w:p>
        </w:tc>
        <w:tc>
          <w:tcPr>
            <w:vAlign w:val="center"/>
          </w:tcPr>
          <w:p>
            <w:pPr>
              <w:jc w:val="center"/>
            </w:pPr>
            <w:r>
              <w:rPr>
                <w:color w:val="000000"/>
                <w:sz w:val="24"/>
                <w:szCs w:val="24"/>
              </w:rPr>
              <w:t>136513</w:t>
            </w:r>
          </w:p>
        </w:tc>
        <w:tc>
          <w:tcPr>
            <w:vAlign w:val="center"/>
          </w:tcPr>
          <w:p>
            <w:pPr>
              <w:jc w:val="center"/>
            </w:pPr>
            <w:r>
              <w:rPr>
                <w:color w:val="000000"/>
                <w:sz w:val="24"/>
                <w:szCs w:val="24"/>
              </w:rPr>
              <w:t>16电投03</w:t>
            </w:r>
          </w:p>
        </w:tc>
        <w:tc>
          <w:tcPr>
            <w:vAlign w:val="center"/>
          </w:tcPr>
          <w:p>
            <w:pPr>
              <w:jc w:val="right"/>
            </w:pPr>
            <w:r>
              <w:rPr>
                <w:color w:val="000000"/>
                <w:sz w:val="24"/>
                <w:szCs w:val="24"/>
              </w:rPr>
              <w:t>200,000</w:t>
            </w:r>
          </w:p>
        </w:tc>
        <w:tc>
          <w:tcPr>
            <w:vAlign w:val="center"/>
          </w:tcPr>
          <w:p>
            <w:pPr>
              <w:jc w:val="right"/>
            </w:pPr>
            <w:r>
              <w:rPr>
                <w:color w:val="000000"/>
                <w:sz w:val="24"/>
                <w:szCs w:val="24"/>
              </w:rPr>
              <w:t>19,714,000.00</w:t>
            </w:r>
          </w:p>
        </w:tc>
        <w:tc>
          <w:tcPr>
            <w:vAlign w:val="center"/>
          </w:tcPr>
          <w:p>
            <w:pPr>
              <w:jc w:val="right"/>
            </w:pPr>
            <w:r>
              <w:rPr>
                <w:color w:val="000000"/>
                <w:sz w:val="24"/>
                <w:szCs w:val="24"/>
              </w:rPr>
              <w:t>6.12</w:t>
            </w:r>
          </w:p>
        </w:tc>
      </w:tr>
      <w:tr>
        <w:tc>
          <w:tcPr>
            <w:vAlign w:val="center"/>
          </w:tcPr>
          <w:p>
            <w:pPr>
              <w:jc w:val="center"/>
            </w:pPr>
            <w:r>
              <w:rPr>
                <w:color w:val="000000"/>
                <w:sz w:val="24"/>
                <w:szCs w:val="24"/>
              </w:rPr>
              <w:t>5</w:t>
            </w:r>
          </w:p>
        </w:tc>
        <w:tc>
          <w:tcPr>
            <w:vAlign w:val="center"/>
          </w:tcPr>
          <w:p>
            <w:pPr>
              <w:jc w:val="center"/>
            </w:pPr>
            <w:r>
              <w:rPr>
                <w:color w:val="000000"/>
                <w:sz w:val="24"/>
                <w:szCs w:val="24"/>
              </w:rPr>
              <w:t>122514</w:t>
            </w:r>
          </w:p>
        </w:tc>
        <w:tc>
          <w:tcPr>
            <w:vAlign w:val="center"/>
          </w:tcPr>
          <w:p>
            <w:pPr>
              <w:jc w:val="center"/>
            </w:pPr>
            <w:r>
              <w:rPr>
                <w:color w:val="000000"/>
                <w:sz w:val="24"/>
                <w:szCs w:val="24"/>
              </w:rPr>
              <w:t>12金融街</w:t>
            </w:r>
          </w:p>
        </w:tc>
        <w:tc>
          <w:tcPr>
            <w:vAlign w:val="center"/>
          </w:tcPr>
          <w:p>
            <w:pPr>
              <w:jc w:val="right"/>
            </w:pPr>
            <w:r>
              <w:rPr>
                <w:color w:val="000000"/>
                <w:sz w:val="24"/>
                <w:szCs w:val="24"/>
              </w:rPr>
              <w:t>150,000</w:t>
            </w:r>
          </w:p>
        </w:tc>
        <w:tc>
          <w:tcPr>
            <w:vAlign w:val="center"/>
          </w:tcPr>
          <w:p>
            <w:pPr>
              <w:jc w:val="right"/>
            </w:pPr>
            <w:r>
              <w:rPr>
                <w:color w:val="000000"/>
                <w:sz w:val="24"/>
                <w:szCs w:val="24"/>
              </w:rPr>
              <w:t>15,187,500.00</w:t>
            </w:r>
          </w:p>
        </w:tc>
        <w:tc>
          <w:tcPr>
            <w:vAlign w:val="center"/>
          </w:tcPr>
          <w:p>
            <w:pPr>
              <w:jc w:val="right"/>
            </w:pPr>
            <w:r>
              <w:rPr>
                <w:color w:val="000000"/>
                <w:sz w:val="24"/>
                <w:szCs w:val="24"/>
              </w:rPr>
              <w:t>4.72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CD570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5.11.1报告期内本基金投资的前十名证券的发行主体除15中银债（证券代码: 122394）外，未出现被监管部门立案调查，或在报告编制日前一年内受到公开谴责、处罚的情形。</w:t>
      </w:r>
    </w:p>
    <w:p>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15中银债（证券代码:122394）的发行主体中银国际在投资者适当性管理过程中违反了《全国中小企业股份转让系统业务规则（试行）》第5.8条规定，《全国中小企业股份转让系统投资者适当性管理细则（试行）》第五条、第九条、第十九条的相关规定，2016年11月15日全国中小企业股份转让系统有限责任公司根据《关于给予中银国际证券有限责任公司公开谴责的纪律处分的决定》（股转系统发[2016]373号），给予中银国际公开谴责的纪律处分。</w:t>
      </w:r>
    </w:p>
    <w:p>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30,187.20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94,068.47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4,409,707.84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4,533,963.51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D02347"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8F60F2"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300,022,732.19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300,022,732.19</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ED2620" w:rsidP="00EE49FE">
      <w:pPr>
        <w:pStyle w:val="1"/>
        <w:tabs>
          <w:tab w:val="center" w:pos="4156"/>
          <w:tab w:val="right" w:pos="8312"/>
        </w:tabs>
        <w:spacing w:beforeLines="100" w:after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EE49FE">
      <w:pPr>
        <w:pStyle w:val="1"/>
        <w:spacing w:beforeLines="100" w:afterLines="100"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2017/7/1-2017/9/30</w:t>
            </w:r>
          </w:p>
        </w:tc>
        <w:tc>
          <w:tcPr>
            <w:vAlign w:val="center"/>
          </w:tcPr>
          <w:p>
            <w:pPr>
              <w:jc w:val="center"/>
            </w:pPr>
            <w:r>
              <w:rPr>
                <w:rFonts w:ascii="宋体" w:hAnsi="宋体"/>
                <w:color w:val="000000"/>
                <w:kern w:val="0"/>
              </w:rPr>
              <w:t>299,999,000.00</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299,999,000.00</w:t>
            </w:r>
          </w:p>
        </w:tc>
        <w:tc>
          <w:tcPr>
            <w:vAlign w:val="center"/>
          </w:tcPr>
          <w:p>
            <w:pPr>
              <w:jc w:val="center"/>
            </w:pPr>
            <w:r>
              <w:rPr>
                <w:rFonts w:ascii="宋体" w:hAnsi="宋体"/>
                <w:color w:val="000000"/>
                <w:kern w:val="0"/>
              </w:rPr>
              <w:t>99.99%</w:t>
            </w:r>
          </w:p>
        </w:tc>
      </w:tr>
    </w:tbl>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2"/>
      </w:tblGrid>
      <w:tr w:rsidR="003C50AD" w:rsidRPr="004F4D27" w:rsidTr="00424D30">
        <w:tc>
          <w:tcPr>
            <w:tcW w:w="9212" w:type="dxa"/>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w="9212" w:type="dxa"/>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R="00B22DEE" w:rsidRPr="00E02660"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Chars="200" w:firstLine="480"/>
        <w:rPr>
          <w:color w:val="000000"/>
          <w:sz w:val="24"/>
          <w:szCs w:val="24"/>
        </w:rPr>
      </w:pPr>
      <w:r>
        <w:rPr>
          <w:color w:val="000000"/>
          <w:sz w:val="24"/>
          <w:szCs w:val="24"/>
        </w:rPr>
        <w:t xml:space="preserve">1、中国证监会准予交银施罗德瑞鑫定期开放灵活配置混合型证券投资基金募集注册的文件； </w:t>
      </w:r>
    </w:p>
    <w:p>
      <w:pPr>
        <w:spacing w:before="29" w:line="288" w:lineRule="auto"/>
        <w:ind w:firstLineChars="200" w:firstLine="480"/>
        <w:rPr>
          <w:color w:val="000000"/>
          <w:sz w:val="24"/>
          <w:szCs w:val="24"/>
        </w:rPr>
      </w:pPr>
      <w:r>
        <w:rPr>
          <w:color w:val="000000"/>
          <w:sz w:val="24"/>
          <w:szCs w:val="24"/>
        </w:rPr>
        <w:t xml:space="preserve">2、《交银施罗德瑞鑫定期开放灵活配置混合型证券投资基金基金合同》； </w:t>
      </w:r>
    </w:p>
    <w:p>
      <w:pPr>
        <w:spacing w:before="29" w:line="288" w:lineRule="auto"/>
        <w:ind w:firstLineChars="200" w:firstLine="480"/>
        <w:rPr>
          <w:color w:val="000000"/>
          <w:sz w:val="24"/>
          <w:szCs w:val="24"/>
        </w:rPr>
      </w:pPr>
      <w:r>
        <w:rPr>
          <w:color w:val="000000"/>
          <w:sz w:val="24"/>
          <w:szCs w:val="24"/>
        </w:rPr>
        <w:t xml:space="preserve">3、《交银施罗德瑞鑫定期开放灵活配置混合型证券投资基金招募说明书》； </w:t>
      </w:r>
    </w:p>
    <w:p>
      <w:pPr>
        <w:spacing w:before="29" w:line="288" w:lineRule="auto"/>
        <w:ind w:firstLineChars="200" w:firstLine="480"/>
        <w:rPr>
          <w:color w:val="000000"/>
          <w:sz w:val="24"/>
          <w:szCs w:val="24"/>
        </w:rPr>
      </w:pPr>
      <w:r>
        <w:rPr>
          <w:color w:val="000000"/>
          <w:sz w:val="24"/>
          <w:szCs w:val="24"/>
        </w:rPr>
        <w:t xml:space="preserve">4、《交银施罗德瑞鑫定期开放灵活配置混合型证券投资基金托管协议》； </w:t>
      </w:r>
    </w:p>
    <w:p>
      <w:pPr>
        <w:spacing w:before="29" w:line="288" w:lineRule="auto"/>
        <w:ind w:firstLineChars="200" w:firstLine="480"/>
        <w:rPr>
          <w:color w:val="000000"/>
          <w:sz w:val="24"/>
          <w:szCs w:val="24"/>
        </w:rPr>
      </w:pPr>
      <w:r>
        <w:rPr>
          <w:color w:val="000000"/>
          <w:sz w:val="24"/>
          <w:szCs w:val="24"/>
        </w:rPr>
        <w:t xml:space="preserve">5、关于申请募集注册交银施罗德瑞鑫定期开放灵活配置混合型证券投资基金的法律意见书； </w:t>
      </w:r>
    </w:p>
    <w:p>
      <w:pPr>
        <w:spacing w:before="29" w:line="288" w:lineRule="auto"/>
        <w:ind w:firstLineChars="200" w:firstLine="480"/>
        <w:rPr>
          <w:color w:val="000000"/>
          <w:sz w:val="24"/>
          <w:szCs w:val="24"/>
        </w:rPr>
      </w:pPr>
      <w:r>
        <w:rPr>
          <w:color w:val="000000"/>
          <w:sz w:val="24"/>
          <w:szCs w:val="24"/>
        </w:rPr>
        <w:t xml:space="preserve">6、基金管理人业务资格批件、营业执照； </w:t>
      </w:r>
    </w:p>
    <w:p>
      <w:pPr>
        <w:spacing w:before="29" w:line="288" w:lineRule="auto"/>
        <w:ind w:firstLineChars="200" w:firstLine="480"/>
        <w:rPr>
          <w:color w:val="000000"/>
          <w:sz w:val="24"/>
          <w:szCs w:val="24"/>
        </w:rPr>
      </w:pPr>
      <w:r>
        <w:rPr>
          <w:color w:val="000000"/>
          <w:sz w:val="24"/>
          <w:szCs w:val="24"/>
        </w:rPr>
        <w:t xml:space="preserve">7、基金托管人业务资格批件、营业执照；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8、报告期内交银施罗德瑞鑫定期开放灵活配置混合型证券投资基金在指定报刊上各项公告的原稿。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Chars="200" w:firstLine="480"/>
        <w:rPr>
          <w:color w:val="000000"/>
          <w:sz w:val="24"/>
          <w:szCs w:val="24"/>
        </w:rPr>
      </w:pPr>
      <w:r>
        <w:rPr>
          <w:color w:val="000000"/>
          <w:sz w:val="24"/>
          <w:szCs w:val="24"/>
        </w:rPr>
        <w:t xml:space="preserve">投资者可在办公时间内至基金管理人的办公场所免费查阅备查文件，或者登录基金管理人的网站(www.fund001.com，www.bocomschroder.com)查阅。在支付工本费后，投资者可在合理时间内取得上述文件的复制件或复印件。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A33" w:rsidRDefault="005A0A33" w:rsidP="00876D65">
      <w:r>
        <w:separator/>
      </w:r>
    </w:p>
  </w:endnote>
  <w:endnote w:type="continuationSeparator" w:id="1">
    <w:p w:rsidR="005A0A33" w:rsidRDefault="005A0A33"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EE49FE">
      <w:rPr>
        <w:noProof/>
        <w:kern w:val="0"/>
        <w:szCs w:val="21"/>
      </w:rPr>
      <w:t>1</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EE49FE">
      <w:rPr>
        <w:noProof/>
        <w:kern w:val="0"/>
        <w:szCs w:val="21"/>
      </w:rPr>
      <w:t>15</w:t>
    </w:r>
    <w:r w:rsidR="0052479B">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A33" w:rsidRDefault="005A0A33" w:rsidP="00876D65">
      <w:r>
        <w:separator/>
      </w:r>
    </w:p>
  </w:footnote>
  <w:footnote w:type="continuationSeparator" w:id="1">
    <w:p w:rsidR="005A0A33" w:rsidRDefault="005A0A33"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media/image2.jpeg" Type="http://schemas.openxmlformats.org/officeDocument/2006/relationships/image"/>
<Relationship Id="rId11" Target="fontTable.xml" Type="http://schemas.openxmlformats.org/officeDocument/2006/relationships/fontTable"/>
<Relationship Id="rId12" Target="theme/theme1.xml" Type="http://schemas.openxmlformats.org/officeDocument/2006/relationships/theme"/>
<Relationship Id="rId13" Target="stylesWithEffects.xml" Type="http://schemas.microsoft.com/office/2007/relationships/stylesWithEffects"/>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1.xml.rels><?xml version="1.0" encoding="UTF-8" standalone="yes"?>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DAE05-B3B4-4DEC-B1E6-C012F8D96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15</Pages>
  <Words>3756</Words>
  <Characters>21412</Characters>
  <Application>Microsoft Office Word</Application>
  <DocSecurity>0</DocSecurity>
  <Lines>178</Lines>
  <Paragraphs>50</Paragraphs>
  <ScaleCrop>false</ScaleCrop>
  <Company/>
  <LinksUpToDate>false</LinksUpToDate>
  <CharactersWithSpaces>25118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China</cp:lastModifiedBy>
  <dcterms:modified xsi:type="dcterms:W3CDTF">2017-07-10T10:13:00Z</dcterms:modified>
  <cp:revision>565</cp:revision>
</cp:coreProperties>
</file>