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524,341,083.81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524,338,202.81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2,881.00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交银裕隆纯债债券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交银裕隆纯债债券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5,268,668.08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5,067,825.94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540,835,046.78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2,956.67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1.0263</w:t>
            </w:r>
          </w:p>
        </w:tc>
      </w:tr>
    </w:tbl>
    <w:p w:rsidR="007F19E5" w:rsidRDefault="007204D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B4F77">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B4F77">
        <w:trPr>
          <w:jc w:val="center"/>
        </w:trPr>
        <w:tc>
          <w:tcPr>
            <w:tcW w:w="1266" w:type="dxa"/>
            <w:vAlign w:val="center"/>
          </w:tcPr>
          <w:p w:rsidR="000B4F77" w:rsidRDefault="000B4F77" w:rsidP="000B4F77">
            <w:pPr>
              <w:jc w:val="left"/>
            </w:pPr>
            <w:r>
              <w:rPr>
                <w:color w:val="000000"/>
                <w:sz w:val="24"/>
              </w:rPr>
              <w:lastRenderedPageBreak/>
              <w:t>过去三个月</w:t>
            </w:r>
          </w:p>
        </w:tc>
        <w:tc>
          <w:tcPr>
            <w:tcW w:w="1267" w:type="dxa"/>
            <w:vAlign w:val="center"/>
          </w:tcPr>
          <w:p w:rsidR="000B4F77" w:rsidRDefault="000B4F77" w:rsidP="000B4F77">
            <w:pPr>
              <w:jc w:val="center"/>
            </w:pPr>
            <w:r>
              <w:rPr>
                <w:color w:val="000000"/>
                <w:sz w:val="24"/>
              </w:rPr>
              <w:t>0.95%</w:t>
            </w:r>
          </w:p>
        </w:tc>
        <w:tc>
          <w:tcPr>
            <w:tcW w:w="1267" w:type="dxa"/>
            <w:vAlign w:val="center"/>
          </w:tcPr>
          <w:p w:rsidR="000B4F77" w:rsidRDefault="000B4F77" w:rsidP="000B4F77">
            <w:pPr>
              <w:jc w:val="center"/>
            </w:pPr>
            <w:r>
              <w:rPr>
                <w:color w:val="000000"/>
                <w:sz w:val="24"/>
              </w:rPr>
              <w:t>0.03%</w:t>
            </w:r>
          </w:p>
        </w:tc>
        <w:tc>
          <w:tcPr>
            <w:tcW w:w="1267" w:type="dxa"/>
            <w:vAlign w:val="center"/>
          </w:tcPr>
          <w:p w:rsidR="000B4F77" w:rsidRPr="000B4F77" w:rsidRDefault="000B4F77" w:rsidP="000B4F77">
            <w:pPr>
              <w:jc w:val="center"/>
            </w:pPr>
            <w:r w:rsidRPr="003E742D">
              <w:rPr>
                <w:color w:val="000000"/>
                <w:sz w:val="24"/>
              </w:rPr>
              <w:t>-0.15%</w:t>
            </w:r>
          </w:p>
        </w:tc>
        <w:tc>
          <w:tcPr>
            <w:tcW w:w="1267" w:type="dxa"/>
            <w:vAlign w:val="center"/>
          </w:tcPr>
          <w:p w:rsidR="000B4F77" w:rsidRPr="000B4F77" w:rsidRDefault="000B4F77" w:rsidP="000B4F77">
            <w:pPr>
              <w:jc w:val="center"/>
            </w:pPr>
            <w:r w:rsidRPr="003E742D">
              <w:rPr>
                <w:color w:val="000000"/>
                <w:sz w:val="24"/>
              </w:rPr>
              <w:t>0.03%</w:t>
            </w:r>
          </w:p>
        </w:tc>
        <w:tc>
          <w:tcPr>
            <w:tcW w:w="1267" w:type="dxa"/>
            <w:vAlign w:val="center"/>
          </w:tcPr>
          <w:p w:rsidR="000B4F77" w:rsidRPr="000B4F77" w:rsidRDefault="000B4F77" w:rsidP="000B4F77">
            <w:pPr>
              <w:jc w:val="center"/>
            </w:pPr>
            <w:r w:rsidRPr="003E742D">
              <w:rPr>
                <w:color w:val="000000"/>
                <w:sz w:val="24"/>
              </w:rPr>
              <w:t>1.10%</w:t>
            </w:r>
          </w:p>
        </w:tc>
        <w:tc>
          <w:tcPr>
            <w:tcW w:w="1267" w:type="dxa"/>
            <w:vAlign w:val="center"/>
          </w:tcPr>
          <w:p w:rsidR="000B4F77" w:rsidRPr="000B4F77" w:rsidRDefault="000B4F77" w:rsidP="000B4F77">
            <w:pPr>
              <w:jc w:val="center"/>
            </w:pPr>
            <w:r w:rsidRPr="003E742D">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B4F77">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B4F77" w:rsidRPr="000B4F77">
        <w:trPr>
          <w:jc w:val="center"/>
        </w:trPr>
        <w:tc>
          <w:tcPr>
            <w:tcW w:w="1266" w:type="dxa"/>
            <w:vAlign w:val="center"/>
          </w:tcPr>
          <w:p w:rsidR="000B4F77" w:rsidRDefault="000B4F77" w:rsidP="000B4F77">
            <w:pPr>
              <w:jc w:val="left"/>
            </w:pPr>
            <w:r>
              <w:rPr>
                <w:color w:val="000000"/>
                <w:sz w:val="24"/>
              </w:rPr>
              <w:t>过去三个月</w:t>
            </w:r>
          </w:p>
        </w:tc>
        <w:tc>
          <w:tcPr>
            <w:tcW w:w="1267" w:type="dxa"/>
            <w:vAlign w:val="center"/>
          </w:tcPr>
          <w:p w:rsidR="000B4F77" w:rsidRDefault="000B4F77" w:rsidP="000B4F77">
            <w:pPr>
              <w:jc w:val="center"/>
            </w:pPr>
            <w:r>
              <w:rPr>
                <w:color w:val="000000"/>
                <w:sz w:val="24"/>
              </w:rPr>
              <w:t>0.85%</w:t>
            </w:r>
          </w:p>
        </w:tc>
        <w:tc>
          <w:tcPr>
            <w:tcW w:w="1267" w:type="dxa"/>
            <w:vAlign w:val="center"/>
          </w:tcPr>
          <w:p w:rsidR="000B4F77" w:rsidRDefault="000B4F77" w:rsidP="000B4F77">
            <w:pPr>
              <w:jc w:val="center"/>
            </w:pPr>
            <w:r>
              <w:rPr>
                <w:color w:val="000000"/>
                <w:sz w:val="24"/>
              </w:rPr>
              <w:t>0.03%</w:t>
            </w:r>
          </w:p>
        </w:tc>
        <w:tc>
          <w:tcPr>
            <w:tcW w:w="1267" w:type="dxa"/>
            <w:vAlign w:val="center"/>
          </w:tcPr>
          <w:p w:rsidR="000B4F77" w:rsidRPr="000B4F77" w:rsidRDefault="000B4F77" w:rsidP="000B4F77">
            <w:pPr>
              <w:jc w:val="center"/>
            </w:pPr>
            <w:r w:rsidRPr="003E742D">
              <w:rPr>
                <w:color w:val="000000"/>
                <w:sz w:val="24"/>
              </w:rPr>
              <w:t>-0.15%</w:t>
            </w:r>
          </w:p>
        </w:tc>
        <w:tc>
          <w:tcPr>
            <w:tcW w:w="1267" w:type="dxa"/>
            <w:vAlign w:val="center"/>
          </w:tcPr>
          <w:p w:rsidR="000B4F77" w:rsidRPr="000B4F77" w:rsidRDefault="000B4F77" w:rsidP="000B4F77">
            <w:pPr>
              <w:jc w:val="center"/>
            </w:pPr>
            <w:r w:rsidRPr="003E742D">
              <w:rPr>
                <w:color w:val="000000"/>
                <w:sz w:val="24"/>
              </w:rPr>
              <w:t>0.03%</w:t>
            </w:r>
          </w:p>
        </w:tc>
        <w:tc>
          <w:tcPr>
            <w:tcW w:w="1267" w:type="dxa"/>
            <w:vAlign w:val="center"/>
          </w:tcPr>
          <w:p w:rsidR="000B4F77" w:rsidRPr="000B4F77" w:rsidRDefault="000B4F77" w:rsidP="000B4F77">
            <w:pPr>
              <w:jc w:val="center"/>
            </w:pPr>
            <w:r w:rsidRPr="003E742D">
              <w:rPr>
                <w:color w:val="000000"/>
                <w:sz w:val="24"/>
              </w:rPr>
              <w:t>1.00%</w:t>
            </w:r>
          </w:p>
        </w:tc>
        <w:tc>
          <w:tcPr>
            <w:tcW w:w="1267" w:type="dxa"/>
            <w:vAlign w:val="center"/>
          </w:tcPr>
          <w:p w:rsidR="000B4F77" w:rsidRPr="000B4F77" w:rsidRDefault="000B4F77" w:rsidP="000B4F77">
            <w:pPr>
              <w:jc w:val="center"/>
            </w:pPr>
            <w:r w:rsidRPr="003E742D">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F19E5">
        <w:trPr>
          <w:jc w:val="center"/>
        </w:trPr>
        <w:tc>
          <w:tcPr>
            <w:tcW w:w="946" w:type="dxa"/>
            <w:vAlign w:val="center"/>
          </w:tcPr>
          <w:p w:rsidR="007F19E5" w:rsidRDefault="007204DC">
            <w:pPr>
              <w:jc w:val="center"/>
            </w:pPr>
            <w:r>
              <w:rPr>
                <w:color w:val="000000"/>
                <w:sz w:val="24"/>
              </w:rPr>
              <w:t>黄莹洁</w:t>
            </w:r>
          </w:p>
        </w:tc>
        <w:tc>
          <w:tcPr>
            <w:tcW w:w="924" w:type="dxa"/>
            <w:vAlign w:val="center"/>
          </w:tcPr>
          <w:p w:rsidR="007F19E5" w:rsidRDefault="007204DC">
            <w:pPr>
              <w:jc w:val="center"/>
            </w:pPr>
            <w:r>
              <w:rPr>
                <w:color w:val="000000"/>
                <w:sz w:val="24"/>
              </w:rPr>
              <w:t>交银货币、交银理财</w:t>
            </w:r>
            <w:r>
              <w:rPr>
                <w:color w:val="000000"/>
                <w:sz w:val="24"/>
              </w:rPr>
              <w:t>21</w:t>
            </w:r>
            <w:r>
              <w:rPr>
                <w:color w:val="000000"/>
                <w:sz w:val="24"/>
              </w:rPr>
              <w:t>天债券、交银现金宝货</w:t>
            </w:r>
            <w:r>
              <w:rPr>
                <w:color w:val="000000"/>
                <w:sz w:val="24"/>
              </w:rPr>
              <w:lastRenderedPageBreak/>
              <w:t>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7F19E5" w:rsidRDefault="007204DC">
            <w:pPr>
              <w:jc w:val="center"/>
            </w:pPr>
            <w:r>
              <w:rPr>
                <w:color w:val="000000"/>
                <w:sz w:val="24"/>
              </w:rPr>
              <w:lastRenderedPageBreak/>
              <w:t>2016-11-28</w:t>
            </w:r>
          </w:p>
        </w:tc>
        <w:tc>
          <w:tcPr>
            <w:tcW w:w="1300" w:type="dxa"/>
            <w:vAlign w:val="center"/>
          </w:tcPr>
          <w:p w:rsidR="007F19E5" w:rsidRDefault="007204DC">
            <w:pPr>
              <w:jc w:val="center"/>
            </w:pPr>
            <w:r>
              <w:rPr>
                <w:color w:val="000000"/>
                <w:sz w:val="24"/>
              </w:rPr>
              <w:t>-</w:t>
            </w:r>
          </w:p>
        </w:tc>
        <w:tc>
          <w:tcPr>
            <w:tcW w:w="1245" w:type="dxa"/>
            <w:vAlign w:val="center"/>
          </w:tcPr>
          <w:p w:rsidR="007F19E5" w:rsidRDefault="007204DC">
            <w:pPr>
              <w:jc w:val="center"/>
            </w:pPr>
            <w:r>
              <w:rPr>
                <w:color w:val="000000"/>
                <w:sz w:val="24"/>
              </w:rPr>
              <w:t>9</w:t>
            </w:r>
            <w:r>
              <w:rPr>
                <w:color w:val="000000"/>
                <w:sz w:val="24"/>
              </w:rPr>
              <w:t>年</w:t>
            </w:r>
          </w:p>
        </w:tc>
        <w:tc>
          <w:tcPr>
            <w:tcW w:w="3251" w:type="dxa"/>
            <w:vAlign w:val="center"/>
          </w:tcPr>
          <w:p w:rsidR="007F19E5" w:rsidRDefault="007204D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7F19E5">
        <w:trPr>
          <w:jc w:val="center"/>
        </w:trPr>
        <w:tc>
          <w:tcPr>
            <w:tcW w:w="946" w:type="dxa"/>
            <w:vAlign w:val="center"/>
          </w:tcPr>
          <w:p w:rsidR="007F19E5" w:rsidRDefault="007204DC">
            <w:pPr>
              <w:jc w:val="center"/>
            </w:pPr>
            <w:r>
              <w:rPr>
                <w:color w:val="000000"/>
                <w:sz w:val="24"/>
              </w:rPr>
              <w:lastRenderedPageBreak/>
              <w:t>连端清</w:t>
            </w:r>
          </w:p>
        </w:tc>
        <w:tc>
          <w:tcPr>
            <w:tcW w:w="924" w:type="dxa"/>
            <w:vAlign w:val="center"/>
          </w:tcPr>
          <w:p w:rsidR="007F19E5" w:rsidRDefault="007204DC">
            <w:pPr>
              <w:jc w:val="center"/>
            </w:pPr>
            <w:r>
              <w:rPr>
                <w:color w:val="000000"/>
                <w:sz w:val="24"/>
              </w:rPr>
              <w:t>交银货币、交银理财</w:t>
            </w:r>
            <w:r>
              <w:rPr>
                <w:color w:val="000000"/>
                <w:sz w:val="24"/>
              </w:rPr>
              <w:t>60</w:t>
            </w:r>
            <w:r>
              <w:rPr>
                <w:color w:val="000000"/>
                <w:sz w:val="24"/>
              </w:rPr>
              <w:t>天债券、</w:t>
            </w:r>
            <w:r>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Pr>
                <w:color w:val="000000"/>
                <w:sz w:val="24"/>
              </w:rPr>
              <w:lastRenderedPageBreak/>
              <w:t>益债券的基金经理</w:t>
            </w:r>
          </w:p>
        </w:tc>
        <w:tc>
          <w:tcPr>
            <w:tcW w:w="1202" w:type="dxa"/>
            <w:vAlign w:val="center"/>
          </w:tcPr>
          <w:p w:rsidR="007F19E5" w:rsidRDefault="007204DC">
            <w:pPr>
              <w:jc w:val="center"/>
            </w:pPr>
            <w:r>
              <w:rPr>
                <w:color w:val="000000"/>
                <w:sz w:val="24"/>
              </w:rPr>
              <w:lastRenderedPageBreak/>
              <w:t>2016-11-28</w:t>
            </w:r>
          </w:p>
        </w:tc>
        <w:tc>
          <w:tcPr>
            <w:tcW w:w="1300" w:type="dxa"/>
            <w:vAlign w:val="center"/>
          </w:tcPr>
          <w:p w:rsidR="007F19E5" w:rsidRDefault="007204DC">
            <w:pPr>
              <w:jc w:val="center"/>
            </w:pPr>
            <w:r>
              <w:rPr>
                <w:color w:val="000000"/>
                <w:sz w:val="24"/>
              </w:rPr>
              <w:t>-</w:t>
            </w:r>
          </w:p>
        </w:tc>
        <w:tc>
          <w:tcPr>
            <w:tcW w:w="1245" w:type="dxa"/>
            <w:vAlign w:val="center"/>
          </w:tcPr>
          <w:p w:rsidR="007F19E5" w:rsidRDefault="007204DC">
            <w:pPr>
              <w:jc w:val="center"/>
            </w:pPr>
            <w:r>
              <w:rPr>
                <w:color w:val="000000"/>
                <w:sz w:val="24"/>
              </w:rPr>
              <w:t>4</w:t>
            </w:r>
            <w:r>
              <w:rPr>
                <w:color w:val="000000"/>
                <w:sz w:val="24"/>
              </w:rPr>
              <w:t>年</w:t>
            </w:r>
          </w:p>
        </w:tc>
        <w:tc>
          <w:tcPr>
            <w:tcW w:w="3251" w:type="dxa"/>
            <w:vAlign w:val="center"/>
          </w:tcPr>
          <w:p w:rsidR="007F19E5" w:rsidRDefault="007204D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7F19E5" w:rsidRDefault="007204DC">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F19E5" w:rsidRDefault="007204DC" w:rsidP="003E742D">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3E742D">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7F19E5" w:rsidRDefault="007204D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F19E5" w:rsidRDefault="007204D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F19E5" w:rsidRDefault="007204D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w:t>
      </w:r>
      <w:r w:rsidRPr="007F52FA">
        <w:rPr>
          <w:color w:val="000000"/>
          <w:sz w:val="24"/>
        </w:rPr>
        <w:lastRenderedPageBreak/>
        <w:t>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F19E5" w:rsidRDefault="007204DC">
      <w:pPr>
        <w:spacing w:before="29" w:line="288" w:lineRule="auto"/>
        <w:ind w:firstLineChars="200" w:firstLine="480"/>
        <w:rPr>
          <w:color w:val="000000"/>
          <w:sz w:val="24"/>
        </w:rPr>
      </w:pPr>
      <w:r>
        <w:rPr>
          <w:color w:val="000000"/>
          <w:sz w:val="24"/>
        </w:rPr>
        <w:t>本报告期内，经济数据连续低于预期，除了环保限产的政策影响，今年上半年支撑力较强的因素如房地产、基建和出口均显出一定的疲态。通胀方面，低于季节性周期变化的食品价格显著拉低</w:t>
      </w:r>
      <w:r>
        <w:rPr>
          <w:color w:val="000000"/>
          <w:sz w:val="24"/>
        </w:rPr>
        <w:t>CPI</w:t>
      </w:r>
      <w:r>
        <w:rPr>
          <w:color w:val="000000"/>
          <w:sz w:val="24"/>
        </w:rPr>
        <w:t>同比，但是非食品项持续高于其季节性周期变化，其中原油、服务类价格上涨是主因。货币政策稳健中性的基调不变，流动性总体紧平衡。</w:t>
      </w:r>
    </w:p>
    <w:p w:rsidR="007F19E5" w:rsidRDefault="007204DC">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基金操作方面，从绝对收益率、期限利差和金融去杠杆角度看，目前中短端仍是较好的选择，基金以配置短久期的信用债为主。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展望四季度，经济虽有韧性，但在出口、基建和房地产下行的拖累下，</w:t>
      </w:r>
      <w:r w:rsidRPr="007F52FA">
        <w:rPr>
          <w:color w:val="000000"/>
          <w:sz w:val="24"/>
        </w:rPr>
        <w:t>GDP</w:t>
      </w:r>
      <w:r w:rsidRPr="007F52FA">
        <w:rPr>
          <w:color w:val="000000"/>
          <w:sz w:val="24"/>
        </w:rPr>
        <w:t>名义增速逐步下行概率较大，市场对于通胀的预期逐渐抬升，后续需密切关注食品价格变化以及</w:t>
      </w:r>
      <w:r w:rsidRPr="007F52FA">
        <w:rPr>
          <w:color w:val="000000"/>
          <w:sz w:val="24"/>
        </w:rPr>
        <w:t>PPI</w:t>
      </w:r>
      <w:r w:rsidRPr="007F52FA">
        <w:rPr>
          <w:color w:val="000000"/>
          <w:sz w:val="24"/>
        </w:rPr>
        <w:t>向</w:t>
      </w:r>
      <w:r w:rsidRPr="007F52FA">
        <w:rPr>
          <w:color w:val="000000"/>
          <w:sz w:val="24"/>
        </w:rPr>
        <w:t>CPI</w:t>
      </w:r>
      <w:r w:rsidRPr="007F52FA">
        <w:rPr>
          <w:color w:val="000000"/>
          <w:sz w:val="24"/>
        </w:rPr>
        <w:t>的传导是否顺畅。此前快速增加的理财、同业存单规模已逐步降低增速，这表明金融去杠杆已经颇有成效</w:t>
      </w:r>
      <w:r w:rsidRPr="007F52FA">
        <w:rPr>
          <w:color w:val="000000"/>
          <w:sz w:val="24"/>
        </w:rPr>
        <w:t xml:space="preserve">, </w:t>
      </w:r>
      <w:r w:rsidRPr="007F52FA">
        <w:rPr>
          <w:color w:val="000000"/>
          <w:sz w:val="24"/>
        </w:rPr>
        <w:t>但是我们预计去杠杆政策仍将延续，货币政策将会保持不紧不松的状态，流动性压力会始终存在。组合管理方面，本基金预计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日，交银裕隆纯债</w:t>
      </w:r>
      <w:r w:rsidRPr="000B4F77">
        <w:rPr>
          <w:color w:val="000000"/>
          <w:sz w:val="24"/>
        </w:rPr>
        <w:t>A</w:t>
      </w:r>
      <w:r w:rsidRPr="000B4F77">
        <w:rPr>
          <w:rFonts w:hint="eastAsia"/>
          <w:color w:val="000000"/>
          <w:sz w:val="24"/>
        </w:rPr>
        <w:t>份额净值为</w:t>
      </w:r>
      <w:r w:rsidRPr="000B4F77">
        <w:rPr>
          <w:color w:val="000000"/>
          <w:sz w:val="24"/>
        </w:rPr>
        <w:t>1.0315</w:t>
      </w:r>
      <w:r w:rsidRPr="000B4F77">
        <w:rPr>
          <w:rFonts w:hint="eastAsia"/>
          <w:color w:val="000000"/>
          <w:sz w:val="24"/>
        </w:rPr>
        <w:t>元，本报告期份额净值增长率为</w:t>
      </w:r>
      <w:r w:rsidRPr="000B4F77">
        <w:rPr>
          <w:color w:val="000000"/>
          <w:sz w:val="24"/>
        </w:rPr>
        <w:t>0.95%</w:t>
      </w:r>
      <w:r w:rsidRPr="000B4F77">
        <w:rPr>
          <w:rFonts w:hint="eastAsia"/>
          <w:color w:val="000000"/>
          <w:sz w:val="24"/>
        </w:rPr>
        <w:t>，同期业绩比较基准增长率为</w:t>
      </w:r>
      <w:r w:rsidR="000B4F77" w:rsidRPr="003E742D">
        <w:rPr>
          <w:color w:val="000000"/>
          <w:sz w:val="24"/>
        </w:rPr>
        <w:t>-0.15%</w:t>
      </w:r>
      <w:r w:rsidRPr="000B4F77">
        <w:rPr>
          <w:rFonts w:hint="eastAsia"/>
          <w:color w:val="000000"/>
          <w:sz w:val="24"/>
        </w:rPr>
        <w:t>；交银裕兴纯债</w:t>
      </w:r>
      <w:r w:rsidRPr="000B4F77">
        <w:rPr>
          <w:color w:val="000000"/>
          <w:sz w:val="24"/>
        </w:rPr>
        <w:t>C</w:t>
      </w:r>
      <w:r w:rsidRPr="000B4F77">
        <w:rPr>
          <w:rFonts w:hint="eastAsia"/>
          <w:color w:val="000000"/>
          <w:sz w:val="24"/>
        </w:rPr>
        <w:t>份额净值为</w:t>
      </w:r>
      <w:r w:rsidRPr="000B4F77">
        <w:rPr>
          <w:color w:val="000000"/>
          <w:sz w:val="24"/>
        </w:rPr>
        <w:t>1.0263</w:t>
      </w:r>
      <w:r w:rsidRPr="000B4F77">
        <w:rPr>
          <w:rFonts w:hint="eastAsia"/>
          <w:color w:val="000000"/>
          <w:sz w:val="24"/>
        </w:rPr>
        <w:t>元，本报告期份额净值增长率为</w:t>
      </w:r>
      <w:r w:rsidRPr="000B4F77">
        <w:rPr>
          <w:color w:val="000000"/>
          <w:sz w:val="24"/>
        </w:rPr>
        <w:t>0.85%</w:t>
      </w:r>
      <w:r w:rsidRPr="000B4F77">
        <w:rPr>
          <w:rFonts w:hint="eastAsia"/>
          <w:color w:val="000000"/>
          <w:sz w:val="24"/>
        </w:rPr>
        <w:t>，同期业绩比较基准增长率为</w:t>
      </w:r>
      <w:r w:rsidR="000B4F77" w:rsidRPr="003E742D">
        <w:rPr>
          <w:color w:val="000000"/>
          <w:sz w:val="24"/>
        </w:rPr>
        <w:t>-0.15%</w:t>
      </w:r>
      <w:r w:rsidRPr="000B4F77">
        <w:rPr>
          <w:rFonts w:hint="eastAsia"/>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674,942,900.00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674,942,900.00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313,059.99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0.05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12,204,420.84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687,660,380.83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110,331,000.00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20.40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438,057,900.00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81.00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76,796,000.00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14.20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674,942,900.00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124.80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F19E5">
        <w:trPr>
          <w:jc w:val="center"/>
        </w:trPr>
        <w:tc>
          <w:tcPr>
            <w:tcW w:w="1075" w:type="dxa"/>
            <w:vAlign w:val="center"/>
          </w:tcPr>
          <w:p w:rsidR="007F19E5" w:rsidRDefault="007204DC">
            <w:pPr>
              <w:jc w:val="center"/>
            </w:pPr>
            <w:r>
              <w:rPr>
                <w:color w:val="000000"/>
                <w:sz w:val="24"/>
              </w:rPr>
              <w:t>1</w:t>
            </w:r>
          </w:p>
        </w:tc>
        <w:tc>
          <w:tcPr>
            <w:tcW w:w="1533" w:type="dxa"/>
            <w:vAlign w:val="center"/>
          </w:tcPr>
          <w:p w:rsidR="007F19E5" w:rsidRDefault="007204DC">
            <w:pPr>
              <w:jc w:val="center"/>
            </w:pPr>
            <w:r>
              <w:rPr>
                <w:color w:val="000000"/>
                <w:sz w:val="24"/>
              </w:rPr>
              <w:t>101760007</w:t>
            </w:r>
          </w:p>
        </w:tc>
        <w:tc>
          <w:tcPr>
            <w:tcW w:w="1533" w:type="dxa"/>
            <w:vAlign w:val="center"/>
          </w:tcPr>
          <w:p w:rsidR="007F19E5" w:rsidRDefault="007204DC">
            <w:pPr>
              <w:jc w:val="center"/>
            </w:pPr>
            <w:r>
              <w:rPr>
                <w:color w:val="000000"/>
                <w:sz w:val="24"/>
              </w:rPr>
              <w:t>17</w:t>
            </w:r>
            <w:r>
              <w:rPr>
                <w:color w:val="000000"/>
                <w:sz w:val="24"/>
              </w:rPr>
              <w:t>象屿</w:t>
            </w:r>
            <w:r>
              <w:rPr>
                <w:color w:val="000000"/>
                <w:sz w:val="24"/>
              </w:rPr>
              <w:t>MTN001</w:t>
            </w:r>
          </w:p>
        </w:tc>
        <w:tc>
          <w:tcPr>
            <w:tcW w:w="1394" w:type="dxa"/>
            <w:vAlign w:val="center"/>
          </w:tcPr>
          <w:p w:rsidR="007F19E5" w:rsidRDefault="007204DC">
            <w:pPr>
              <w:jc w:val="right"/>
            </w:pPr>
            <w:r>
              <w:rPr>
                <w:color w:val="000000"/>
                <w:sz w:val="24"/>
              </w:rPr>
              <w:t>400,000</w:t>
            </w:r>
          </w:p>
        </w:tc>
        <w:tc>
          <w:tcPr>
            <w:tcW w:w="1944" w:type="dxa"/>
            <w:vAlign w:val="center"/>
          </w:tcPr>
          <w:p w:rsidR="007F19E5" w:rsidRDefault="007204DC">
            <w:pPr>
              <w:jc w:val="right"/>
            </w:pPr>
            <w:r>
              <w:rPr>
                <w:color w:val="000000"/>
                <w:sz w:val="24"/>
              </w:rPr>
              <w:t>40,280,000.00</w:t>
            </w:r>
          </w:p>
        </w:tc>
        <w:tc>
          <w:tcPr>
            <w:tcW w:w="1389" w:type="dxa"/>
            <w:vAlign w:val="center"/>
          </w:tcPr>
          <w:p w:rsidR="007F19E5" w:rsidRDefault="007204DC">
            <w:pPr>
              <w:jc w:val="right"/>
            </w:pPr>
            <w:r>
              <w:rPr>
                <w:color w:val="000000"/>
                <w:sz w:val="24"/>
              </w:rPr>
              <w:t>7.45</w:t>
            </w:r>
          </w:p>
        </w:tc>
      </w:tr>
      <w:tr w:rsidR="007F19E5">
        <w:trPr>
          <w:jc w:val="center"/>
        </w:trPr>
        <w:tc>
          <w:tcPr>
            <w:tcW w:w="1075" w:type="dxa"/>
            <w:vAlign w:val="center"/>
          </w:tcPr>
          <w:p w:rsidR="007F19E5" w:rsidRDefault="007204DC">
            <w:pPr>
              <w:jc w:val="center"/>
            </w:pPr>
            <w:r>
              <w:rPr>
                <w:color w:val="000000"/>
                <w:sz w:val="24"/>
              </w:rPr>
              <w:t>2</w:t>
            </w:r>
          </w:p>
        </w:tc>
        <w:tc>
          <w:tcPr>
            <w:tcW w:w="1533" w:type="dxa"/>
            <w:vAlign w:val="center"/>
          </w:tcPr>
          <w:p w:rsidR="007F19E5" w:rsidRDefault="007204DC">
            <w:pPr>
              <w:jc w:val="center"/>
            </w:pPr>
            <w:r>
              <w:rPr>
                <w:color w:val="000000"/>
                <w:sz w:val="24"/>
              </w:rPr>
              <w:t>101658015</w:t>
            </w:r>
          </w:p>
        </w:tc>
        <w:tc>
          <w:tcPr>
            <w:tcW w:w="1533" w:type="dxa"/>
            <w:vAlign w:val="center"/>
          </w:tcPr>
          <w:p w:rsidR="007F19E5" w:rsidRDefault="007204DC">
            <w:pPr>
              <w:jc w:val="center"/>
            </w:pPr>
            <w:r>
              <w:rPr>
                <w:color w:val="000000"/>
                <w:sz w:val="24"/>
              </w:rPr>
              <w:t>16</w:t>
            </w:r>
            <w:r>
              <w:rPr>
                <w:color w:val="000000"/>
                <w:sz w:val="24"/>
              </w:rPr>
              <w:t>雨花国投</w:t>
            </w:r>
            <w:r>
              <w:rPr>
                <w:color w:val="000000"/>
                <w:sz w:val="24"/>
              </w:rPr>
              <w:t>MTN001</w:t>
            </w:r>
          </w:p>
        </w:tc>
        <w:tc>
          <w:tcPr>
            <w:tcW w:w="1394" w:type="dxa"/>
            <w:vAlign w:val="center"/>
          </w:tcPr>
          <w:p w:rsidR="007F19E5" w:rsidRDefault="007204DC">
            <w:pPr>
              <w:jc w:val="right"/>
            </w:pPr>
            <w:r>
              <w:rPr>
                <w:color w:val="000000"/>
                <w:sz w:val="24"/>
              </w:rPr>
              <w:t>400,000</w:t>
            </w:r>
          </w:p>
        </w:tc>
        <w:tc>
          <w:tcPr>
            <w:tcW w:w="1944" w:type="dxa"/>
            <w:vAlign w:val="center"/>
          </w:tcPr>
          <w:p w:rsidR="007F19E5" w:rsidRDefault="007204DC">
            <w:pPr>
              <w:jc w:val="right"/>
            </w:pPr>
            <w:r>
              <w:rPr>
                <w:color w:val="000000"/>
                <w:sz w:val="24"/>
              </w:rPr>
              <w:t>39,204,000.00</w:t>
            </w:r>
          </w:p>
        </w:tc>
        <w:tc>
          <w:tcPr>
            <w:tcW w:w="1389" w:type="dxa"/>
            <w:vAlign w:val="center"/>
          </w:tcPr>
          <w:p w:rsidR="007F19E5" w:rsidRDefault="007204DC">
            <w:pPr>
              <w:jc w:val="right"/>
            </w:pPr>
            <w:r>
              <w:rPr>
                <w:color w:val="000000"/>
                <w:sz w:val="24"/>
              </w:rPr>
              <w:t>7.25</w:t>
            </w:r>
          </w:p>
        </w:tc>
      </w:tr>
      <w:tr w:rsidR="007F19E5">
        <w:trPr>
          <w:jc w:val="center"/>
        </w:trPr>
        <w:tc>
          <w:tcPr>
            <w:tcW w:w="1075" w:type="dxa"/>
            <w:vAlign w:val="center"/>
          </w:tcPr>
          <w:p w:rsidR="007F19E5" w:rsidRDefault="007204DC">
            <w:pPr>
              <w:jc w:val="center"/>
            </w:pPr>
            <w:r>
              <w:rPr>
                <w:color w:val="000000"/>
                <w:sz w:val="24"/>
              </w:rPr>
              <w:t>3</w:t>
            </w:r>
          </w:p>
        </w:tc>
        <w:tc>
          <w:tcPr>
            <w:tcW w:w="1533" w:type="dxa"/>
            <w:vAlign w:val="center"/>
          </w:tcPr>
          <w:p w:rsidR="007F19E5" w:rsidRDefault="007204DC">
            <w:pPr>
              <w:jc w:val="center"/>
            </w:pPr>
            <w:r>
              <w:rPr>
                <w:color w:val="000000"/>
                <w:sz w:val="24"/>
              </w:rPr>
              <w:t>101652045</w:t>
            </w:r>
          </w:p>
        </w:tc>
        <w:tc>
          <w:tcPr>
            <w:tcW w:w="1533" w:type="dxa"/>
            <w:vAlign w:val="center"/>
          </w:tcPr>
          <w:p w:rsidR="007F19E5" w:rsidRDefault="007204DC">
            <w:pPr>
              <w:jc w:val="center"/>
            </w:pPr>
            <w:r>
              <w:rPr>
                <w:color w:val="000000"/>
                <w:sz w:val="24"/>
              </w:rPr>
              <w:t>16</w:t>
            </w:r>
            <w:r>
              <w:rPr>
                <w:color w:val="000000"/>
                <w:sz w:val="24"/>
              </w:rPr>
              <w:t>许继</w:t>
            </w:r>
            <w:r>
              <w:rPr>
                <w:color w:val="000000"/>
                <w:sz w:val="24"/>
              </w:rPr>
              <w:t>MTN001</w:t>
            </w:r>
          </w:p>
        </w:tc>
        <w:tc>
          <w:tcPr>
            <w:tcW w:w="1394" w:type="dxa"/>
            <w:vAlign w:val="center"/>
          </w:tcPr>
          <w:p w:rsidR="007F19E5" w:rsidRDefault="007204DC">
            <w:pPr>
              <w:jc w:val="right"/>
            </w:pPr>
            <w:r>
              <w:rPr>
                <w:color w:val="000000"/>
                <w:sz w:val="24"/>
              </w:rPr>
              <w:t>400,000</w:t>
            </w:r>
          </w:p>
        </w:tc>
        <w:tc>
          <w:tcPr>
            <w:tcW w:w="1944" w:type="dxa"/>
            <w:vAlign w:val="center"/>
          </w:tcPr>
          <w:p w:rsidR="007F19E5" w:rsidRDefault="007204DC">
            <w:pPr>
              <w:jc w:val="right"/>
            </w:pPr>
            <w:r>
              <w:rPr>
                <w:color w:val="000000"/>
                <w:sz w:val="24"/>
              </w:rPr>
              <w:t>38,980,000.00</w:t>
            </w:r>
          </w:p>
        </w:tc>
        <w:tc>
          <w:tcPr>
            <w:tcW w:w="1389" w:type="dxa"/>
            <w:vAlign w:val="center"/>
          </w:tcPr>
          <w:p w:rsidR="007F19E5" w:rsidRDefault="007204DC">
            <w:pPr>
              <w:jc w:val="right"/>
            </w:pPr>
            <w:r>
              <w:rPr>
                <w:color w:val="000000"/>
                <w:sz w:val="24"/>
              </w:rPr>
              <w:t>7.21</w:t>
            </w:r>
          </w:p>
        </w:tc>
      </w:tr>
      <w:tr w:rsidR="007F19E5">
        <w:trPr>
          <w:jc w:val="center"/>
        </w:trPr>
        <w:tc>
          <w:tcPr>
            <w:tcW w:w="1075" w:type="dxa"/>
            <w:vAlign w:val="center"/>
          </w:tcPr>
          <w:p w:rsidR="007F19E5" w:rsidRDefault="007204DC">
            <w:pPr>
              <w:jc w:val="center"/>
            </w:pPr>
            <w:r>
              <w:rPr>
                <w:color w:val="000000"/>
                <w:sz w:val="24"/>
              </w:rPr>
              <w:t>4</w:t>
            </w:r>
          </w:p>
        </w:tc>
        <w:tc>
          <w:tcPr>
            <w:tcW w:w="1533" w:type="dxa"/>
            <w:vAlign w:val="center"/>
          </w:tcPr>
          <w:p w:rsidR="007F19E5" w:rsidRDefault="007204DC">
            <w:pPr>
              <w:jc w:val="center"/>
            </w:pPr>
            <w:r>
              <w:rPr>
                <w:color w:val="000000"/>
                <w:sz w:val="24"/>
              </w:rPr>
              <w:t>101456057</w:t>
            </w:r>
          </w:p>
        </w:tc>
        <w:tc>
          <w:tcPr>
            <w:tcW w:w="1533" w:type="dxa"/>
            <w:vAlign w:val="center"/>
          </w:tcPr>
          <w:p w:rsidR="007F19E5" w:rsidRDefault="007204DC">
            <w:pPr>
              <w:jc w:val="center"/>
            </w:pPr>
            <w:r>
              <w:rPr>
                <w:color w:val="000000"/>
                <w:sz w:val="24"/>
              </w:rPr>
              <w:t>14</w:t>
            </w:r>
            <w:r>
              <w:rPr>
                <w:color w:val="000000"/>
                <w:sz w:val="24"/>
              </w:rPr>
              <w:t>榕交建</w:t>
            </w:r>
            <w:r>
              <w:rPr>
                <w:color w:val="000000"/>
                <w:sz w:val="24"/>
              </w:rPr>
              <w:t>MTN001</w:t>
            </w:r>
          </w:p>
        </w:tc>
        <w:tc>
          <w:tcPr>
            <w:tcW w:w="1394" w:type="dxa"/>
            <w:vAlign w:val="center"/>
          </w:tcPr>
          <w:p w:rsidR="007F19E5" w:rsidRDefault="007204DC">
            <w:pPr>
              <w:jc w:val="right"/>
            </w:pPr>
            <w:r>
              <w:rPr>
                <w:color w:val="000000"/>
                <w:sz w:val="24"/>
              </w:rPr>
              <w:t>300,000</w:t>
            </w:r>
          </w:p>
        </w:tc>
        <w:tc>
          <w:tcPr>
            <w:tcW w:w="1944" w:type="dxa"/>
            <w:vAlign w:val="center"/>
          </w:tcPr>
          <w:p w:rsidR="007F19E5" w:rsidRDefault="007204DC">
            <w:pPr>
              <w:jc w:val="right"/>
            </w:pPr>
            <w:r>
              <w:rPr>
                <w:color w:val="000000"/>
                <w:sz w:val="24"/>
              </w:rPr>
              <w:t>30,699,000.00</w:t>
            </w:r>
          </w:p>
        </w:tc>
        <w:tc>
          <w:tcPr>
            <w:tcW w:w="1389" w:type="dxa"/>
            <w:vAlign w:val="center"/>
          </w:tcPr>
          <w:p w:rsidR="007F19E5" w:rsidRDefault="007204DC">
            <w:pPr>
              <w:jc w:val="right"/>
            </w:pPr>
            <w:r>
              <w:rPr>
                <w:color w:val="000000"/>
                <w:sz w:val="24"/>
              </w:rPr>
              <w:t>5.68</w:t>
            </w:r>
          </w:p>
        </w:tc>
      </w:tr>
      <w:tr w:rsidR="007F19E5">
        <w:trPr>
          <w:jc w:val="center"/>
        </w:trPr>
        <w:tc>
          <w:tcPr>
            <w:tcW w:w="1075" w:type="dxa"/>
            <w:vAlign w:val="center"/>
          </w:tcPr>
          <w:p w:rsidR="007F19E5" w:rsidRDefault="007204DC">
            <w:pPr>
              <w:jc w:val="center"/>
            </w:pPr>
            <w:r>
              <w:rPr>
                <w:color w:val="000000"/>
                <w:sz w:val="24"/>
              </w:rPr>
              <w:t>5</w:t>
            </w:r>
          </w:p>
        </w:tc>
        <w:tc>
          <w:tcPr>
            <w:tcW w:w="1533" w:type="dxa"/>
            <w:vAlign w:val="center"/>
          </w:tcPr>
          <w:p w:rsidR="007F19E5" w:rsidRDefault="007204DC">
            <w:pPr>
              <w:jc w:val="center"/>
            </w:pPr>
            <w:r>
              <w:rPr>
                <w:color w:val="000000"/>
                <w:sz w:val="24"/>
              </w:rPr>
              <w:t>101551021</w:t>
            </w:r>
          </w:p>
        </w:tc>
        <w:tc>
          <w:tcPr>
            <w:tcW w:w="1533" w:type="dxa"/>
            <w:vAlign w:val="center"/>
          </w:tcPr>
          <w:p w:rsidR="007F19E5" w:rsidRDefault="007204DC">
            <w:pPr>
              <w:jc w:val="center"/>
            </w:pPr>
            <w:r>
              <w:rPr>
                <w:color w:val="000000"/>
                <w:sz w:val="24"/>
              </w:rPr>
              <w:t>15</w:t>
            </w:r>
            <w:r>
              <w:rPr>
                <w:color w:val="000000"/>
                <w:sz w:val="24"/>
              </w:rPr>
              <w:t>莘庄工业</w:t>
            </w:r>
            <w:r>
              <w:rPr>
                <w:color w:val="000000"/>
                <w:sz w:val="24"/>
              </w:rPr>
              <w:t>MTN001</w:t>
            </w:r>
          </w:p>
        </w:tc>
        <w:tc>
          <w:tcPr>
            <w:tcW w:w="1394" w:type="dxa"/>
            <w:vAlign w:val="center"/>
          </w:tcPr>
          <w:p w:rsidR="007F19E5" w:rsidRDefault="007204DC">
            <w:pPr>
              <w:jc w:val="right"/>
            </w:pPr>
            <w:r>
              <w:rPr>
                <w:color w:val="000000"/>
                <w:sz w:val="24"/>
              </w:rPr>
              <w:t>300,000</w:t>
            </w:r>
          </w:p>
        </w:tc>
        <w:tc>
          <w:tcPr>
            <w:tcW w:w="1944" w:type="dxa"/>
            <w:vAlign w:val="center"/>
          </w:tcPr>
          <w:p w:rsidR="007F19E5" w:rsidRDefault="007204DC">
            <w:pPr>
              <w:jc w:val="right"/>
            </w:pPr>
            <w:r>
              <w:rPr>
                <w:color w:val="000000"/>
                <w:sz w:val="24"/>
              </w:rPr>
              <w:t>30,216,000.00</w:t>
            </w:r>
          </w:p>
        </w:tc>
        <w:tc>
          <w:tcPr>
            <w:tcW w:w="1389" w:type="dxa"/>
            <w:vAlign w:val="center"/>
          </w:tcPr>
          <w:p w:rsidR="007F19E5" w:rsidRDefault="007204DC">
            <w:pPr>
              <w:jc w:val="right"/>
            </w:pPr>
            <w:r>
              <w:rPr>
                <w:color w:val="000000"/>
                <w:sz w:val="24"/>
              </w:rPr>
              <w:t>5.59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lastRenderedPageBreak/>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12,204,405.84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12,204,420.84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524,338,978.17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3,671.02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775.36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790.02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524,338,202.81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2,881.00</w:t>
            </w:r>
          </w:p>
        </w:tc>
      </w:tr>
    </w:tbl>
    <w:p w:rsidR="007F19E5" w:rsidRDefault="007204D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3E742D" w:rsidRDefault="00ED0E09" w:rsidP="00BE251D">
      <w:pPr>
        <w:pStyle w:val="1"/>
        <w:spacing w:beforeLines="100" w:before="312" w:afterLines="100" w:after="312" w:line="360" w:lineRule="auto"/>
        <w:jc w:val="center"/>
        <w:rPr>
          <w:rFonts w:eastAsiaTheme="minorEastAsia"/>
          <w:color w:val="000000" w:themeColor="text1"/>
          <w:kern w:val="0"/>
          <w:sz w:val="24"/>
          <w:szCs w:val="21"/>
        </w:rPr>
      </w:pPr>
      <w:bookmarkStart w:id="0" w:name="_GoBack"/>
      <w:r w:rsidRPr="003E742D">
        <w:rPr>
          <w:rFonts w:eastAsiaTheme="minorEastAsia"/>
          <w:color w:val="000000" w:themeColor="text1"/>
          <w:kern w:val="0"/>
          <w:sz w:val="24"/>
          <w:szCs w:val="21"/>
        </w:rPr>
        <w:t xml:space="preserve">§8 </w:t>
      </w:r>
      <w:r w:rsidRPr="003E742D">
        <w:rPr>
          <w:rFonts w:eastAsiaTheme="minorEastAsia"/>
          <w:color w:val="000000" w:themeColor="text1"/>
          <w:kern w:val="0"/>
          <w:sz w:val="24"/>
          <w:szCs w:val="21"/>
        </w:rPr>
        <w:t>影响投资者决策的其他重要信息</w:t>
      </w:r>
    </w:p>
    <w:p w:rsidR="00ED0E09" w:rsidRPr="003E742D" w:rsidRDefault="00ED0E09" w:rsidP="00ED0E09">
      <w:pPr>
        <w:autoSpaceDE w:val="0"/>
        <w:autoSpaceDN w:val="0"/>
        <w:adjustRightInd w:val="0"/>
        <w:spacing w:line="360" w:lineRule="auto"/>
        <w:jc w:val="left"/>
        <w:rPr>
          <w:b/>
          <w:bCs/>
          <w:color w:val="000000"/>
          <w:kern w:val="0"/>
          <w:sz w:val="24"/>
          <w:szCs w:val="21"/>
        </w:rPr>
      </w:pPr>
      <w:r w:rsidRPr="003E742D">
        <w:rPr>
          <w:b/>
          <w:bCs/>
          <w:color w:val="000000"/>
          <w:kern w:val="0"/>
          <w:sz w:val="24"/>
          <w:szCs w:val="21"/>
        </w:rPr>
        <w:t xml:space="preserve">8.1 </w:t>
      </w:r>
      <w:r w:rsidRPr="003E742D">
        <w:rPr>
          <w:b/>
          <w:bCs/>
          <w:color w:val="000000"/>
          <w:kern w:val="0"/>
          <w:sz w:val="24"/>
          <w:szCs w:val="21"/>
        </w:rPr>
        <w:t>报告期内单一投资者持有基金份额比例达到或超过</w:t>
      </w:r>
      <w:r w:rsidRPr="003E742D">
        <w:rPr>
          <w:b/>
          <w:bCs/>
          <w:color w:val="000000"/>
          <w:kern w:val="0"/>
          <w:sz w:val="24"/>
          <w:szCs w:val="21"/>
        </w:rPr>
        <w:t>20%</w:t>
      </w:r>
      <w:r w:rsidRPr="003E742D">
        <w:rPr>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3E742D"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b/>
                <w:bCs/>
                <w:color w:val="000000"/>
                <w:kern w:val="0"/>
                <w:sz w:val="24"/>
                <w:szCs w:val="21"/>
              </w:rPr>
            </w:pPr>
            <w:r w:rsidRPr="003E742D">
              <w:rPr>
                <w:color w:val="000000"/>
                <w:kern w:val="0"/>
                <w:sz w:val="24"/>
                <w:szCs w:val="21"/>
              </w:rPr>
              <w:t>投资者类别</w:t>
            </w:r>
            <w:r w:rsidRPr="003E742D">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b/>
                <w:bCs/>
                <w:color w:val="000000"/>
                <w:kern w:val="0"/>
                <w:sz w:val="24"/>
                <w:szCs w:val="21"/>
              </w:rPr>
            </w:pPr>
            <w:r w:rsidRPr="003E742D">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b/>
                <w:bCs/>
                <w:color w:val="000000"/>
                <w:kern w:val="0"/>
                <w:sz w:val="24"/>
                <w:szCs w:val="21"/>
              </w:rPr>
            </w:pPr>
            <w:r w:rsidRPr="003E742D">
              <w:rPr>
                <w:color w:val="000000"/>
                <w:kern w:val="0"/>
                <w:sz w:val="24"/>
                <w:szCs w:val="21"/>
              </w:rPr>
              <w:t>报告期末持有基金情况</w:t>
            </w:r>
          </w:p>
        </w:tc>
      </w:tr>
      <w:tr w:rsidR="00ED0E09" w:rsidRPr="003E742D"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b/>
                <w:bCs/>
                <w:color w:val="000000"/>
                <w:kern w:val="0"/>
                <w:sz w:val="24"/>
                <w:szCs w:val="21"/>
              </w:rPr>
            </w:pPr>
            <w:r w:rsidRPr="003E742D">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b/>
                <w:bCs/>
                <w:color w:val="000000"/>
                <w:kern w:val="0"/>
                <w:sz w:val="24"/>
                <w:szCs w:val="21"/>
              </w:rPr>
            </w:pPr>
            <w:r w:rsidRPr="003E742D">
              <w:rPr>
                <w:color w:val="000000"/>
                <w:kern w:val="0"/>
                <w:sz w:val="24"/>
                <w:szCs w:val="21"/>
              </w:rPr>
              <w:t>持有基金份额比例达到或者超过</w:t>
            </w:r>
            <w:r w:rsidRPr="003E742D">
              <w:rPr>
                <w:color w:val="000000"/>
                <w:kern w:val="0"/>
                <w:sz w:val="24"/>
                <w:szCs w:val="21"/>
              </w:rPr>
              <w:t>20%</w:t>
            </w:r>
            <w:r w:rsidRPr="003E742D">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widowControl/>
              <w:jc w:val="center"/>
              <w:rPr>
                <w:b/>
                <w:bCs/>
                <w:color w:val="000000"/>
                <w:kern w:val="0"/>
                <w:sz w:val="24"/>
                <w:szCs w:val="21"/>
              </w:rPr>
            </w:pPr>
            <w:r w:rsidRPr="003E742D">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widowControl/>
              <w:jc w:val="center"/>
              <w:rPr>
                <w:b/>
                <w:bCs/>
                <w:color w:val="000000"/>
                <w:kern w:val="0"/>
                <w:sz w:val="24"/>
                <w:szCs w:val="21"/>
              </w:rPr>
            </w:pPr>
            <w:r w:rsidRPr="003E742D">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widowControl/>
              <w:jc w:val="center"/>
              <w:rPr>
                <w:b/>
                <w:bCs/>
                <w:color w:val="000000"/>
                <w:kern w:val="0"/>
                <w:sz w:val="24"/>
                <w:szCs w:val="21"/>
              </w:rPr>
            </w:pPr>
            <w:r w:rsidRPr="003E742D">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b/>
                <w:bCs/>
                <w:color w:val="000000"/>
                <w:kern w:val="0"/>
                <w:sz w:val="24"/>
                <w:szCs w:val="21"/>
              </w:rPr>
            </w:pPr>
            <w:r w:rsidRPr="003E742D">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b/>
                <w:bCs/>
                <w:color w:val="000000"/>
                <w:kern w:val="0"/>
                <w:sz w:val="24"/>
                <w:szCs w:val="21"/>
              </w:rPr>
            </w:pPr>
            <w:r w:rsidRPr="003E742D">
              <w:rPr>
                <w:color w:val="000000"/>
                <w:kern w:val="0"/>
                <w:sz w:val="24"/>
                <w:szCs w:val="21"/>
              </w:rPr>
              <w:t>份额占比</w:t>
            </w:r>
          </w:p>
        </w:tc>
      </w:tr>
      <w:tr w:rsidR="007F19E5" w:rsidRPr="003E742D">
        <w:tc>
          <w:tcPr>
            <w:tcW w:w="992" w:type="dxa"/>
          </w:tcPr>
          <w:p w:rsidR="007F19E5" w:rsidRPr="003E742D" w:rsidRDefault="007F19E5">
            <w:pPr>
              <w:rPr>
                <w:sz w:val="24"/>
              </w:rPr>
            </w:pPr>
          </w:p>
          <w:p w:rsidR="007F19E5" w:rsidRPr="003E742D" w:rsidRDefault="007204DC">
            <w:pPr>
              <w:rPr>
                <w:sz w:val="24"/>
              </w:rPr>
            </w:pPr>
            <w:r w:rsidRPr="003E742D">
              <w:rPr>
                <w:bCs/>
                <w:color w:val="000000"/>
                <w:kern w:val="0"/>
                <w:sz w:val="24"/>
                <w:szCs w:val="21"/>
              </w:rPr>
              <w:t>机构</w:t>
            </w:r>
          </w:p>
        </w:tc>
        <w:tc>
          <w:tcPr>
            <w:tcW w:w="991" w:type="dxa"/>
            <w:vAlign w:val="center"/>
          </w:tcPr>
          <w:p w:rsidR="007F19E5" w:rsidRPr="003E742D" w:rsidRDefault="007204DC">
            <w:pPr>
              <w:jc w:val="center"/>
              <w:rPr>
                <w:sz w:val="24"/>
              </w:rPr>
            </w:pPr>
            <w:r w:rsidRPr="003E742D">
              <w:rPr>
                <w:color w:val="000000"/>
                <w:kern w:val="0"/>
                <w:sz w:val="24"/>
                <w:szCs w:val="21"/>
              </w:rPr>
              <w:t>1</w:t>
            </w:r>
          </w:p>
        </w:tc>
        <w:tc>
          <w:tcPr>
            <w:tcW w:w="1843" w:type="dxa"/>
            <w:vAlign w:val="center"/>
          </w:tcPr>
          <w:p w:rsidR="007F19E5" w:rsidRPr="003E742D" w:rsidRDefault="007204DC">
            <w:pPr>
              <w:jc w:val="center"/>
              <w:rPr>
                <w:sz w:val="24"/>
              </w:rPr>
            </w:pPr>
            <w:r w:rsidRPr="003E742D">
              <w:rPr>
                <w:color w:val="000000"/>
                <w:kern w:val="0"/>
                <w:sz w:val="24"/>
                <w:szCs w:val="21"/>
              </w:rPr>
              <w:t>2017/7/1-2017/9/30</w:t>
            </w:r>
          </w:p>
        </w:tc>
        <w:tc>
          <w:tcPr>
            <w:tcW w:w="851" w:type="dxa"/>
            <w:vAlign w:val="center"/>
          </w:tcPr>
          <w:p w:rsidR="007F19E5" w:rsidRPr="003E742D" w:rsidRDefault="007204DC">
            <w:pPr>
              <w:jc w:val="center"/>
              <w:rPr>
                <w:sz w:val="24"/>
              </w:rPr>
            </w:pPr>
            <w:r w:rsidRPr="003E742D">
              <w:rPr>
                <w:color w:val="000000"/>
                <w:kern w:val="0"/>
                <w:sz w:val="24"/>
                <w:szCs w:val="21"/>
              </w:rPr>
              <w:t>524,334,266.68</w:t>
            </w:r>
          </w:p>
        </w:tc>
        <w:tc>
          <w:tcPr>
            <w:tcW w:w="850" w:type="dxa"/>
            <w:vAlign w:val="center"/>
          </w:tcPr>
          <w:p w:rsidR="007F19E5" w:rsidRPr="003E742D" w:rsidRDefault="007204DC">
            <w:pPr>
              <w:jc w:val="center"/>
              <w:rPr>
                <w:sz w:val="24"/>
              </w:rPr>
            </w:pPr>
            <w:r w:rsidRPr="003E742D">
              <w:rPr>
                <w:color w:val="000000"/>
                <w:kern w:val="0"/>
                <w:sz w:val="24"/>
                <w:szCs w:val="21"/>
              </w:rPr>
              <w:t>-</w:t>
            </w:r>
          </w:p>
        </w:tc>
        <w:tc>
          <w:tcPr>
            <w:tcW w:w="1134" w:type="dxa"/>
            <w:vAlign w:val="center"/>
          </w:tcPr>
          <w:p w:rsidR="007F19E5" w:rsidRPr="003E742D" w:rsidRDefault="007204DC">
            <w:pPr>
              <w:jc w:val="center"/>
              <w:rPr>
                <w:sz w:val="24"/>
              </w:rPr>
            </w:pPr>
            <w:r w:rsidRPr="003E742D">
              <w:rPr>
                <w:color w:val="000000"/>
                <w:kern w:val="0"/>
                <w:sz w:val="24"/>
                <w:szCs w:val="21"/>
              </w:rPr>
              <w:t>-</w:t>
            </w:r>
          </w:p>
        </w:tc>
        <w:tc>
          <w:tcPr>
            <w:tcW w:w="1419" w:type="dxa"/>
            <w:vAlign w:val="center"/>
          </w:tcPr>
          <w:p w:rsidR="007F19E5" w:rsidRPr="003E742D" w:rsidRDefault="007204DC">
            <w:pPr>
              <w:jc w:val="center"/>
              <w:rPr>
                <w:sz w:val="24"/>
              </w:rPr>
            </w:pPr>
            <w:r w:rsidRPr="003E742D">
              <w:rPr>
                <w:color w:val="000000"/>
                <w:kern w:val="0"/>
                <w:sz w:val="24"/>
                <w:szCs w:val="21"/>
              </w:rPr>
              <w:t>524,334,266.68</w:t>
            </w:r>
          </w:p>
        </w:tc>
        <w:tc>
          <w:tcPr>
            <w:tcW w:w="1130" w:type="dxa"/>
            <w:vAlign w:val="center"/>
          </w:tcPr>
          <w:p w:rsidR="007F19E5" w:rsidRPr="003E742D" w:rsidRDefault="007204DC">
            <w:pPr>
              <w:jc w:val="center"/>
              <w:rPr>
                <w:sz w:val="24"/>
              </w:rPr>
            </w:pPr>
            <w:r w:rsidRPr="003E742D">
              <w:rPr>
                <w:color w:val="000000"/>
                <w:kern w:val="0"/>
                <w:sz w:val="24"/>
                <w:szCs w:val="21"/>
              </w:rPr>
              <w:t>100.00%</w:t>
            </w:r>
          </w:p>
        </w:tc>
      </w:tr>
      <w:tr w:rsidR="00ED0E09" w:rsidRPr="003E742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center"/>
              <w:rPr>
                <w:kern w:val="0"/>
                <w:sz w:val="24"/>
                <w:szCs w:val="21"/>
              </w:rPr>
            </w:pPr>
            <w:r w:rsidRPr="003E742D">
              <w:rPr>
                <w:color w:val="000000"/>
                <w:kern w:val="0"/>
                <w:sz w:val="24"/>
                <w:szCs w:val="21"/>
              </w:rPr>
              <w:t>产品特有风险</w:t>
            </w:r>
          </w:p>
        </w:tc>
      </w:tr>
      <w:tr w:rsidR="00ED0E09" w:rsidRPr="003E742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3E742D" w:rsidRDefault="00ED0E09">
            <w:pPr>
              <w:autoSpaceDE w:val="0"/>
              <w:autoSpaceDN w:val="0"/>
              <w:adjustRightInd w:val="0"/>
              <w:jc w:val="left"/>
              <w:rPr>
                <w:kern w:val="0"/>
                <w:sz w:val="24"/>
                <w:szCs w:val="21"/>
              </w:rPr>
            </w:pPr>
            <w:r w:rsidRPr="003E742D">
              <w:rPr>
                <w:kern w:val="0"/>
                <w:sz w:val="24"/>
                <w:szCs w:val="21"/>
              </w:rPr>
              <w:t>本基金本报告期内出现单一投资者持有基金份额比例超过基金总份额</w:t>
            </w:r>
            <w:r w:rsidRPr="003E742D">
              <w:rPr>
                <w:kern w:val="0"/>
                <w:sz w:val="24"/>
                <w:szCs w:val="21"/>
              </w:rPr>
              <w:t>20%</w:t>
            </w:r>
            <w:r w:rsidRPr="003E742D">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7F19E5" w:rsidRDefault="007204D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CD" w:rsidRDefault="001513CD">
      <w:r>
        <w:separator/>
      </w:r>
    </w:p>
  </w:endnote>
  <w:endnote w:type="continuationSeparator" w:id="0">
    <w:p w:rsidR="001513CD" w:rsidRDefault="0015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3E742D">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3E742D">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CD" w:rsidRDefault="001513CD">
      <w:r>
        <w:separator/>
      </w:r>
    </w:p>
  </w:footnote>
  <w:footnote w:type="continuationSeparator" w:id="0">
    <w:p w:rsidR="001513CD" w:rsidRDefault="0015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513C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4F77"/>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3CD"/>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E742D"/>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04DC"/>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19E5"/>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49918AE-B62D-4126-B51F-EEFCC670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8074-8DA7-4BAD-BBE7-9B1FEBFC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199</TotalTime>
  <Pages>14</Pages>
  <Words>1076</Words>
  <Characters>6134</Characters>
  <Application>Microsoft Office Word</Application>
  <DocSecurity>0</DocSecurity>
  <Lines>51</Lines>
  <Paragraphs>14</Paragraphs>
  <ScaleCrop>false</ScaleCrop>
  <Company>TRT. Ltd. Co.</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2017-10-23T06:31:00Z</dcterms:modified>
</cp:coreProperties>
</file>