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交银施罗德沪港深价值精选灵活配置混合型证券投资基金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2017年第3季度报告</w:t>
      </w:r>
    </w:p>
    <w:p w:rsidR="004061AC" w:rsidRPr="0081286B" w:rsidRDefault="00655CD8" w:rsidP="00C15CAC">
      <w:pPr>
        <w:spacing w:before="29" w:line="288" w:lineRule="auto"/>
        <w:jc w:val="center"/>
        <w:rPr>
          <w:b/>
          <w:sz w:val="36"/>
          <w:szCs w:val="36"/>
        </w:rPr>
      </w:pPr>
      <w:r w:rsidRPr="0081286B">
        <w:rPr>
          <w:b/>
          <w:sz w:val="36"/>
          <w:szCs w:val="36"/>
        </w:rPr>
        <w:t>2017年9月30日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二〇一七年十月二十五日</w:t>
      </w:r>
    </w:p>
    <w:p w:rsidR="004061AC" w:rsidRPr="00414345" w:rsidRDefault="004061AC" w:rsidP="00EE49FE">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Chars="200" w:firstLine="48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color w:val="000000"/>
          <w:sz w:val="24"/>
          <w:szCs w:val="24"/>
        </w:rPr>
      </w:pPr>
      <w:r>
        <w:rPr>
          <w:color w:val="000000"/>
          <w:sz w:val="24"/>
          <w:szCs w:val="24"/>
        </w:rPr>
        <w:t xml:space="preserve">基金托管人中国农业银行股份有限公司根据本基金合同规定，于2017年10月24日复核了本报告中的财务指标、净值表现和投资组合报告等内容，保证复核内容不存在虚假记载、误导性陈述或者重大遗漏。 </w:t>
      </w:r>
    </w:p>
    <w:p>
      <w:pPr>
        <w:spacing w:before="29" w:line="288" w:lineRule="auto"/>
        <w:ind w:firstLineChars="200" w:firstLine="48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Chars="200" w:firstLine="48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本报告期自2017年7月1日起至9月30日止。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交银沪港深价值精选混合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gridSpan w:val="2"/>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2016年11月7日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118,773,817.88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本基金通过优化资产配置和灵活运用多种投资策略，把握沪港通及后续资本市场开放政策带来的投资机会，力争实现基金资产的长期稳定增值。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沪深300指数收益率×40%+恒生指数收益率×40%+中证综合债券指数收益率×20%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pPr>
              <w:adjustRightInd w:val="0"/>
              <w:spacing w:before="29" w:line="288" w:lineRule="auto"/>
              <w:ind w:left="17"/>
              <w:jc w:val="left"/>
              <w:rPr>
                <w:color w:val="000000"/>
                <w:sz w:val="24"/>
                <w:szCs w:val="24"/>
              </w:rPr>
            </w:pPr>
            <w:r>
              <w:rPr>
                <w:color w:val="000000"/>
                <w:kern w:val="0"/>
                <w:sz w:val="24"/>
                <w:szCs w:val="24"/>
              </w:rPr>
              <w:t>本基金是一只混合型基金，其风险和预期收益高于债券型基金和货币市场基金，低于股票型基金。属于承担较高风险、预期收益较高的证券投资基金品种。</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2706"/>
        <w:gridCol w:w="2555"/>
      </w:tblGrid>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w="4962" w:type="dxa"/>
            <w:hMerge w:val="restart"/>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(2017年7月1日-2017年9月30日)</w:t>
            </w:r>
          </w:p>
        </w:tc>
        <w:tc>
          <w:tcPr>
            <w:tcW w:w="2410" w:type="dxa"/>
            <w:hMerge/>
            <w:vAlign w:val="center"/>
          </w:tcPr>
          <w:p w:rsidR="00C21520" w:rsidRPr="00414345" w:rsidRDefault="00C21520" w:rsidP="00C15CAC">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5,082,620.91</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6,606,374.30</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0.0563</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143,586,374.99</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1.209</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R="004061AC" w:rsidRPr="00414345" w:rsidRDefault="00A5612C"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5.04%</w:t>
            </w:r>
          </w:p>
        </w:tc>
        <w:tc>
          <w:tcPr>
            <w:vAlign w:val="center"/>
          </w:tcPr>
          <w:p>
            <w:pPr>
              <w:jc w:val="center"/>
            </w:pPr>
            <w:r>
              <w:rPr>
                <w:color w:val="000000"/>
                <w:sz w:val="24"/>
                <w:szCs w:val="24"/>
              </w:rPr>
              <w:t>0.84%</w:t>
            </w:r>
          </w:p>
        </w:tc>
        <w:tc>
          <w:tcPr>
            <w:vAlign w:val="center"/>
          </w:tcPr>
          <w:p>
            <w:pPr>
              <w:jc w:val="center"/>
            </w:pPr>
            <w:r>
              <w:rPr>
                <w:color w:val="000000"/>
                <w:sz w:val="24"/>
                <w:szCs w:val="24"/>
              </w:rPr>
              <w:t>4.78%</w:t>
            </w:r>
          </w:p>
        </w:tc>
        <w:tc>
          <w:tcPr>
            <w:vAlign w:val="center"/>
          </w:tcPr>
          <w:p>
            <w:pPr>
              <w:jc w:val="center"/>
            </w:pPr>
            <w:r>
              <w:rPr>
                <w:color w:val="000000"/>
                <w:sz w:val="24"/>
                <w:szCs w:val="24"/>
              </w:rPr>
              <w:t>0.46%</w:t>
            </w:r>
          </w:p>
        </w:tc>
        <w:tc>
          <w:tcPr>
            <w:vAlign w:val="center"/>
          </w:tcPr>
          <w:p>
            <w:pPr>
              <w:jc w:val="center"/>
            </w:pPr>
            <w:r>
              <w:rPr>
                <w:color w:val="000000"/>
                <w:sz w:val="24"/>
                <w:szCs w:val="24"/>
              </w:rPr>
              <w:t>0.26%</w:t>
            </w:r>
          </w:p>
        </w:tc>
        <w:tc>
          <w:tcPr>
            <w:vAlign w:val="center"/>
          </w:tcPr>
          <w:p>
            <w:pPr>
              <w:jc w:val="center"/>
            </w:pPr>
            <w:r>
              <w:rPr>
                <w:color w:val="000000"/>
                <w:sz w:val="24"/>
                <w:szCs w:val="24"/>
              </w:rPr>
              <w:t>0.38%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交银施罗德沪港深价值精选灵活配置混合型证券投资基金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2016年11月7日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2017年9月30日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1C79F2"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2016年11月7日，基金合同生效日至报告期期末，本基金运作时间未满一年。本基金建仓期为自基金合同生效日起的6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陈俊华</w:t>
            </w:r>
          </w:p>
        </w:tc>
        <w:tc>
          <w:tcPr>
            <w:vAlign w:val="center"/>
          </w:tcPr>
          <w:p>
            <w:pPr>
              <w:jc w:val="center"/>
            </w:pPr>
            <w:r>
              <w:rPr>
                <w:color w:val="000000"/>
                <w:sz w:val="24"/>
                <w:szCs w:val="24"/>
              </w:rPr>
              <w:t>交银环球精选混合(QDII)、交银全球资源混合(QDII)、交银沪港深价值精选混合的基金经理</w:t>
            </w:r>
          </w:p>
        </w:tc>
        <w:tc>
          <w:tcPr>
            <w:vAlign w:val="center"/>
          </w:tcPr>
          <w:p>
            <w:pPr>
              <w:jc w:val="center"/>
            </w:pPr>
            <w:r>
              <w:rPr>
                <w:color w:val="000000"/>
                <w:sz w:val="24"/>
                <w:szCs w:val="24"/>
              </w:rPr>
              <w:t>2016-11-07</w:t>
            </w:r>
          </w:p>
        </w:tc>
        <w:tc>
          <w:tcPr>
            <w:vAlign w:val="center"/>
          </w:tcPr>
          <w:p>
            <w:pPr>
              <w:jc w:val="center"/>
            </w:pPr>
            <w:r>
              <w:rPr>
                <w:color w:val="000000"/>
                <w:sz w:val="24"/>
                <w:szCs w:val="24"/>
              </w:rPr>
              <w:t>-</w:t>
            </w:r>
          </w:p>
        </w:tc>
        <w:tc>
          <w:tcPr>
            <w:vAlign w:val="center"/>
          </w:tcPr>
          <w:p>
            <w:pPr>
              <w:jc w:val="center"/>
            </w:pPr>
            <w:r>
              <w:rPr>
                <w:color w:val="000000"/>
                <w:sz w:val="24"/>
                <w:szCs w:val="24"/>
              </w:rPr>
              <w:t>12年</w:t>
            </w:r>
          </w:p>
        </w:tc>
        <w:tc>
          <w:tcPr>
            <w:vAlign w:val="center"/>
          </w:tcPr>
          <w:p>
            <w:pPr>
              <w:jc w:val="both"/>
            </w:pPr>
            <w:r>
              <w:rPr>
                <w:color w:val="000000"/>
                <w:sz w:val="24"/>
                <w:szCs w:val="24"/>
              </w:rPr>
              <w:t>陈俊华女士，中国国籍，上海交通大学金融学硕士。历任国泰君安证券研究部研究员、中国国际金融有限公司研究部公用事业组负责人。2015年加入交银施罗德基金管理有限公司。</w:t>
            </w:r>
          </w:p>
        </w:tc>
      </w:tr>
    </w:tbl>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Chars="200" w:firstLine="480"/>
        <w:rPr>
          <w:color w:val="000000"/>
          <w:sz w:val="24"/>
          <w:szCs w:val="24"/>
        </w:rPr>
      </w:pPr>
      <w:r>
        <w:rPr>
          <w:color w:val="000000"/>
          <w:sz w:val="24"/>
          <w:szCs w:val="24"/>
        </w:rPr>
        <w:t>2017年三季度，全球资本市场总体震荡。海外市场流动性边际收紧，美国明确缩表进程，欧洲QE退出预期渐起。此外，短期的地缘政治扰动因素也引发了资本市场的波动。国内市场在中报过后，投资者对于三、四季度宏观经济的判断分歧较大，总体谨慎，新能源汽车产业链成为市场持续关注的热点，部分有色商品价格的剧烈波动也受到投资者的关注。三季度，本基金仍跑赢业绩比较基准并取得正收益，我们认为主要源自优化持仓结构，通过选股获取超额收益。</w:t>
      </w:r>
    </w:p>
    <w:p>
      <w:pPr>
        <w:spacing w:before="29" w:line="288" w:lineRule="auto"/>
        <w:ind w:firstLineChars="200" w:firstLine="480"/>
        <w:rPr>
          <w:color w:val="000000"/>
          <w:sz w:val="24"/>
          <w:szCs w:val="24"/>
        </w:rPr>
      </w:pPr>
      <w:r>
        <w:rPr>
          <w:color w:val="000000"/>
          <w:sz w:val="24"/>
          <w:szCs w:val="24"/>
        </w:rPr>
        <w:t>三季度，本基金持续高仓位配置，提升港股配置比例。港股方面，优化了在汽车、电子和可选消费领域的投资，增加部分周期品，减少在金融、基建领域的配置。A股方面，进一步精简个股至稀缺的细分行业龙头，减少了医药个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2017年四季度和2018年，我们相对乐观。我们认为资金进一步收紧的可能性较低，且已经在股价中反应较为充分，投资者关注的焦点将更多放在2018年企业的变化和增长预期。我们依然聚焦于从两个视角去筛选个股：1）消费升级，其趋势和内在需求将长期存在；2）进入全球电子产品供应链的中国企业。我们将继续勤勉尽责地积极调研，自下而上挖掘相关标的，努力为投资人赚取稳健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本报告期末，本基金份额净值为1.209元，本报告期份额净值增长率为5.04%，同期业绩比较基准增长率为4.78%。</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123,019,450.61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123,019,450.61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22,818,929.51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15.64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95,525.35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145,933,905.47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r w:rsidRPr="00414345">
              <w:rPr>
                <w:color w:val="000000"/>
                <w:sz w:val="24"/>
                <w:szCs w:val="24"/>
              </w:rPr>
              <w:lastRenderedPageBreak/>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b/>
          <w:color w:val="000000" w:themeColor="text1"/>
          <w:sz w:val="24"/>
        </w:rPr>
        <w:t/>
      </w: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34,149,180.10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13,781,500.00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3,956,000.00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51,886,680.10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36.14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b/>
          <w:bCs/>
          <w:color w:val="000000" w:themeColor="text1"/>
          <w:kern w:val="0"/>
          <w:sz w:val="24"/>
        </w:rPr>
        <w:t/>
      </w: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r w:rsidRPr="00FF0BBF">
              <w:rPr>
                <w:color w:val="000000"/>
                <w:sz w:val="24"/>
              </w:rPr>
              <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tc>
          <w:tcPr>
            <w:vAlign w:val="center"/>
          </w:tcPr>
          <w:p>
            <w:pPr>
              <w:jc w:val="center"/>
            </w:pPr>
            <w:r>
              <w:rPr>
                <w:color w:val="000000"/>
                <w:sz w:val="24"/>
              </w:rPr>
              <w:t>非必需消费品</w:t>
            </w:r>
          </w:p>
        </w:tc>
        <w:tc>
          <w:tcPr>
            <w:vAlign w:val="center"/>
          </w:tcPr>
          <w:p>
            <w:pPr>
              <w:jc w:val="center"/>
            </w:pPr>
            <w:r>
              <w:rPr>
                <w:color w:val="000000"/>
                <w:sz w:val="24"/>
              </w:rPr>
              <w:t>15,426,426.96</w:t>
            </w:r>
          </w:p>
        </w:tc>
        <w:tc>
          <w:tcPr>
            <w:vAlign w:val="center"/>
          </w:tcPr>
          <w:p>
            <w:pPr>
              <w:jc w:val="center"/>
            </w:pPr>
            <w:r>
              <w:rPr>
                <w:color w:val="000000"/>
                <w:sz w:val="24"/>
              </w:rPr>
              <w:t>10.74</w:t>
            </w:r>
          </w:p>
        </w:tc>
      </w:tr>
      <w:tr>
        <w:tc>
          <w:tcPr>
            <w:vAlign w:val="center"/>
          </w:tcPr>
          <w:p>
            <w:pPr>
              <w:jc w:val="center"/>
            </w:pPr>
            <w:r>
              <w:rPr>
                <w:color w:val="000000"/>
                <w:sz w:val="24"/>
              </w:rPr>
              <w:t>必需消费品</w:t>
            </w:r>
          </w:p>
        </w:tc>
        <w:tc>
          <w:tcPr>
            <w:vAlign w:val="center"/>
          </w:tcPr>
          <w:p>
            <w:pPr>
              <w:jc w:val="center"/>
            </w:pPr>
            <w:r>
              <w:rPr>
                <w:color w:val="000000"/>
                <w:sz w:val="24"/>
              </w:rPr>
              <w:t>-</w:t>
            </w:r>
          </w:p>
        </w:tc>
        <w:tc>
          <w:tcPr>
            <w:vAlign w:val="center"/>
          </w:tcPr>
          <w:p>
            <w:pPr>
              <w:jc w:val="center"/>
            </w:pPr>
            <w:r>
              <w:rPr>
                <w:color w:val="000000"/>
                <w:sz w:val="24"/>
              </w:rPr>
              <w:t>-</w:t>
            </w:r>
          </w:p>
        </w:tc>
      </w:tr>
      <w:tr>
        <w:tc>
          <w:tcPr>
            <w:vAlign w:val="center"/>
          </w:tcPr>
          <w:p>
            <w:pPr>
              <w:jc w:val="center"/>
            </w:pPr>
            <w:r>
              <w:rPr>
                <w:color w:val="000000"/>
                <w:sz w:val="24"/>
              </w:rPr>
              <w:t>能源</w:t>
            </w:r>
          </w:p>
        </w:tc>
        <w:tc>
          <w:tcPr>
            <w:vAlign w:val="center"/>
          </w:tcPr>
          <w:p>
            <w:pPr>
              <w:jc w:val="center"/>
            </w:pPr>
            <w:r>
              <w:rPr>
                <w:color w:val="000000"/>
                <w:sz w:val="24"/>
              </w:rPr>
              <w:t>4,679,927.28</w:t>
            </w:r>
          </w:p>
        </w:tc>
        <w:tc>
          <w:tcPr>
            <w:vAlign w:val="center"/>
          </w:tcPr>
          <w:p>
            <w:pPr>
              <w:jc w:val="center"/>
            </w:pPr>
            <w:r>
              <w:rPr>
                <w:color w:val="000000"/>
                <w:sz w:val="24"/>
              </w:rPr>
              <w:t>3.26</w:t>
            </w:r>
          </w:p>
        </w:tc>
      </w:tr>
      <w:tr>
        <w:tc>
          <w:tcPr>
            <w:vAlign w:val="center"/>
          </w:tcPr>
          <w:p>
            <w:pPr>
              <w:jc w:val="center"/>
            </w:pPr>
            <w:r>
              <w:rPr>
                <w:color w:val="000000"/>
                <w:sz w:val="24"/>
              </w:rPr>
              <w:t>金融</w:t>
            </w:r>
          </w:p>
        </w:tc>
        <w:tc>
          <w:tcPr>
            <w:vAlign w:val="center"/>
          </w:tcPr>
          <w:p>
            <w:pPr>
              <w:jc w:val="center"/>
            </w:pPr>
            <w:r>
              <w:rPr>
                <w:color w:val="000000"/>
                <w:sz w:val="24"/>
              </w:rPr>
              <w:t>13,596,684.15</w:t>
            </w:r>
          </w:p>
        </w:tc>
        <w:tc>
          <w:tcPr>
            <w:vAlign w:val="center"/>
          </w:tcPr>
          <w:p>
            <w:pPr>
              <w:jc w:val="center"/>
            </w:pPr>
            <w:r>
              <w:rPr>
                <w:color w:val="000000"/>
                <w:sz w:val="24"/>
              </w:rPr>
              <w:t>9.47</w:t>
            </w:r>
          </w:p>
        </w:tc>
      </w:tr>
      <w:tr>
        <w:tc>
          <w:tcPr>
            <w:vAlign w:val="center"/>
          </w:tcPr>
          <w:p>
            <w:pPr>
              <w:jc w:val="center"/>
            </w:pPr>
            <w:r>
              <w:rPr>
                <w:color w:val="000000"/>
                <w:sz w:val="24"/>
              </w:rPr>
              <w:t>医疗保健</w:t>
            </w:r>
          </w:p>
        </w:tc>
        <w:tc>
          <w:tcPr>
            <w:vAlign w:val="center"/>
          </w:tcPr>
          <w:p>
            <w:pPr>
              <w:jc w:val="center"/>
            </w:pPr>
            <w:r>
              <w:rPr>
                <w:color w:val="000000"/>
                <w:sz w:val="24"/>
              </w:rPr>
              <w:t>-</w:t>
            </w:r>
          </w:p>
        </w:tc>
        <w:tc>
          <w:tcPr>
            <w:vAlign w:val="center"/>
          </w:tcPr>
          <w:p>
            <w:pPr>
              <w:jc w:val="center"/>
            </w:pPr>
            <w:r>
              <w:rPr>
                <w:color w:val="000000"/>
                <w:sz w:val="24"/>
              </w:rPr>
              <w:t>-</w:t>
            </w:r>
          </w:p>
        </w:tc>
      </w:tr>
      <w:tr>
        <w:tc>
          <w:tcPr>
            <w:vAlign w:val="center"/>
          </w:tcPr>
          <w:p>
            <w:pPr>
              <w:jc w:val="center"/>
            </w:pPr>
            <w:r>
              <w:rPr>
                <w:color w:val="000000"/>
                <w:sz w:val="24"/>
              </w:rPr>
              <w:t>工业</w:t>
            </w:r>
          </w:p>
        </w:tc>
        <w:tc>
          <w:tcPr>
            <w:vAlign w:val="center"/>
          </w:tcPr>
          <w:p>
            <w:pPr>
              <w:jc w:val="center"/>
            </w:pPr>
            <w:r>
              <w:rPr>
                <w:color w:val="000000"/>
                <w:sz w:val="24"/>
              </w:rPr>
              <w:t>5,028,287.88</w:t>
            </w:r>
          </w:p>
        </w:tc>
        <w:tc>
          <w:tcPr>
            <w:vAlign w:val="center"/>
          </w:tcPr>
          <w:p>
            <w:pPr>
              <w:jc w:val="center"/>
            </w:pPr>
            <w:r>
              <w:rPr>
                <w:color w:val="000000"/>
                <w:sz w:val="24"/>
              </w:rPr>
              <w:t>3.50</w:t>
            </w:r>
          </w:p>
        </w:tc>
      </w:tr>
      <w:tr>
        <w:tc>
          <w:tcPr>
            <w:vAlign w:val="center"/>
          </w:tcPr>
          <w:p>
            <w:pPr>
              <w:jc w:val="center"/>
            </w:pPr>
            <w:r>
              <w:rPr>
                <w:color w:val="000000"/>
                <w:sz w:val="24"/>
              </w:rPr>
              <w:t>信息技术</w:t>
            </w:r>
          </w:p>
        </w:tc>
        <w:tc>
          <w:tcPr>
            <w:vAlign w:val="center"/>
          </w:tcPr>
          <w:p>
            <w:pPr>
              <w:jc w:val="center"/>
            </w:pPr>
            <w:r>
              <w:rPr>
                <w:color w:val="000000"/>
                <w:sz w:val="24"/>
              </w:rPr>
              <w:t>20,399,996.74</w:t>
            </w:r>
          </w:p>
        </w:tc>
        <w:tc>
          <w:tcPr>
            <w:vAlign w:val="center"/>
          </w:tcPr>
          <w:p>
            <w:pPr>
              <w:jc w:val="center"/>
            </w:pPr>
            <w:r>
              <w:rPr>
                <w:color w:val="000000"/>
                <w:sz w:val="24"/>
              </w:rPr>
              <w:t>14.21</w:t>
            </w:r>
          </w:p>
        </w:tc>
      </w:tr>
      <w:tr>
        <w:tc>
          <w:tcPr>
            <w:vAlign w:val="center"/>
          </w:tcPr>
          <w:p>
            <w:pPr>
              <w:jc w:val="center"/>
            </w:pPr>
            <w:r>
              <w:rPr>
                <w:color w:val="000000"/>
                <w:sz w:val="24"/>
              </w:rPr>
              <w:t>材料</w:t>
            </w:r>
          </w:p>
        </w:tc>
        <w:tc>
          <w:tcPr>
            <w:vAlign w:val="center"/>
          </w:tcPr>
          <w:p>
            <w:pPr>
              <w:jc w:val="center"/>
            </w:pPr>
            <w:r>
              <w:rPr>
                <w:color w:val="000000"/>
                <w:sz w:val="24"/>
              </w:rPr>
              <w:t>2,978,058.30</w:t>
            </w:r>
          </w:p>
        </w:tc>
        <w:tc>
          <w:tcPr>
            <w:vAlign w:val="center"/>
          </w:tcPr>
          <w:p>
            <w:pPr>
              <w:jc w:val="center"/>
            </w:pPr>
            <w:r>
              <w:rPr>
                <w:color w:val="000000"/>
                <w:sz w:val="24"/>
              </w:rPr>
              <w:t>2.07</w:t>
            </w:r>
          </w:p>
        </w:tc>
      </w:tr>
      <w:tr>
        <w:tc>
          <w:tcPr>
            <w:vAlign w:val="center"/>
          </w:tcPr>
          <w:p>
            <w:pPr>
              <w:jc w:val="center"/>
            </w:pPr>
            <w:r>
              <w:rPr>
                <w:color w:val="000000"/>
                <w:sz w:val="24"/>
              </w:rPr>
              <w:t>房地产</w:t>
            </w:r>
          </w:p>
        </w:tc>
        <w:tc>
          <w:tcPr>
            <w:vAlign w:val="center"/>
          </w:tcPr>
          <w:p>
            <w:pPr>
              <w:jc w:val="center"/>
            </w:pPr>
            <w:r>
              <w:rPr>
                <w:color w:val="000000"/>
                <w:sz w:val="24"/>
              </w:rPr>
              <w:t>9,023,389.20</w:t>
            </w:r>
          </w:p>
        </w:tc>
        <w:tc>
          <w:tcPr>
            <w:vAlign w:val="center"/>
          </w:tcPr>
          <w:p>
            <w:pPr>
              <w:jc w:val="center"/>
            </w:pPr>
            <w:r>
              <w:rPr>
                <w:color w:val="000000"/>
                <w:sz w:val="24"/>
              </w:rPr>
              <w:t>6.28</w:t>
            </w:r>
          </w:p>
        </w:tc>
      </w:tr>
      <w:tr>
        <w:tc>
          <w:tcPr>
            <w:vAlign w:val="center"/>
          </w:tcPr>
          <w:p>
            <w:pPr>
              <w:jc w:val="center"/>
            </w:pPr>
            <w:r>
              <w:rPr>
                <w:color w:val="000000"/>
                <w:sz w:val="24"/>
              </w:rPr>
              <w:t>电信业务</w:t>
            </w:r>
          </w:p>
        </w:tc>
        <w:tc>
          <w:tcPr>
            <w:vAlign w:val="center"/>
          </w:tcPr>
          <w:p>
            <w:pPr>
              <w:jc w:val="center"/>
            </w:pPr>
            <w:r>
              <w:rPr>
                <w:color w:val="000000"/>
                <w:sz w:val="24"/>
              </w:rPr>
              <w:t>-</w:t>
            </w:r>
          </w:p>
        </w:tc>
        <w:tc>
          <w:tcPr>
            <w:vAlign w:val="center"/>
          </w:tcPr>
          <w:p>
            <w:pPr>
              <w:jc w:val="center"/>
            </w:pPr>
            <w:r>
              <w:rPr>
                <w:color w:val="000000"/>
                <w:sz w:val="24"/>
              </w:rPr>
              <w:t>-</w:t>
            </w:r>
          </w:p>
        </w:tc>
      </w:tr>
      <w:tr>
        <w:tc>
          <w:tcPr>
            <w:vAlign w:val="center"/>
          </w:tcPr>
          <w:p>
            <w:pPr>
              <w:jc w:val="center"/>
            </w:pPr>
            <w:r>
              <w:rPr>
                <w:color w:val="000000"/>
                <w:sz w:val="24"/>
              </w:rPr>
              <w:t>公用事业</w:t>
            </w:r>
          </w:p>
        </w:tc>
        <w:tc>
          <w:tcPr>
            <w:vAlign w:val="center"/>
          </w:tcPr>
          <w:p>
            <w:pPr>
              <w:jc w:val="center"/>
            </w:pPr>
            <w:r>
              <w:rPr>
                <w:color w:val="000000"/>
                <w:sz w:val="24"/>
              </w:rPr>
              <w:t>-</w:t>
            </w:r>
          </w:p>
        </w:tc>
        <w:tc>
          <w:tcPr>
            <w:vAlign w:val="center"/>
          </w:tcPr>
          <w:p>
            <w:pPr>
              <w:jc w:val="center"/>
            </w:pPr>
            <w:r>
              <w:rPr>
                <w:color w:val="000000"/>
                <w:sz w:val="24"/>
              </w:rPr>
              <w:t>-</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71,132,770.51</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49.54</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注：以上分类采用全球行业分类标准（GICS）。</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H00700</w:t>
            </w:r>
          </w:p>
        </w:tc>
        <w:tc>
          <w:tcPr>
            <w:vAlign w:val="center"/>
          </w:tcPr>
          <w:p>
            <w:pPr>
              <w:jc w:val="center"/>
            </w:pPr>
            <w:r>
              <w:rPr>
                <w:color w:val="000000"/>
                <w:sz w:val="24"/>
                <w:szCs w:val="24"/>
              </w:rPr>
              <w:t>腾讯控股</w:t>
            </w:r>
          </w:p>
        </w:tc>
        <w:tc>
          <w:tcPr>
            <w:vAlign w:val="center"/>
          </w:tcPr>
          <w:p>
            <w:pPr>
              <w:jc w:val="right"/>
            </w:pPr>
            <w:r>
              <w:rPr>
                <w:color w:val="000000"/>
                <w:sz w:val="24"/>
                <w:szCs w:val="24"/>
              </w:rPr>
              <w:t>48,000</w:t>
            </w:r>
          </w:p>
        </w:tc>
        <w:tc>
          <w:tcPr>
            <w:vAlign w:val="center"/>
          </w:tcPr>
          <w:p>
            <w:pPr>
              <w:jc w:val="right"/>
            </w:pPr>
            <w:r>
              <w:rPr>
                <w:color w:val="000000"/>
                <w:sz w:val="24"/>
                <w:szCs w:val="24"/>
              </w:rPr>
              <w:t>13,711,473.22</w:t>
            </w:r>
          </w:p>
        </w:tc>
        <w:tc>
          <w:tcPr>
            <w:vAlign w:val="center"/>
          </w:tcPr>
          <w:p>
            <w:pPr>
              <w:jc w:val="right"/>
            </w:pPr>
            <w:r>
              <w:rPr>
                <w:color w:val="000000"/>
                <w:sz w:val="24"/>
                <w:szCs w:val="24"/>
              </w:rPr>
              <w:t>9.55</w:t>
            </w:r>
          </w:p>
        </w:tc>
      </w:tr>
      <w:tr>
        <w:tc>
          <w:tcPr>
            <w:vAlign w:val="center"/>
          </w:tcPr>
          <w:p>
            <w:pPr>
              <w:jc w:val="center"/>
            </w:pPr>
            <w:r>
              <w:rPr>
                <w:color w:val="000000"/>
                <w:sz w:val="24"/>
                <w:szCs w:val="24"/>
              </w:rPr>
              <w:t>2</w:t>
            </w:r>
          </w:p>
        </w:tc>
        <w:tc>
          <w:tcPr>
            <w:vAlign w:val="center"/>
          </w:tcPr>
          <w:p>
            <w:pPr>
              <w:jc w:val="center"/>
            </w:pPr>
            <w:r>
              <w:rPr>
                <w:color w:val="000000"/>
                <w:sz w:val="24"/>
                <w:szCs w:val="24"/>
              </w:rPr>
              <w:t>H02238</w:t>
            </w:r>
          </w:p>
        </w:tc>
        <w:tc>
          <w:tcPr>
            <w:vAlign w:val="center"/>
          </w:tcPr>
          <w:p>
            <w:pPr>
              <w:jc w:val="center"/>
            </w:pPr>
            <w:r>
              <w:rPr>
                <w:color w:val="000000"/>
                <w:sz w:val="24"/>
                <w:szCs w:val="24"/>
              </w:rPr>
              <w:t>广汽集团</w:t>
            </w:r>
          </w:p>
        </w:tc>
        <w:tc>
          <w:tcPr>
            <w:vAlign w:val="center"/>
          </w:tcPr>
          <w:p>
            <w:pPr>
              <w:jc w:val="right"/>
            </w:pPr>
            <w:r>
              <w:rPr>
                <w:color w:val="000000"/>
                <w:sz w:val="24"/>
                <w:szCs w:val="24"/>
              </w:rPr>
              <w:t>450,000</w:t>
            </w:r>
          </w:p>
        </w:tc>
        <w:tc>
          <w:tcPr>
            <w:vAlign w:val="center"/>
          </w:tcPr>
          <w:p>
            <w:pPr>
              <w:jc w:val="right"/>
            </w:pPr>
            <w:r>
              <w:rPr>
                <w:color w:val="000000"/>
                <w:sz w:val="24"/>
                <w:szCs w:val="24"/>
              </w:rPr>
              <w:t>6,912,833.76</w:t>
            </w:r>
          </w:p>
        </w:tc>
        <w:tc>
          <w:tcPr>
            <w:vAlign w:val="center"/>
          </w:tcPr>
          <w:p>
            <w:pPr>
              <w:jc w:val="right"/>
            </w:pPr>
            <w:r>
              <w:rPr>
                <w:color w:val="000000"/>
                <w:sz w:val="24"/>
                <w:szCs w:val="24"/>
              </w:rPr>
              <w:t>4.81</w:t>
            </w:r>
          </w:p>
        </w:tc>
      </w:tr>
      <w:tr>
        <w:tc>
          <w:tcPr>
            <w:vAlign w:val="center"/>
          </w:tcPr>
          <w:p>
            <w:pPr>
              <w:jc w:val="center"/>
            </w:pPr>
            <w:r>
              <w:rPr>
                <w:color w:val="000000"/>
                <w:sz w:val="24"/>
                <w:szCs w:val="24"/>
              </w:rPr>
              <w:t>3</w:t>
            </w:r>
          </w:p>
        </w:tc>
        <w:tc>
          <w:tcPr>
            <w:vAlign w:val="center"/>
          </w:tcPr>
          <w:p>
            <w:pPr>
              <w:jc w:val="center"/>
            </w:pPr>
            <w:r>
              <w:rPr>
                <w:color w:val="000000"/>
                <w:sz w:val="24"/>
                <w:szCs w:val="24"/>
              </w:rPr>
              <w:t>H02018</w:t>
            </w:r>
          </w:p>
        </w:tc>
        <w:tc>
          <w:tcPr>
            <w:vAlign w:val="center"/>
          </w:tcPr>
          <w:p>
            <w:pPr>
              <w:jc w:val="center"/>
            </w:pPr>
            <w:r>
              <w:rPr>
                <w:color w:val="000000"/>
                <w:sz w:val="24"/>
                <w:szCs w:val="24"/>
              </w:rPr>
              <w:t>瑞声科技</w:t>
            </w:r>
          </w:p>
        </w:tc>
        <w:tc>
          <w:tcPr>
            <w:vAlign w:val="center"/>
          </w:tcPr>
          <w:p>
            <w:pPr>
              <w:jc w:val="right"/>
            </w:pPr>
            <w:r>
              <w:rPr>
                <w:color w:val="000000"/>
                <w:sz w:val="24"/>
                <w:szCs w:val="24"/>
              </w:rPr>
              <w:t>60,000</w:t>
            </w:r>
          </w:p>
        </w:tc>
        <w:tc>
          <w:tcPr>
            <w:vAlign w:val="center"/>
          </w:tcPr>
          <w:p>
            <w:pPr>
              <w:jc w:val="right"/>
            </w:pPr>
            <w:r>
              <w:rPr>
                <w:color w:val="000000"/>
                <w:sz w:val="24"/>
                <w:szCs w:val="24"/>
              </w:rPr>
              <w:t>6,688,523.52</w:t>
            </w:r>
          </w:p>
        </w:tc>
        <w:tc>
          <w:tcPr>
            <w:vAlign w:val="center"/>
          </w:tcPr>
          <w:p>
            <w:pPr>
              <w:jc w:val="right"/>
            </w:pPr>
            <w:r>
              <w:rPr>
                <w:color w:val="000000"/>
                <w:sz w:val="24"/>
                <w:szCs w:val="24"/>
              </w:rPr>
              <w:t>4.66</w:t>
            </w:r>
          </w:p>
        </w:tc>
      </w:tr>
      <w:tr>
        <w:tc>
          <w:tcPr>
            <w:vAlign w:val="center"/>
          </w:tcPr>
          <w:p>
            <w:pPr>
              <w:jc w:val="center"/>
            </w:pPr>
            <w:r>
              <w:rPr>
                <w:color w:val="000000"/>
                <w:sz w:val="24"/>
                <w:szCs w:val="24"/>
              </w:rPr>
              <w:t>4</w:t>
            </w:r>
          </w:p>
        </w:tc>
        <w:tc>
          <w:tcPr>
            <w:vAlign w:val="center"/>
          </w:tcPr>
          <w:p>
            <w:pPr>
              <w:jc w:val="center"/>
            </w:pPr>
            <w:r>
              <w:rPr>
                <w:color w:val="000000"/>
                <w:sz w:val="24"/>
                <w:szCs w:val="24"/>
              </w:rPr>
              <w:t>600660</w:t>
            </w:r>
          </w:p>
        </w:tc>
        <w:tc>
          <w:tcPr>
            <w:vAlign w:val="center"/>
          </w:tcPr>
          <w:p>
            <w:pPr>
              <w:jc w:val="center"/>
            </w:pPr>
            <w:r>
              <w:rPr>
                <w:color w:val="000000"/>
                <w:sz w:val="24"/>
                <w:szCs w:val="24"/>
              </w:rPr>
              <w:t>福耀玻璃</w:t>
            </w:r>
          </w:p>
        </w:tc>
        <w:tc>
          <w:tcPr>
            <w:vAlign w:val="center"/>
          </w:tcPr>
          <w:p>
            <w:pPr>
              <w:jc w:val="right"/>
            </w:pPr>
            <w:r>
              <w:rPr>
                <w:color w:val="000000"/>
                <w:sz w:val="24"/>
                <w:szCs w:val="24"/>
              </w:rPr>
              <w:t>250,000</w:t>
            </w:r>
          </w:p>
        </w:tc>
        <w:tc>
          <w:tcPr>
            <w:vAlign w:val="center"/>
          </w:tcPr>
          <w:p>
            <w:pPr>
              <w:jc w:val="right"/>
            </w:pPr>
            <w:r>
              <w:rPr>
                <w:color w:val="000000"/>
                <w:sz w:val="24"/>
                <w:szCs w:val="24"/>
              </w:rPr>
              <w:t>6,372,500.00</w:t>
            </w:r>
          </w:p>
        </w:tc>
        <w:tc>
          <w:tcPr>
            <w:vAlign w:val="center"/>
          </w:tcPr>
          <w:p>
            <w:pPr>
              <w:jc w:val="right"/>
            </w:pPr>
            <w:r>
              <w:rPr>
                <w:color w:val="000000"/>
                <w:sz w:val="24"/>
                <w:szCs w:val="24"/>
              </w:rPr>
              <w:t>4.44</w:t>
            </w:r>
          </w:p>
        </w:tc>
      </w:tr>
      <w:tr>
        <w:tc>
          <w:tcPr>
            <w:vAlign w:val="center"/>
          </w:tcPr>
          <w:p>
            <w:pPr>
              <w:jc w:val="center"/>
            </w:pPr>
            <w:r>
              <w:rPr>
                <w:color w:val="000000"/>
                <w:sz w:val="24"/>
                <w:szCs w:val="24"/>
              </w:rPr>
              <w:t>5</w:t>
            </w:r>
          </w:p>
        </w:tc>
        <w:tc>
          <w:tcPr>
            <w:vAlign w:val="center"/>
          </w:tcPr>
          <w:p>
            <w:pPr>
              <w:jc w:val="center"/>
            </w:pPr>
            <w:r>
              <w:rPr>
                <w:color w:val="000000"/>
                <w:sz w:val="24"/>
                <w:szCs w:val="24"/>
              </w:rPr>
              <w:t>H01813</w:t>
            </w:r>
          </w:p>
        </w:tc>
        <w:tc>
          <w:tcPr>
            <w:vAlign w:val="center"/>
          </w:tcPr>
          <w:p>
            <w:pPr>
              <w:jc w:val="center"/>
            </w:pPr>
            <w:r>
              <w:rPr>
                <w:color w:val="000000"/>
                <w:sz w:val="24"/>
                <w:szCs w:val="24"/>
              </w:rPr>
              <w:t>合景泰富</w:t>
            </w:r>
          </w:p>
        </w:tc>
        <w:tc>
          <w:tcPr>
            <w:vAlign w:val="center"/>
          </w:tcPr>
          <w:p>
            <w:pPr>
              <w:jc w:val="right"/>
            </w:pPr>
            <w:r>
              <w:rPr>
                <w:color w:val="000000"/>
                <w:sz w:val="24"/>
                <w:szCs w:val="24"/>
              </w:rPr>
              <w:t>800,000</w:t>
            </w:r>
          </w:p>
        </w:tc>
        <w:tc>
          <w:tcPr>
            <w:vAlign w:val="center"/>
          </w:tcPr>
          <w:p>
            <w:pPr>
              <w:jc w:val="right"/>
            </w:pPr>
            <w:r>
              <w:rPr>
                <w:color w:val="000000"/>
                <w:sz w:val="24"/>
                <w:szCs w:val="24"/>
              </w:rPr>
              <w:t>5,675,728.80</w:t>
            </w:r>
          </w:p>
        </w:tc>
        <w:tc>
          <w:tcPr>
            <w:vAlign w:val="center"/>
          </w:tcPr>
          <w:p>
            <w:pPr>
              <w:jc w:val="right"/>
            </w:pPr>
            <w:r>
              <w:rPr>
                <w:color w:val="000000"/>
                <w:sz w:val="24"/>
                <w:szCs w:val="24"/>
              </w:rPr>
              <w:t>3.95</w:t>
            </w:r>
          </w:p>
        </w:tc>
      </w:tr>
      <w:tr>
        <w:tc>
          <w:tcPr>
            <w:vAlign w:val="center"/>
          </w:tcPr>
          <w:p>
            <w:pPr>
              <w:jc w:val="center"/>
            </w:pPr>
            <w:r>
              <w:rPr>
                <w:color w:val="000000"/>
                <w:sz w:val="24"/>
                <w:szCs w:val="24"/>
              </w:rPr>
              <w:t>6</w:t>
            </w:r>
          </w:p>
        </w:tc>
        <w:tc>
          <w:tcPr>
            <w:vAlign w:val="center"/>
          </w:tcPr>
          <w:p>
            <w:pPr>
              <w:jc w:val="center"/>
            </w:pPr>
            <w:r>
              <w:rPr>
                <w:color w:val="000000"/>
                <w:sz w:val="24"/>
                <w:szCs w:val="24"/>
              </w:rPr>
              <w:t>H01336</w:t>
            </w:r>
          </w:p>
        </w:tc>
        <w:tc>
          <w:tcPr>
            <w:vAlign w:val="center"/>
          </w:tcPr>
          <w:p>
            <w:pPr>
              <w:jc w:val="center"/>
            </w:pPr>
            <w:r>
              <w:rPr>
                <w:color w:val="000000"/>
                <w:sz w:val="24"/>
                <w:szCs w:val="24"/>
              </w:rPr>
              <w:t>新华保险</w:t>
            </w:r>
          </w:p>
        </w:tc>
        <w:tc>
          <w:tcPr>
            <w:vAlign w:val="center"/>
          </w:tcPr>
          <w:p>
            <w:pPr>
              <w:jc w:val="right"/>
            </w:pPr>
            <w:r>
              <w:rPr>
                <w:color w:val="000000"/>
                <w:sz w:val="24"/>
                <w:szCs w:val="24"/>
              </w:rPr>
              <w:t>150,000</w:t>
            </w:r>
          </w:p>
        </w:tc>
        <w:tc>
          <w:tcPr>
            <w:vAlign w:val="center"/>
          </w:tcPr>
          <w:p>
            <w:pPr>
              <w:jc w:val="right"/>
            </w:pPr>
            <w:r>
              <w:rPr>
                <w:color w:val="000000"/>
                <w:sz w:val="24"/>
                <w:szCs w:val="24"/>
              </w:rPr>
              <w:t>5,626,873.35</w:t>
            </w:r>
          </w:p>
        </w:tc>
        <w:tc>
          <w:tcPr>
            <w:vAlign w:val="center"/>
          </w:tcPr>
          <w:p>
            <w:pPr>
              <w:jc w:val="right"/>
            </w:pPr>
            <w:r>
              <w:rPr>
                <w:color w:val="000000"/>
                <w:sz w:val="24"/>
                <w:szCs w:val="24"/>
              </w:rPr>
              <w:t>3.92</w:t>
            </w:r>
          </w:p>
        </w:tc>
      </w:tr>
      <w:tr>
        <w:tc>
          <w:tcPr>
            <w:vAlign w:val="center"/>
          </w:tcPr>
          <w:p>
            <w:pPr>
              <w:jc w:val="center"/>
            </w:pPr>
            <w:r>
              <w:rPr>
                <w:color w:val="000000"/>
                <w:sz w:val="24"/>
                <w:szCs w:val="24"/>
              </w:rPr>
              <w:t>7</w:t>
            </w:r>
          </w:p>
        </w:tc>
        <w:tc>
          <w:tcPr>
            <w:vAlign w:val="center"/>
          </w:tcPr>
          <w:p>
            <w:pPr>
              <w:jc w:val="center"/>
            </w:pPr>
            <w:r>
              <w:rPr>
                <w:color w:val="000000"/>
                <w:sz w:val="24"/>
                <w:szCs w:val="24"/>
              </w:rPr>
              <w:t>600887</w:t>
            </w:r>
          </w:p>
        </w:tc>
        <w:tc>
          <w:tcPr>
            <w:vAlign w:val="center"/>
          </w:tcPr>
          <w:p>
            <w:pPr>
              <w:jc w:val="center"/>
            </w:pPr>
            <w:r>
              <w:rPr>
                <w:color w:val="000000"/>
                <w:sz w:val="24"/>
                <w:szCs w:val="24"/>
              </w:rPr>
              <w:t>伊利股份</w:t>
            </w:r>
          </w:p>
        </w:tc>
        <w:tc>
          <w:tcPr>
            <w:vAlign w:val="center"/>
          </w:tcPr>
          <w:p>
            <w:pPr>
              <w:jc w:val="right"/>
            </w:pPr>
            <w:r>
              <w:rPr>
                <w:color w:val="000000"/>
                <w:sz w:val="24"/>
                <w:szCs w:val="24"/>
              </w:rPr>
              <w:t>200,000</w:t>
            </w:r>
          </w:p>
        </w:tc>
        <w:tc>
          <w:tcPr>
            <w:vAlign w:val="center"/>
          </w:tcPr>
          <w:p>
            <w:pPr>
              <w:jc w:val="right"/>
            </w:pPr>
            <w:r>
              <w:rPr>
                <w:color w:val="000000"/>
                <w:sz w:val="24"/>
                <w:szCs w:val="24"/>
              </w:rPr>
              <w:t>5,500,000.00</w:t>
            </w:r>
          </w:p>
        </w:tc>
        <w:tc>
          <w:tcPr>
            <w:vAlign w:val="center"/>
          </w:tcPr>
          <w:p>
            <w:pPr>
              <w:jc w:val="right"/>
            </w:pPr>
            <w:r>
              <w:rPr>
                <w:color w:val="000000"/>
                <w:sz w:val="24"/>
                <w:szCs w:val="24"/>
              </w:rPr>
              <w:t>3.83</w:t>
            </w:r>
          </w:p>
        </w:tc>
      </w:tr>
      <w:tr>
        <w:tc>
          <w:tcPr>
            <w:vAlign w:val="center"/>
          </w:tcPr>
          <w:p>
            <w:pPr>
              <w:jc w:val="center"/>
            </w:pPr>
            <w:r>
              <w:rPr>
                <w:color w:val="000000"/>
                <w:sz w:val="24"/>
                <w:szCs w:val="24"/>
              </w:rPr>
              <w:t>8</w:t>
            </w:r>
          </w:p>
        </w:tc>
        <w:tc>
          <w:tcPr>
            <w:vAlign w:val="center"/>
          </w:tcPr>
          <w:p>
            <w:pPr>
              <w:jc w:val="center"/>
            </w:pPr>
            <w:r>
              <w:rPr>
                <w:color w:val="000000"/>
                <w:sz w:val="24"/>
                <w:szCs w:val="24"/>
              </w:rPr>
              <w:t>601318</w:t>
            </w:r>
          </w:p>
        </w:tc>
        <w:tc>
          <w:tcPr>
            <w:vAlign w:val="center"/>
          </w:tcPr>
          <w:p>
            <w:pPr>
              <w:jc w:val="center"/>
            </w:pPr>
            <w:r>
              <w:rPr>
                <w:color w:val="000000"/>
                <w:sz w:val="24"/>
                <w:szCs w:val="24"/>
              </w:rPr>
              <w:t>中国平安</w:t>
            </w:r>
          </w:p>
        </w:tc>
        <w:tc>
          <w:tcPr>
            <w:vAlign w:val="center"/>
          </w:tcPr>
          <w:p>
            <w:pPr>
              <w:jc w:val="right"/>
            </w:pPr>
            <w:r>
              <w:rPr>
                <w:color w:val="000000"/>
                <w:sz w:val="24"/>
                <w:szCs w:val="24"/>
              </w:rPr>
              <w:t>100,000</w:t>
            </w:r>
          </w:p>
        </w:tc>
        <w:tc>
          <w:tcPr>
            <w:vAlign w:val="center"/>
          </w:tcPr>
          <w:p>
            <w:pPr>
              <w:jc w:val="right"/>
            </w:pPr>
            <w:r>
              <w:rPr>
                <w:color w:val="000000"/>
                <w:sz w:val="24"/>
                <w:szCs w:val="24"/>
              </w:rPr>
              <w:t>5,416,000.00</w:t>
            </w:r>
          </w:p>
        </w:tc>
        <w:tc>
          <w:tcPr>
            <w:vAlign w:val="center"/>
          </w:tcPr>
          <w:p>
            <w:pPr>
              <w:jc w:val="right"/>
            </w:pPr>
            <w:r>
              <w:rPr>
                <w:color w:val="000000"/>
                <w:sz w:val="24"/>
                <w:szCs w:val="24"/>
              </w:rPr>
              <w:t>3.77</w:t>
            </w:r>
          </w:p>
        </w:tc>
      </w:tr>
      <w:tr>
        <w:tc>
          <w:tcPr>
            <w:vAlign w:val="center"/>
          </w:tcPr>
          <w:p>
            <w:pPr>
              <w:jc w:val="center"/>
            </w:pPr>
            <w:r>
              <w:rPr>
                <w:color w:val="000000"/>
                <w:sz w:val="24"/>
                <w:szCs w:val="24"/>
              </w:rPr>
              <w:t>9</w:t>
            </w:r>
          </w:p>
        </w:tc>
        <w:tc>
          <w:tcPr>
            <w:vAlign w:val="center"/>
          </w:tcPr>
          <w:p>
            <w:pPr>
              <w:jc w:val="center"/>
            </w:pPr>
            <w:r>
              <w:rPr>
                <w:color w:val="000000"/>
                <w:sz w:val="24"/>
                <w:szCs w:val="24"/>
              </w:rPr>
              <w:t>600036</w:t>
            </w:r>
          </w:p>
        </w:tc>
        <w:tc>
          <w:tcPr>
            <w:vAlign w:val="center"/>
          </w:tcPr>
          <w:p>
            <w:pPr>
              <w:jc w:val="center"/>
            </w:pPr>
            <w:r>
              <w:rPr>
                <w:color w:val="000000"/>
                <w:sz w:val="24"/>
                <w:szCs w:val="24"/>
              </w:rPr>
              <w:t>招商银行</w:t>
            </w:r>
          </w:p>
        </w:tc>
        <w:tc>
          <w:tcPr>
            <w:vAlign w:val="center"/>
          </w:tcPr>
          <w:p>
            <w:pPr>
              <w:jc w:val="right"/>
            </w:pPr>
            <w:r>
              <w:rPr>
                <w:color w:val="000000"/>
                <w:sz w:val="24"/>
                <w:szCs w:val="24"/>
              </w:rPr>
              <w:t>210,000</w:t>
            </w:r>
          </w:p>
        </w:tc>
        <w:tc>
          <w:tcPr>
            <w:vAlign w:val="center"/>
          </w:tcPr>
          <w:p>
            <w:pPr>
              <w:jc w:val="right"/>
            </w:pPr>
            <w:r>
              <w:rPr>
                <w:color w:val="000000"/>
                <w:sz w:val="24"/>
                <w:szCs w:val="24"/>
              </w:rPr>
              <w:t>5,365,500.00</w:t>
            </w:r>
          </w:p>
        </w:tc>
        <w:tc>
          <w:tcPr>
            <w:vAlign w:val="center"/>
          </w:tcPr>
          <w:p>
            <w:pPr>
              <w:jc w:val="right"/>
            </w:pPr>
            <w:r>
              <w:rPr>
                <w:color w:val="000000"/>
                <w:sz w:val="24"/>
                <w:szCs w:val="24"/>
              </w:rPr>
              <w:t>3.74</w:t>
            </w:r>
          </w:p>
        </w:tc>
      </w:tr>
      <w:tr>
        <w:tc>
          <w:tcPr>
            <w:vAlign w:val="center"/>
          </w:tcPr>
          <w:p>
            <w:pPr>
              <w:jc w:val="center"/>
            </w:pPr>
            <w:r>
              <w:rPr>
                <w:color w:val="000000"/>
                <w:sz w:val="24"/>
                <w:szCs w:val="24"/>
              </w:rPr>
              <w:t>10</w:t>
            </w:r>
          </w:p>
        </w:tc>
        <w:tc>
          <w:tcPr>
            <w:vAlign w:val="center"/>
          </w:tcPr>
          <w:p>
            <w:pPr>
              <w:jc w:val="center"/>
            </w:pPr>
            <w:r>
              <w:rPr>
                <w:color w:val="000000"/>
                <w:sz w:val="24"/>
                <w:szCs w:val="24"/>
              </w:rPr>
              <w:t>H01055</w:t>
            </w:r>
          </w:p>
        </w:tc>
        <w:tc>
          <w:tcPr>
            <w:vAlign w:val="center"/>
          </w:tcPr>
          <w:p>
            <w:pPr>
              <w:jc w:val="center"/>
            </w:pPr>
            <w:r>
              <w:rPr>
                <w:color w:val="000000"/>
                <w:sz w:val="24"/>
                <w:szCs w:val="24"/>
              </w:rPr>
              <w:t>中国南方航空股份</w:t>
            </w:r>
          </w:p>
        </w:tc>
        <w:tc>
          <w:tcPr>
            <w:vAlign w:val="center"/>
          </w:tcPr>
          <w:p>
            <w:pPr>
              <w:jc w:val="right"/>
            </w:pPr>
            <w:r>
              <w:rPr>
                <w:color w:val="000000"/>
                <w:sz w:val="24"/>
                <w:szCs w:val="24"/>
              </w:rPr>
              <w:t>1,100,000</w:t>
            </w:r>
          </w:p>
        </w:tc>
        <w:tc>
          <w:tcPr>
            <w:vAlign w:val="center"/>
          </w:tcPr>
          <w:p>
            <w:pPr>
              <w:jc w:val="right"/>
            </w:pPr>
            <w:r>
              <w:rPr>
                <w:color w:val="000000"/>
                <w:sz w:val="24"/>
                <w:szCs w:val="24"/>
              </w:rPr>
              <w:t>5,028,287.88</w:t>
            </w:r>
          </w:p>
        </w:tc>
        <w:tc>
          <w:tcPr>
            <w:vAlign w:val="center"/>
          </w:tcPr>
          <w:p>
            <w:pPr>
              <w:jc w:val="right"/>
            </w:pPr>
            <w:r>
              <w:rPr>
                <w:color w:val="000000"/>
                <w:sz w:val="24"/>
                <w:szCs w:val="24"/>
              </w:rPr>
              <w:t>3.50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CD570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26,592.12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64,000.00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4,933.23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95,525.35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D02347"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8F60F2"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118,217,840.42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47,925,742.88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47,369,765.42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118,773,817.88</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ED2620" w:rsidP="00EE49FE">
      <w:pPr>
        <w:pStyle w:val="1"/>
        <w:tabs>
          <w:tab w:val="center" w:pos="4156"/>
          <w:tab w:val="right" w:pos="8312"/>
        </w:tabs>
        <w:spacing w:beforeLines="100" w:after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本基金管理人根据《证券基金经营机构参与内地与香港股票市场交易互联互通指引》的有关规定及相关监管要求，经与基金托管人协商一致，对本基金的基金合同、招募说明书作相应修改，本基金修订后的基金合同已自2017 年7月20日起生效。上述修改为遵照法律法规、中国证监会的相关规定和基金合同的约定所作出的修改，对基金份额持有人利益无实质性不利影响，可不经基金份额持有人大会表决。详情请查阅本基金管理人于2017年7月20日发布的《交银施罗德基金管理有限公司关于交银施罗德沪港深价值精选灵活配置混合型证券投资基金修改基金合同、招募说明书的公告》以及本基金管理人在网站上公布的经修改后的基金合同和更新基金招募说明书。</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Chars="200" w:firstLine="480"/>
        <w:rPr>
          <w:color w:val="000000"/>
          <w:sz w:val="24"/>
          <w:szCs w:val="24"/>
        </w:rPr>
      </w:pPr>
      <w:r>
        <w:rPr>
          <w:color w:val="000000"/>
          <w:sz w:val="24"/>
          <w:szCs w:val="24"/>
        </w:rPr>
        <w:t xml:space="preserve">1、中国证监会准予交银施罗德沪港深价值精选灵活配置混合型证券投资基金募集注册的文件； </w:t>
      </w:r>
    </w:p>
    <w:p>
      <w:pPr>
        <w:spacing w:before="29" w:line="288" w:lineRule="auto"/>
        <w:ind w:firstLineChars="200" w:firstLine="480"/>
        <w:rPr>
          <w:color w:val="000000"/>
          <w:sz w:val="24"/>
          <w:szCs w:val="24"/>
        </w:rPr>
      </w:pPr>
      <w:r>
        <w:rPr>
          <w:color w:val="000000"/>
          <w:sz w:val="24"/>
          <w:szCs w:val="24"/>
        </w:rPr>
        <w:t xml:space="preserve">2、《交银施罗德沪港深价值精选灵活配置混合型证券投资基金基金合同》； </w:t>
      </w:r>
    </w:p>
    <w:p>
      <w:pPr>
        <w:spacing w:before="29" w:line="288" w:lineRule="auto"/>
        <w:ind w:firstLineChars="200" w:firstLine="480"/>
        <w:rPr>
          <w:color w:val="000000"/>
          <w:sz w:val="24"/>
          <w:szCs w:val="24"/>
        </w:rPr>
      </w:pPr>
      <w:r>
        <w:rPr>
          <w:color w:val="000000"/>
          <w:sz w:val="24"/>
          <w:szCs w:val="24"/>
        </w:rPr>
        <w:t xml:space="preserve">3、《交银施罗德沪港深价值精选灵活配置混合型证券投资基金招募说明书》； </w:t>
      </w:r>
    </w:p>
    <w:p>
      <w:pPr>
        <w:spacing w:before="29" w:line="288" w:lineRule="auto"/>
        <w:ind w:firstLineChars="200" w:firstLine="480"/>
        <w:rPr>
          <w:color w:val="000000"/>
          <w:sz w:val="24"/>
          <w:szCs w:val="24"/>
        </w:rPr>
      </w:pPr>
      <w:r>
        <w:rPr>
          <w:color w:val="000000"/>
          <w:sz w:val="24"/>
          <w:szCs w:val="24"/>
        </w:rPr>
        <w:t xml:space="preserve">4、《交银施罗德沪港深价值精选灵活配置混合型证券投资基金托管协议》； </w:t>
      </w:r>
    </w:p>
    <w:p>
      <w:pPr>
        <w:spacing w:before="29" w:line="288" w:lineRule="auto"/>
        <w:ind w:firstLineChars="200" w:firstLine="480"/>
        <w:rPr>
          <w:color w:val="000000"/>
          <w:sz w:val="24"/>
          <w:szCs w:val="24"/>
        </w:rPr>
      </w:pPr>
      <w:r>
        <w:rPr>
          <w:color w:val="000000"/>
          <w:sz w:val="24"/>
          <w:szCs w:val="24"/>
        </w:rPr>
        <w:t xml:space="preserve">5、关于申请募集注册交银施罗德沪港深价值精选灵活配置混合型证券投资基金的法律意见书； </w:t>
      </w:r>
    </w:p>
    <w:p>
      <w:pPr>
        <w:spacing w:before="29" w:line="288" w:lineRule="auto"/>
        <w:ind w:firstLineChars="200" w:firstLine="480"/>
        <w:rPr>
          <w:color w:val="000000"/>
          <w:sz w:val="24"/>
          <w:szCs w:val="24"/>
        </w:rPr>
      </w:pPr>
      <w:r>
        <w:rPr>
          <w:color w:val="000000"/>
          <w:sz w:val="24"/>
          <w:szCs w:val="24"/>
        </w:rPr>
        <w:t xml:space="preserve">6、基金管理人业务资格批件、营业执照； </w:t>
      </w:r>
    </w:p>
    <w:p>
      <w:pPr>
        <w:spacing w:before="29" w:line="288" w:lineRule="auto"/>
        <w:ind w:firstLineChars="200" w:firstLine="480"/>
        <w:rPr>
          <w:color w:val="000000"/>
          <w:sz w:val="24"/>
          <w:szCs w:val="24"/>
        </w:rPr>
      </w:pPr>
      <w:r>
        <w:rPr>
          <w:color w:val="000000"/>
          <w:sz w:val="24"/>
          <w:szCs w:val="24"/>
        </w:rPr>
        <w:t xml:space="preserve">7、基金托管人业务资格批件、营业执照；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8、报告期内交银施罗德沪港深价值精选灵活配置混合型证券投资基金在指定报刊上各项公告的原稿。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Chars="200" w:firstLine="480"/>
        <w:rPr>
          <w:color w:val="000000"/>
          <w:sz w:val="24"/>
          <w:szCs w:val="24"/>
        </w:rPr>
      </w:pPr>
      <w:r>
        <w:rPr>
          <w:color w:val="000000"/>
          <w:sz w:val="24"/>
          <w:szCs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A33" w:rsidRDefault="005A0A33" w:rsidP="00876D65">
      <w:r>
        <w:separator/>
      </w:r>
    </w:p>
  </w:endnote>
  <w:endnote w:type="continuationSeparator" w:id="1">
    <w:p w:rsidR="005A0A33" w:rsidRDefault="005A0A33"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EE49FE">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EE49FE">
      <w:rPr>
        <w:noProof/>
        <w:kern w:val="0"/>
        <w:szCs w:val="21"/>
      </w:rPr>
      <w:t>15</w:t>
    </w:r>
    <w:r w:rsidR="0052479B">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A33" w:rsidRDefault="005A0A33" w:rsidP="00876D65">
      <w:r>
        <w:separator/>
      </w:r>
    </w:p>
  </w:footnote>
  <w:footnote w:type="continuationSeparator" w:id="1">
    <w:p w:rsidR="005A0A33" w:rsidRDefault="005A0A33"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jpeg" Type="http://schemas.openxmlformats.org/officeDocument/2006/relationships/image"/>
<Relationship Id="rId11" Target="fontTable.xml" Type="http://schemas.openxmlformats.org/officeDocument/2006/relationships/fontTable"/>
<Relationship Id="rId12" Target="theme/theme1.xml" Type="http://schemas.openxmlformats.org/officeDocument/2006/relationships/theme"/>
<Relationship Id="rId13"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AE05-B3B4-4DEC-B1E6-C012F8D9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15</Pages>
  <Words>3756</Words>
  <Characters>21412</Characters>
  <Application>Microsoft Office Word</Application>
  <DocSecurity>0</DocSecurity>
  <Lines>178</Lines>
  <Paragraphs>50</Paragraphs>
  <ScaleCrop>false</ScaleCrop>
  <Company/>
  <LinksUpToDate>false</LinksUpToDate>
  <CharactersWithSpaces>25118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China</cp:lastModifiedBy>
  <dcterms:modified xsi:type="dcterms:W3CDTF">2017-07-10T10:13:00Z</dcterms:modified>
  <cp:revision>565</cp:revision>
</cp:coreProperties>
</file>