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110E6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CB24D0" w:rsidRDefault="00110E6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B24D0" w:rsidRDefault="00110E62">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B24D0" w:rsidRDefault="00110E6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B24D0" w:rsidRDefault="00110E6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B24D0" w:rsidRDefault="00110E6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1,800,394,254.09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56,709,766.25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1,743,684,487.84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278,598.30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20,033,606.26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278,598.30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20,033,606.26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56,709,766.25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1,743,684,487.84</w:t>
            </w:r>
          </w:p>
        </w:tc>
      </w:tr>
    </w:tbl>
    <w:p w:rsidR="00CB24D0" w:rsidRDefault="00110E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CB24D0">
        <w:trPr>
          <w:jc w:val="center"/>
        </w:trPr>
        <w:tc>
          <w:tcPr>
            <w:tcW w:w="1266" w:type="dxa"/>
            <w:vAlign w:val="center"/>
          </w:tcPr>
          <w:p w:rsidR="00CB24D0" w:rsidRDefault="00110E62">
            <w:pPr>
              <w:jc w:val="left"/>
            </w:pPr>
            <w:r>
              <w:rPr>
                <w:color w:val="000000"/>
              </w:rPr>
              <w:lastRenderedPageBreak/>
              <w:t>过去三个月</w:t>
            </w:r>
          </w:p>
        </w:tc>
        <w:tc>
          <w:tcPr>
            <w:tcW w:w="1267" w:type="dxa"/>
            <w:vAlign w:val="center"/>
          </w:tcPr>
          <w:p w:rsidR="00CB24D0" w:rsidRDefault="00110E62">
            <w:pPr>
              <w:jc w:val="center"/>
            </w:pPr>
            <w:r>
              <w:rPr>
                <w:color w:val="000000"/>
              </w:rPr>
              <w:t>1.0315%</w:t>
            </w:r>
          </w:p>
        </w:tc>
        <w:tc>
          <w:tcPr>
            <w:tcW w:w="1267" w:type="dxa"/>
            <w:vAlign w:val="center"/>
          </w:tcPr>
          <w:p w:rsidR="00CB24D0" w:rsidRDefault="00110E62">
            <w:pPr>
              <w:jc w:val="center"/>
            </w:pPr>
            <w:r>
              <w:rPr>
                <w:color w:val="000000"/>
              </w:rPr>
              <w:t>0.0004%</w:t>
            </w:r>
          </w:p>
        </w:tc>
        <w:tc>
          <w:tcPr>
            <w:tcW w:w="1267" w:type="dxa"/>
            <w:vAlign w:val="center"/>
          </w:tcPr>
          <w:p w:rsidR="00CB24D0" w:rsidRDefault="00110E62">
            <w:pPr>
              <w:jc w:val="center"/>
            </w:pPr>
            <w:r>
              <w:rPr>
                <w:color w:val="000000"/>
              </w:rPr>
              <w:t>0.0882%</w:t>
            </w:r>
          </w:p>
        </w:tc>
        <w:tc>
          <w:tcPr>
            <w:tcW w:w="1267" w:type="dxa"/>
            <w:vAlign w:val="center"/>
          </w:tcPr>
          <w:p w:rsidR="00CB24D0" w:rsidRDefault="00110E62">
            <w:pPr>
              <w:jc w:val="center"/>
            </w:pPr>
            <w:r>
              <w:rPr>
                <w:color w:val="000000"/>
              </w:rPr>
              <w:t>0.0000%</w:t>
            </w:r>
          </w:p>
        </w:tc>
        <w:tc>
          <w:tcPr>
            <w:tcW w:w="1267" w:type="dxa"/>
            <w:vAlign w:val="center"/>
          </w:tcPr>
          <w:p w:rsidR="00CB24D0" w:rsidRDefault="00110E62">
            <w:pPr>
              <w:jc w:val="center"/>
            </w:pPr>
            <w:r>
              <w:rPr>
                <w:color w:val="000000"/>
              </w:rPr>
              <w:t>0.9433%</w:t>
            </w:r>
          </w:p>
        </w:tc>
        <w:tc>
          <w:tcPr>
            <w:tcW w:w="1267" w:type="dxa"/>
            <w:vAlign w:val="center"/>
          </w:tcPr>
          <w:p w:rsidR="00CB24D0" w:rsidRDefault="00110E62">
            <w:pPr>
              <w:jc w:val="center"/>
            </w:pPr>
            <w:r>
              <w:rPr>
                <w:color w:val="000000"/>
              </w:rPr>
              <w:t>0.0004%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CB24D0">
        <w:trPr>
          <w:jc w:val="center"/>
        </w:trPr>
        <w:tc>
          <w:tcPr>
            <w:tcW w:w="1266" w:type="dxa"/>
            <w:vAlign w:val="center"/>
          </w:tcPr>
          <w:p w:rsidR="00CB24D0" w:rsidRDefault="00110E62">
            <w:pPr>
              <w:jc w:val="left"/>
            </w:pPr>
            <w:r>
              <w:rPr>
                <w:color w:val="000000"/>
              </w:rPr>
              <w:t>过去三个月</w:t>
            </w:r>
          </w:p>
        </w:tc>
        <w:tc>
          <w:tcPr>
            <w:tcW w:w="1267" w:type="dxa"/>
            <w:vAlign w:val="center"/>
          </w:tcPr>
          <w:p w:rsidR="00CB24D0" w:rsidRDefault="00110E62">
            <w:pPr>
              <w:jc w:val="center"/>
            </w:pPr>
            <w:r>
              <w:rPr>
                <w:color w:val="000000"/>
              </w:rPr>
              <w:t>1.0918%</w:t>
            </w:r>
          </w:p>
        </w:tc>
        <w:tc>
          <w:tcPr>
            <w:tcW w:w="1267" w:type="dxa"/>
            <w:vAlign w:val="center"/>
          </w:tcPr>
          <w:p w:rsidR="00CB24D0" w:rsidRDefault="00110E62">
            <w:pPr>
              <w:jc w:val="center"/>
            </w:pPr>
            <w:r>
              <w:rPr>
                <w:color w:val="000000"/>
              </w:rPr>
              <w:t>0.0004%</w:t>
            </w:r>
          </w:p>
        </w:tc>
        <w:tc>
          <w:tcPr>
            <w:tcW w:w="1267" w:type="dxa"/>
            <w:vAlign w:val="center"/>
          </w:tcPr>
          <w:p w:rsidR="00CB24D0" w:rsidRDefault="00110E62">
            <w:pPr>
              <w:jc w:val="center"/>
            </w:pPr>
            <w:r>
              <w:rPr>
                <w:color w:val="000000"/>
              </w:rPr>
              <w:t>0.0882%</w:t>
            </w:r>
          </w:p>
        </w:tc>
        <w:tc>
          <w:tcPr>
            <w:tcW w:w="1267" w:type="dxa"/>
            <w:vAlign w:val="center"/>
          </w:tcPr>
          <w:p w:rsidR="00CB24D0" w:rsidRDefault="00110E62">
            <w:pPr>
              <w:jc w:val="center"/>
            </w:pPr>
            <w:r>
              <w:rPr>
                <w:color w:val="000000"/>
              </w:rPr>
              <w:t>0.0000%</w:t>
            </w:r>
          </w:p>
        </w:tc>
        <w:tc>
          <w:tcPr>
            <w:tcW w:w="1267" w:type="dxa"/>
            <w:vAlign w:val="center"/>
          </w:tcPr>
          <w:p w:rsidR="00CB24D0" w:rsidRDefault="00110E62">
            <w:pPr>
              <w:jc w:val="center"/>
            </w:pPr>
            <w:r>
              <w:rPr>
                <w:color w:val="000000"/>
              </w:rPr>
              <w:t>1.0036%</w:t>
            </w:r>
          </w:p>
        </w:tc>
        <w:tc>
          <w:tcPr>
            <w:tcW w:w="1267" w:type="dxa"/>
            <w:vAlign w:val="center"/>
          </w:tcPr>
          <w:p w:rsidR="00CB24D0" w:rsidRDefault="00110E62">
            <w:pPr>
              <w:jc w:val="center"/>
            </w:pPr>
            <w:r>
              <w:rPr>
                <w:color w:val="000000"/>
              </w:rPr>
              <w:t>0.0004%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CB24D0">
        <w:trPr>
          <w:jc w:val="center"/>
        </w:trPr>
        <w:tc>
          <w:tcPr>
            <w:tcW w:w="945" w:type="dxa"/>
            <w:vAlign w:val="center"/>
          </w:tcPr>
          <w:p w:rsidR="00CB24D0" w:rsidRDefault="00110E62">
            <w:pPr>
              <w:jc w:val="center"/>
            </w:pPr>
            <w:r>
              <w:rPr>
                <w:color w:val="000000"/>
                <w:sz w:val="24"/>
              </w:rPr>
              <w:t>黄莹洁</w:t>
            </w:r>
          </w:p>
        </w:tc>
        <w:tc>
          <w:tcPr>
            <w:tcW w:w="1589" w:type="dxa"/>
            <w:vAlign w:val="center"/>
          </w:tcPr>
          <w:p w:rsidR="00CB24D0" w:rsidRDefault="00110E62">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CB24D0" w:rsidRDefault="00110E62">
            <w:pPr>
              <w:jc w:val="center"/>
            </w:pPr>
            <w:r>
              <w:rPr>
                <w:color w:val="000000"/>
                <w:sz w:val="24"/>
              </w:rPr>
              <w:lastRenderedPageBreak/>
              <w:t>2016-10-19</w:t>
            </w:r>
          </w:p>
        </w:tc>
        <w:tc>
          <w:tcPr>
            <w:tcW w:w="1478" w:type="dxa"/>
            <w:vAlign w:val="center"/>
          </w:tcPr>
          <w:p w:rsidR="00CB24D0" w:rsidRDefault="00110E62">
            <w:pPr>
              <w:jc w:val="center"/>
            </w:pPr>
            <w:r>
              <w:rPr>
                <w:color w:val="000000"/>
                <w:sz w:val="24"/>
              </w:rPr>
              <w:t>-</w:t>
            </w:r>
          </w:p>
        </w:tc>
        <w:tc>
          <w:tcPr>
            <w:tcW w:w="986" w:type="dxa"/>
            <w:vAlign w:val="center"/>
          </w:tcPr>
          <w:p w:rsidR="00CB24D0" w:rsidRDefault="00110E62">
            <w:pPr>
              <w:jc w:val="center"/>
            </w:pPr>
            <w:r>
              <w:rPr>
                <w:color w:val="000000"/>
                <w:sz w:val="24"/>
              </w:rPr>
              <w:t>9</w:t>
            </w:r>
            <w:r>
              <w:rPr>
                <w:color w:val="000000"/>
                <w:sz w:val="24"/>
              </w:rPr>
              <w:t>年</w:t>
            </w:r>
          </w:p>
        </w:tc>
        <w:tc>
          <w:tcPr>
            <w:tcW w:w="2392" w:type="dxa"/>
            <w:vAlign w:val="center"/>
          </w:tcPr>
          <w:p w:rsidR="00CB24D0" w:rsidRDefault="00110E6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CB24D0">
        <w:trPr>
          <w:jc w:val="center"/>
        </w:trPr>
        <w:tc>
          <w:tcPr>
            <w:tcW w:w="945" w:type="dxa"/>
            <w:vAlign w:val="center"/>
          </w:tcPr>
          <w:p w:rsidR="00CB24D0" w:rsidRDefault="00110E62">
            <w:pPr>
              <w:jc w:val="center"/>
            </w:pPr>
            <w:r>
              <w:rPr>
                <w:color w:val="000000"/>
                <w:sz w:val="24"/>
              </w:rPr>
              <w:lastRenderedPageBreak/>
              <w:t>连端清</w:t>
            </w:r>
          </w:p>
        </w:tc>
        <w:tc>
          <w:tcPr>
            <w:tcW w:w="1589" w:type="dxa"/>
            <w:vAlign w:val="center"/>
          </w:tcPr>
          <w:p w:rsidR="00CB24D0" w:rsidRDefault="00110E6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CB24D0" w:rsidRDefault="00110E62">
            <w:pPr>
              <w:jc w:val="center"/>
            </w:pPr>
            <w:r>
              <w:rPr>
                <w:color w:val="000000"/>
                <w:sz w:val="24"/>
              </w:rPr>
              <w:t>2016-10-19</w:t>
            </w:r>
          </w:p>
        </w:tc>
        <w:tc>
          <w:tcPr>
            <w:tcW w:w="1478" w:type="dxa"/>
            <w:vAlign w:val="center"/>
          </w:tcPr>
          <w:p w:rsidR="00CB24D0" w:rsidRDefault="00110E62">
            <w:pPr>
              <w:jc w:val="center"/>
            </w:pPr>
            <w:r>
              <w:rPr>
                <w:color w:val="000000"/>
                <w:sz w:val="24"/>
              </w:rPr>
              <w:t>-</w:t>
            </w:r>
          </w:p>
        </w:tc>
        <w:tc>
          <w:tcPr>
            <w:tcW w:w="986" w:type="dxa"/>
            <w:vAlign w:val="center"/>
          </w:tcPr>
          <w:p w:rsidR="00CB24D0" w:rsidRDefault="00110E62">
            <w:pPr>
              <w:jc w:val="center"/>
            </w:pPr>
            <w:r>
              <w:rPr>
                <w:color w:val="000000"/>
                <w:sz w:val="24"/>
              </w:rPr>
              <w:t>4</w:t>
            </w:r>
            <w:r>
              <w:rPr>
                <w:color w:val="000000"/>
                <w:sz w:val="24"/>
              </w:rPr>
              <w:t>年</w:t>
            </w:r>
          </w:p>
        </w:tc>
        <w:tc>
          <w:tcPr>
            <w:tcW w:w="2392" w:type="dxa"/>
            <w:vAlign w:val="center"/>
          </w:tcPr>
          <w:p w:rsidR="00CB24D0" w:rsidRDefault="00110E6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B24D0" w:rsidRDefault="00110E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CB24D0" w:rsidRDefault="00110E62" w:rsidP="00014D04">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014D04">
      <w:pPr>
        <w:autoSpaceDE w:val="0"/>
        <w:autoSpaceDN w:val="0"/>
        <w:adjustRightInd w:val="0"/>
        <w:spacing w:before="29" w:line="288" w:lineRule="auto"/>
        <w:ind w:firstLineChars="200" w:firstLine="480"/>
        <w:jc w:val="left"/>
        <w:rPr>
          <w:color w:val="000000"/>
          <w:sz w:val="24"/>
        </w:rPr>
      </w:pPr>
      <w:r w:rsidRPr="000E4C40">
        <w:rPr>
          <w:color w:val="000000"/>
          <w:sz w:val="24"/>
        </w:rPr>
        <w:t>3</w:t>
      </w:r>
      <w:r w:rsidRPr="000E4C40">
        <w:rPr>
          <w:color w:val="000000"/>
          <w:sz w:val="24"/>
        </w:rPr>
        <w:t>、基金经理（或基金经理小组）期后变动（如有）敬请关注基金管理人发布的相</w:t>
      </w:r>
      <w:r w:rsidRPr="000E4C40">
        <w:rPr>
          <w:color w:val="000000"/>
          <w:sz w:val="24"/>
        </w:rPr>
        <w:lastRenderedPageBreak/>
        <w:t>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CB24D0" w:rsidRDefault="00110E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B24D0" w:rsidRDefault="00110E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B24D0" w:rsidRDefault="00110E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CB24D0" w:rsidRDefault="00110E62">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w:t>
      </w:r>
      <w:r>
        <w:rPr>
          <w:color w:val="000000"/>
          <w:sz w:val="24"/>
        </w:rPr>
        <w:t>CPI</w:t>
      </w:r>
      <w:r>
        <w:rPr>
          <w:color w:val="000000"/>
          <w:sz w:val="24"/>
        </w:rPr>
        <w:t>同比，但是非食品项持续高于其季节性周期变化，其中原油、</w:t>
      </w:r>
      <w:r>
        <w:rPr>
          <w:color w:val="000000"/>
          <w:sz w:val="24"/>
        </w:rPr>
        <w:lastRenderedPageBreak/>
        <w:t>服务类价格上涨是主因。货币政策稳健中性的基调不变，流动性总体紧平衡。</w:t>
      </w:r>
    </w:p>
    <w:p w:rsidR="00CB24D0" w:rsidRDefault="00110E62">
      <w:pPr>
        <w:spacing w:before="29" w:line="288" w:lineRule="auto"/>
        <w:ind w:firstLineChars="200" w:firstLine="480"/>
        <w:rPr>
          <w:color w:val="000000"/>
          <w:sz w:val="24"/>
        </w:rPr>
      </w:pPr>
      <w:r>
        <w:rPr>
          <w:color w:val="000000"/>
          <w:sz w:val="24"/>
        </w:rPr>
        <w:t>基金操作方面，由于基金规模相对稳定，维持了一定的杠杆操作，适当增厚了组合收益。九月末视组合流动性情况则适当拉长久期，增配了同业存单、存款等资产。</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此前快速增加的理财、同业存单规模已逐步降低增速，这表明金融去杠杆已经颇有成效，但是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00110E62">
        <w:rPr>
          <w:rFonts w:hint="eastAsia"/>
          <w:color w:val="000000"/>
          <w:sz w:val="24"/>
        </w:rPr>
        <w:t>1.0315</w:t>
      </w:r>
      <w:r w:rsidRPr="000E4C40">
        <w:rPr>
          <w:color w:val="000000"/>
          <w:sz w:val="24"/>
        </w:rPr>
        <w:t>%</w:t>
      </w:r>
      <w:r w:rsidRPr="000E4C40">
        <w:rPr>
          <w:color w:val="000000"/>
          <w:sz w:val="24"/>
        </w:rPr>
        <w:t>，同期业绩比较基准收益率为</w:t>
      </w:r>
      <w:r w:rsidRPr="000E4C40">
        <w:rPr>
          <w:color w:val="000000"/>
          <w:sz w:val="24"/>
        </w:rPr>
        <w:t>0.08</w:t>
      </w:r>
      <w:r w:rsidR="00110E62">
        <w:rPr>
          <w:rFonts w:hint="eastAsia"/>
          <w:color w:val="000000"/>
          <w:sz w:val="24"/>
        </w:rPr>
        <w:t>82</w:t>
      </w:r>
      <w:r w:rsidRPr="000E4C40">
        <w:rPr>
          <w:color w:val="000000"/>
          <w:sz w:val="24"/>
        </w:rPr>
        <w:t>%</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1.</w:t>
      </w:r>
      <w:r w:rsidR="00110E62">
        <w:rPr>
          <w:rFonts w:hint="eastAsia"/>
          <w:color w:val="000000"/>
          <w:sz w:val="24"/>
        </w:rPr>
        <w:t>0918</w:t>
      </w:r>
      <w:r w:rsidRPr="000E4C40">
        <w:rPr>
          <w:color w:val="000000"/>
          <w:sz w:val="24"/>
        </w:rPr>
        <w:t>%</w:t>
      </w:r>
      <w:r w:rsidRPr="000E4C40">
        <w:rPr>
          <w:color w:val="000000"/>
          <w:sz w:val="24"/>
        </w:rPr>
        <w:t>，同期业绩比较基准收益率为</w:t>
      </w:r>
      <w:r w:rsidRPr="000E4C40">
        <w:rPr>
          <w:color w:val="000000"/>
          <w:sz w:val="24"/>
        </w:rPr>
        <w:t>0.08</w:t>
      </w:r>
      <w:r w:rsidR="00110E62">
        <w:rPr>
          <w:rFonts w:hint="eastAsia"/>
          <w:color w:val="000000"/>
          <w:sz w:val="24"/>
        </w:rPr>
        <w:t>82</w:t>
      </w:r>
      <w:r w:rsidRPr="000E4C40">
        <w:rPr>
          <w:color w:val="000000"/>
          <w:sz w:val="24"/>
        </w:rPr>
        <w:t>%</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1,376,061,158.47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63.78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1,376,061,158.47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63.78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234,703,200.00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10.88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541,354,986.73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5,278,404.45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2,157,397,749.65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283CE6" w:rsidP="00281564">
            <w:pPr>
              <w:spacing w:before="29" w:line="288" w:lineRule="auto"/>
              <w:jc w:val="right"/>
              <w:rPr>
                <w:sz w:val="24"/>
              </w:rPr>
            </w:pPr>
            <w:r>
              <w:rPr>
                <w:sz w:val="24"/>
              </w:rPr>
              <w:t>14.48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353,117,550.32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19.61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16.29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19.61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16.62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51.70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119.39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19.61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50,713,194.30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49,105,502.58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49,105,502.58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159,952,218.82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8.88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1,116,290,242.77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62.00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lastRenderedPageBreak/>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1,376,061,158.47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76.43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13"/>
        <w:gridCol w:w="1296"/>
        <w:gridCol w:w="2048"/>
        <w:gridCol w:w="1144"/>
        <w:gridCol w:w="2069"/>
        <w:gridCol w:w="139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CB24D0">
        <w:trPr>
          <w:jc w:val="center"/>
        </w:trPr>
        <w:tc>
          <w:tcPr>
            <w:tcW w:w="0" w:type="auto"/>
            <w:vAlign w:val="center"/>
          </w:tcPr>
          <w:p w:rsidR="00CB24D0" w:rsidRDefault="00110E62">
            <w:pPr>
              <w:jc w:val="center"/>
            </w:pPr>
            <w:r>
              <w:rPr>
                <w:color w:val="000000"/>
                <w:sz w:val="24"/>
              </w:rPr>
              <w:t>1</w:t>
            </w:r>
          </w:p>
        </w:tc>
        <w:tc>
          <w:tcPr>
            <w:tcW w:w="0" w:type="auto"/>
            <w:vAlign w:val="center"/>
          </w:tcPr>
          <w:p w:rsidR="00CB24D0" w:rsidRDefault="00110E62">
            <w:pPr>
              <w:jc w:val="center"/>
            </w:pPr>
            <w:r>
              <w:rPr>
                <w:color w:val="000000"/>
                <w:sz w:val="24"/>
              </w:rPr>
              <w:t>111785367</w:t>
            </w:r>
          </w:p>
        </w:tc>
        <w:tc>
          <w:tcPr>
            <w:tcW w:w="0" w:type="auto"/>
            <w:vAlign w:val="center"/>
          </w:tcPr>
          <w:p w:rsidR="00CB24D0" w:rsidRDefault="00110E62">
            <w:pPr>
              <w:jc w:val="center"/>
            </w:pPr>
            <w:r>
              <w:rPr>
                <w:color w:val="000000"/>
                <w:sz w:val="24"/>
              </w:rPr>
              <w:t>17</w:t>
            </w:r>
            <w:r>
              <w:rPr>
                <w:color w:val="000000"/>
                <w:sz w:val="24"/>
              </w:rPr>
              <w:t>广东南粤银行</w:t>
            </w:r>
            <w:r>
              <w:rPr>
                <w:color w:val="000000"/>
                <w:sz w:val="24"/>
              </w:rPr>
              <w:t>CD111</w:t>
            </w:r>
          </w:p>
        </w:tc>
        <w:tc>
          <w:tcPr>
            <w:tcW w:w="0" w:type="auto"/>
            <w:vAlign w:val="center"/>
          </w:tcPr>
          <w:p w:rsidR="00CB24D0" w:rsidRDefault="00110E62">
            <w:pPr>
              <w:jc w:val="right"/>
            </w:pPr>
            <w:r>
              <w:rPr>
                <w:color w:val="000000"/>
                <w:sz w:val="24"/>
              </w:rPr>
              <w:t>900,000</w:t>
            </w:r>
          </w:p>
        </w:tc>
        <w:tc>
          <w:tcPr>
            <w:tcW w:w="0" w:type="auto"/>
            <w:vAlign w:val="center"/>
          </w:tcPr>
          <w:p w:rsidR="00CB24D0" w:rsidRDefault="00110E62">
            <w:pPr>
              <w:jc w:val="right"/>
            </w:pPr>
            <w:r>
              <w:rPr>
                <w:color w:val="000000"/>
                <w:sz w:val="24"/>
              </w:rPr>
              <w:t>88,073,392.61</w:t>
            </w:r>
          </w:p>
        </w:tc>
        <w:tc>
          <w:tcPr>
            <w:tcW w:w="0" w:type="auto"/>
            <w:vAlign w:val="center"/>
          </w:tcPr>
          <w:p w:rsidR="00CB24D0" w:rsidRDefault="00110E62">
            <w:pPr>
              <w:jc w:val="right"/>
            </w:pPr>
            <w:r>
              <w:rPr>
                <w:color w:val="000000"/>
                <w:sz w:val="24"/>
              </w:rPr>
              <w:t>4.89</w:t>
            </w:r>
          </w:p>
        </w:tc>
      </w:tr>
      <w:tr w:rsidR="00CB24D0">
        <w:trPr>
          <w:jc w:val="center"/>
        </w:trPr>
        <w:tc>
          <w:tcPr>
            <w:tcW w:w="0" w:type="auto"/>
            <w:vAlign w:val="center"/>
          </w:tcPr>
          <w:p w:rsidR="00CB24D0" w:rsidRDefault="00110E62">
            <w:pPr>
              <w:jc w:val="center"/>
            </w:pPr>
            <w:r>
              <w:rPr>
                <w:color w:val="000000"/>
                <w:sz w:val="24"/>
              </w:rPr>
              <w:t>2</w:t>
            </w:r>
          </w:p>
        </w:tc>
        <w:tc>
          <w:tcPr>
            <w:tcW w:w="0" w:type="auto"/>
            <w:vAlign w:val="center"/>
          </w:tcPr>
          <w:p w:rsidR="00CB24D0" w:rsidRDefault="00110E62">
            <w:pPr>
              <w:jc w:val="center"/>
            </w:pPr>
            <w:r>
              <w:rPr>
                <w:color w:val="000000"/>
                <w:sz w:val="24"/>
              </w:rPr>
              <w:t>011764064</w:t>
            </w:r>
          </w:p>
        </w:tc>
        <w:tc>
          <w:tcPr>
            <w:tcW w:w="0" w:type="auto"/>
            <w:vAlign w:val="center"/>
          </w:tcPr>
          <w:p w:rsidR="00CB24D0" w:rsidRDefault="00110E62">
            <w:pPr>
              <w:jc w:val="center"/>
            </w:pPr>
            <w:r>
              <w:rPr>
                <w:color w:val="000000"/>
                <w:sz w:val="24"/>
              </w:rPr>
              <w:t>17</w:t>
            </w:r>
            <w:r>
              <w:rPr>
                <w:color w:val="000000"/>
                <w:sz w:val="24"/>
              </w:rPr>
              <w:t>广州金融</w:t>
            </w:r>
            <w:r>
              <w:rPr>
                <w:color w:val="000000"/>
                <w:sz w:val="24"/>
              </w:rPr>
              <w:t>SCP002</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49,992,492.15</w:t>
            </w:r>
          </w:p>
        </w:tc>
        <w:tc>
          <w:tcPr>
            <w:tcW w:w="0" w:type="auto"/>
            <w:vAlign w:val="center"/>
          </w:tcPr>
          <w:p w:rsidR="00CB24D0" w:rsidRDefault="00110E62">
            <w:pPr>
              <w:jc w:val="right"/>
            </w:pPr>
            <w:r>
              <w:rPr>
                <w:color w:val="000000"/>
                <w:sz w:val="24"/>
              </w:rPr>
              <w:t>2.78</w:t>
            </w:r>
          </w:p>
        </w:tc>
      </w:tr>
      <w:tr w:rsidR="00CB24D0">
        <w:trPr>
          <w:jc w:val="center"/>
        </w:trPr>
        <w:tc>
          <w:tcPr>
            <w:tcW w:w="0" w:type="auto"/>
            <w:vAlign w:val="center"/>
          </w:tcPr>
          <w:p w:rsidR="00CB24D0" w:rsidRDefault="00110E62">
            <w:pPr>
              <w:jc w:val="center"/>
            </w:pPr>
            <w:r>
              <w:rPr>
                <w:color w:val="000000"/>
                <w:sz w:val="24"/>
              </w:rPr>
              <w:t>3</w:t>
            </w:r>
          </w:p>
        </w:tc>
        <w:tc>
          <w:tcPr>
            <w:tcW w:w="0" w:type="auto"/>
            <w:vAlign w:val="center"/>
          </w:tcPr>
          <w:p w:rsidR="00CB24D0" w:rsidRDefault="00110E62">
            <w:pPr>
              <w:jc w:val="center"/>
            </w:pPr>
            <w:r>
              <w:rPr>
                <w:color w:val="000000"/>
                <w:sz w:val="24"/>
              </w:rPr>
              <w:t>041751019</w:t>
            </w:r>
          </w:p>
        </w:tc>
        <w:tc>
          <w:tcPr>
            <w:tcW w:w="0" w:type="auto"/>
            <w:vAlign w:val="center"/>
          </w:tcPr>
          <w:p w:rsidR="00CB24D0" w:rsidRDefault="00110E62">
            <w:pPr>
              <w:jc w:val="center"/>
            </w:pPr>
            <w:r>
              <w:rPr>
                <w:color w:val="000000"/>
                <w:sz w:val="24"/>
              </w:rPr>
              <w:t>17</w:t>
            </w:r>
            <w:r>
              <w:rPr>
                <w:color w:val="000000"/>
                <w:sz w:val="24"/>
              </w:rPr>
              <w:t>扬子国资</w:t>
            </w:r>
            <w:r>
              <w:rPr>
                <w:color w:val="000000"/>
                <w:sz w:val="24"/>
              </w:rPr>
              <w:t>CP001</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49,968,585.86</w:t>
            </w:r>
          </w:p>
        </w:tc>
        <w:tc>
          <w:tcPr>
            <w:tcW w:w="0" w:type="auto"/>
            <w:vAlign w:val="center"/>
          </w:tcPr>
          <w:p w:rsidR="00CB24D0" w:rsidRDefault="00110E62">
            <w:pPr>
              <w:jc w:val="right"/>
            </w:pPr>
            <w:r>
              <w:rPr>
                <w:color w:val="000000"/>
                <w:sz w:val="24"/>
              </w:rPr>
              <w:t>2.78</w:t>
            </w:r>
          </w:p>
        </w:tc>
      </w:tr>
      <w:tr w:rsidR="00CB24D0">
        <w:trPr>
          <w:jc w:val="center"/>
        </w:trPr>
        <w:tc>
          <w:tcPr>
            <w:tcW w:w="0" w:type="auto"/>
            <w:vAlign w:val="center"/>
          </w:tcPr>
          <w:p w:rsidR="00CB24D0" w:rsidRDefault="00110E62">
            <w:pPr>
              <w:jc w:val="center"/>
            </w:pPr>
            <w:r>
              <w:rPr>
                <w:color w:val="000000"/>
                <w:sz w:val="24"/>
              </w:rPr>
              <w:t>4</w:t>
            </w:r>
          </w:p>
        </w:tc>
        <w:tc>
          <w:tcPr>
            <w:tcW w:w="0" w:type="auto"/>
            <w:vAlign w:val="center"/>
          </w:tcPr>
          <w:p w:rsidR="00CB24D0" w:rsidRDefault="00110E62">
            <w:pPr>
              <w:jc w:val="center"/>
            </w:pPr>
            <w:r>
              <w:rPr>
                <w:color w:val="000000"/>
                <w:sz w:val="24"/>
              </w:rPr>
              <w:t>111781782</w:t>
            </w:r>
          </w:p>
        </w:tc>
        <w:tc>
          <w:tcPr>
            <w:tcW w:w="0" w:type="auto"/>
            <w:vAlign w:val="center"/>
          </w:tcPr>
          <w:p w:rsidR="00CB24D0" w:rsidRDefault="00110E62">
            <w:pPr>
              <w:jc w:val="center"/>
            </w:pPr>
            <w:r>
              <w:rPr>
                <w:color w:val="000000"/>
                <w:sz w:val="24"/>
              </w:rPr>
              <w:t>17</w:t>
            </w:r>
            <w:r>
              <w:rPr>
                <w:color w:val="000000"/>
                <w:sz w:val="24"/>
              </w:rPr>
              <w:t>佛山农商行</w:t>
            </w:r>
            <w:r>
              <w:rPr>
                <w:color w:val="000000"/>
                <w:sz w:val="24"/>
              </w:rPr>
              <w:t>CD013</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49,850,365.62</w:t>
            </w:r>
          </w:p>
        </w:tc>
        <w:tc>
          <w:tcPr>
            <w:tcW w:w="0" w:type="auto"/>
            <w:vAlign w:val="center"/>
          </w:tcPr>
          <w:p w:rsidR="00CB24D0" w:rsidRDefault="00110E62">
            <w:pPr>
              <w:jc w:val="right"/>
            </w:pPr>
            <w:r>
              <w:rPr>
                <w:color w:val="000000"/>
                <w:sz w:val="24"/>
              </w:rPr>
              <w:t>2.77</w:t>
            </w:r>
          </w:p>
        </w:tc>
      </w:tr>
      <w:tr w:rsidR="00CB24D0">
        <w:trPr>
          <w:jc w:val="center"/>
        </w:trPr>
        <w:tc>
          <w:tcPr>
            <w:tcW w:w="0" w:type="auto"/>
            <w:vAlign w:val="center"/>
          </w:tcPr>
          <w:p w:rsidR="00CB24D0" w:rsidRDefault="00110E62">
            <w:pPr>
              <w:jc w:val="center"/>
            </w:pPr>
            <w:r>
              <w:rPr>
                <w:color w:val="000000"/>
                <w:sz w:val="24"/>
              </w:rPr>
              <w:t>5</w:t>
            </w:r>
          </w:p>
        </w:tc>
        <w:tc>
          <w:tcPr>
            <w:tcW w:w="0" w:type="auto"/>
            <w:vAlign w:val="center"/>
          </w:tcPr>
          <w:p w:rsidR="00CB24D0" w:rsidRDefault="00110E62">
            <w:pPr>
              <w:jc w:val="center"/>
            </w:pPr>
            <w:r>
              <w:rPr>
                <w:color w:val="000000"/>
                <w:sz w:val="24"/>
              </w:rPr>
              <w:t>020199</w:t>
            </w:r>
          </w:p>
        </w:tc>
        <w:tc>
          <w:tcPr>
            <w:tcW w:w="0" w:type="auto"/>
            <w:vAlign w:val="center"/>
          </w:tcPr>
          <w:p w:rsidR="00CB24D0" w:rsidRDefault="00110E62">
            <w:pPr>
              <w:jc w:val="center"/>
            </w:pPr>
            <w:r>
              <w:rPr>
                <w:color w:val="000000"/>
                <w:sz w:val="24"/>
              </w:rPr>
              <w:t>17</w:t>
            </w:r>
            <w:r>
              <w:rPr>
                <w:color w:val="000000"/>
                <w:sz w:val="24"/>
              </w:rPr>
              <w:t>贴债</w:t>
            </w:r>
            <w:r>
              <w:rPr>
                <w:color w:val="000000"/>
                <w:sz w:val="24"/>
              </w:rPr>
              <w:t>43</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49,713,193.24</w:t>
            </w:r>
          </w:p>
        </w:tc>
        <w:tc>
          <w:tcPr>
            <w:tcW w:w="0" w:type="auto"/>
            <w:vAlign w:val="center"/>
          </w:tcPr>
          <w:p w:rsidR="00CB24D0" w:rsidRDefault="00110E62">
            <w:pPr>
              <w:jc w:val="right"/>
            </w:pPr>
            <w:r>
              <w:rPr>
                <w:color w:val="000000"/>
                <w:sz w:val="24"/>
              </w:rPr>
              <w:t>2.76</w:t>
            </w:r>
          </w:p>
        </w:tc>
      </w:tr>
      <w:tr w:rsidR="00CB24D0">
        <w:trPr>
          <w:jc w:val="center"/>
        </w:trPr>
        <w:tc>
          <w:tcPr>
            <w:tcW w:w="0" w:type="auto"/>
            <w:vAlign w:val="center"/>
          </w:tcPr>
          <w:p w:rsidR="00CB24D0" w:rsidRDefault="00110E62">
            <w:pPr>
              <w:jc w:val="center"/>
            </w:pPr>
            <w:r>
              <w:rPr>
                <w:color w:val="000000"/>
                <w:sz w:val="24"/>
              </w:rPr>
              <w:t>6</w:t>
            </w:r>
          </w:p>
        </w:tc>
        <w:tc>
          <w:tcPr>
            <w:tcW w:w="0" w:type="auto"/>
            <w:vAlign w:val="center"/>
          </w:tcPr>
          <w:p w:rsidR="00CB24D0" w:rsidRDefault="00110E62">
            <w:pPr>
              <w:jc w:val="center"/>
            </w:pPr>
            <w:r>
              <w:rPr>
                <w:color w:val="000000"/>
                <w:sz w:val="24"/>
              </w:rPr>
              <w:t>111784559</w:t>
            </w:r>
          </w:p>
        </w:tc>
        <w:tc>
          <w:tcPr>
            <w:tcW w:w="0" w:type="auto"/>
            <w:vAlign w:val="center"/>
          </w:tcPr>
          <w:p w:rsidR="00CB24D0" w:rsidRDefault="00110E62">
            <w:pPr>
              <w:jc w:val="center"/>
            </w:pPr>
            <w:r>
              <w:rPr>
                <w:color w:val="000000"/>
                <w:sz w:val="24"/>
              </w:rPr>
              <w:t>17</w:t>
            </w:r>
            <w:r>
              <w:rPr>
                <w:color w:val="000000"/>
                <w:sz w:val="24"/>
              </w:rPr>
              <w:t>武汉农商行</w:t>
            </w:r>
            <w:r>
              <w:rPr>
                <w:color w:val="000000"/>
                <w:sz w:val="24"/>
              </w:rPr>
              <w:t>CD020</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49,562,057.73</w:t>
            </w:r>
          </w:p>
        </w:tc>
        <w:tc>
          <w:tcPr>
            <w:tcW w:w="0" w:type="auto"/>
            <w:vAlign w:val="center"/>
          </w:tcPr>
          <w:p w:rsidR="00CB24D0" w:rsidRDefault="00110E62">
            <w:pPr>
              <w:jc w:val="right"/>
            </w:pPr>
            <w:r>
              <w:rPr>
                <w:color w:val="000000"/>
                <w:sz w:val="24"/>
              </w:rPr>
              <w:t>2.75</w:t>
            </w:r>
          </w:p>
        </w:tc>
      </w:tr>
      <w:tr w:rsidR="00CB24D0">
        <w:trPr>
          <w:jc w:val="center"/>
        </w:trPr>
        <w:tc>
          <w:tcPr>
            <w:tcW w:w="0" w:type="auto"/>
            <w:vAlign w:val="center"/>
          </w:tcPr>
          <w:p w:rsidR="00CB24D0" w:rsidRDefault="00110E62">
            <w:pPr>
              <w:jc w:val="center"/>
            </w:pPr>
            <w:r>
              <w:rPr>
                <w:color w:val="000000"/>
                <w:sz w:val="24"/>
              </w:rPr>
              <w:t>7</w:t>
            </w:r>
          </w:p>
        </w:tc>
        <w:tc>
          <w:tcPr>
            <w:tcW w:w="0" w:type="auto"/>
            <w:vAlign w:val="center"/>
          </w:tcPr>
          <w:p w:rsidR="00CB24D0" w:rsidRDefault="00110E62">
            <w:pPr>
              <w:jc w:val="center"/>
            </w:pPr>
            <w:r>
              <w:rPr>
                <w:color w:val="000000"/>
                <w:sz w:val="24"/>
              </w:rPr>
              <w:t>111785490</w:t>
            </w:r>
          </w:p>
        </w:tc>
        <w:tc>
          <w:tcPr>
            <w:tcW w:w="0" w:type="auto"/>
            <w:vAlign w:val="center"/>
          </w:tcPr>
          <w:p w:rsidR="00CB24D0" w:rsidRDefault="00110E62">
            <w:pPr>
              <w:jc w:val="center"/>
            </w:pPr>
            <w:r>
              <w:rPr>
                <w:color w:val="000000"/>
                <w:sz w:val="24"/>
              </w:rPr>
              <w:t>17</w:t>
            </w:r>
            <w:r>
              <w:rPr>
                <w:color w:val="000000"/>
                <w:sz w:val="24"/>
              </w:rPr>
              <w:t>甘肃银行</w:t>
            </w:r>
            <w:r>
              <w:rPr>
                <w:color w:val="000000"/>
                <w:sz w:val="24"/>
              </w:rPr>
              <w:t>CD136</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49,505,909.27</w:t>
            </w:r>
          </w:p>
        </w:tc>
        <w:tc>
          <w:tcPr>
            <w:tcW w:w="0" w:type="auto"/>
            <w:vAlign w:val="center"/>
          </w:tcPr>
          <w:p w:rsidR="00CB24D0" w:rsidRDefault="00110E62">
            <w:pPr>
              <w:jc w:val="right"/>
            </w:pPr>
            <w:r>
              <w:rPr>
                <w:color w:val="000000"/>
                <w:sz w:val="24"/>
              </w:rPr>
              <w:t>2.75</w:t>
            </w:r>
          </w:p>
        </w:tc>
      </w:tr>
      <w:tr w:rsidR="00CB24D0">
        <w:trPr>
          <w:jc w:val="center"/>
        </w:trPr>
        <w:tc>
          <w:tcPr>
            <w:tcW w:w="0" w:type="auto"/>
            <w:vAlign w:val="center"/>
          </w:tcPr>
          <w:p w:rsidR="00CB24D0" w:rsidRDefault="00110E62">
            <w:pPr>
              <w:jc w:val="center"/>
            </w:pPr>
            <w:r>
              <w:rPr>
                <w:color w:val="000000"/>
                <w:sz w:val="24"/>
              </w:rPr>
              <w:t>8</w:t>
            </w:r>
          </w:p>
        </w:tc>
        <w:tc>
          <w:tcPr>
            <w:tcW w:w="0" w:type="auto"/>
            <w:vAlign w:val="center"/>
          </w:tcPr>
          <w:p w:rsidR="00CB24D0" w:rsidRDefault="00110E62">
            <w:pPr>
              <w:jc w:val="center"/>
            </w:pPr>
            <w:r>
              <w:rPr>
                <w:color w:val="000000"/>
                <w:sz w:val="24"/>
              </w:rPr>
              <w:t>111799766</w:t>
            </w:r>
          </w:p>
        </w:tc>
        <w:tc>
          <w:tcPr>
            <w:tcW w:w="0" w:type="auto"/>
            <w:vAlign w:val="center"/>
          </w:tcPr>
          <w:p w:rsidR="00CB24D0" w:rsidRDefault="00110E62">
            <w:pPr>
              <w:jc w:val="center"/>
            </w:pPr>
            <w:r>
              <w:rPr>
                <w:color w:val="000000"/>
                <w:sz w:val="24"/>
              </w:rPr>
              <w:t>17</w:t>
            </w:r>
            <w:r>
              <w:rPr>
                <w:color w:val="000000"/>
                <w:sz w:val="24"/>
              </w:rPr>
              <w:t>青岛银行</w:t>
            </w:r>
            <w:r>
              <w:rPr>
                <w:color w:val="000000"/>
                <w:sz w:val="24"/>
              </w:rPr>
              <w:t>CD082</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49,495,209.06</w:t>
            </w:r>
          </w:p>
        </w:tc>
        <w:tc>
          <w:tcPr>
            <w:tcW w:w="0" w:type="auto"/>
            <w:vAlign w:val="center"/>
          </w:tcPr>
          <w:p w:rsidR="00CB24D0" w:rsidRDefault="00110E62">
            <w:pPr>
              <w:jc w:val="right"/>
            </w:pPr>
            <w:r>
              <w:rPr>
                <w:color w:val="000000"/>
                <w:sz w:val="24"/>
              </w:rPr>
              <w:t>2.75</w:t>
            </w:r>
          </w:p>
        </w:tc>
      </w:tr>
      <w:tr w:rsidR="00CB24D0">
        <w:trPr>
          <w:jc w:val="center"/>
        </w:trPr>
        <w:tc>
          <w:tcPr>
            <w:tcW w:w="0" w:type="auto"/>
            <w:vAlign w:val="center"/>
          </w:tcPr>
          <w:p w:rsidR="00CB24D0" w:rsidRDefault="00110E62">
            <w:pPr>
              <w:jc w:val="center"/>
            </w:pPr>
            <w:r>
              <w:rPr>
                <w:color w:val="000000"/>
                <w:sz w:val="24"/>
              </w:rPr>
              <w:t>9</w:t>
            </w:r>
          </w:p>
        </w:tc>
        <w:tc>
          <w:tcPr>
            <w:tcW w:w="0" w:type="auto"/>
            <w:vAlign w:val="center"/>
          </w:tcPr>
          <w:p w:rsidR="00CB24D0" w:rsidRDefault="00110E62">
            <w:pPr>
              <w:jc w:val="center"/>
            </w:pPr>
            <w:r>
              <w:rPr>
                <w:color w:val="000000"/>
                <w:sz w:val="24"/>
              </w:rPr>
              <w:t>111785589</w:t>
            </w:r>
          </w:p>
        </w:tc>
        <w:tc>
          <w:tcPr>
            <w:tcW w:w="0" w:type="auto"/>
            <w:vAlign w:val="center"/>
          </w:tcPr>
          <w:p w:rsidR="00CB24D0" w:rsidRDefault="00110E62">
            <w:pPr>
              <w:jc w:val="center"/>
            </w:pPr>
            <w:r>
              <w:rPr>
                <w:color w:val="000000"/>
                <w:sz w:val="24"/>
              </w:rPr>
              <w:t>17</w:t>
            </w:r>
            <w:r>
              <w:rPr>
                <w:color w:val="000000"/>
                <w:sz w:val="24"/>
              </w:rPr>
              <w:t>承德银行</w:t>
            </w:r>
            <w:r>
              <w:rPr>
                <w:color w:val="000000"/>
                <w:sz w:val="24"/>
              </w:rPr>
              <w:t>CD048</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49,494,337.19</w:t>
            </w:r>
          </w:p>
        </w:tc>
        <w:tc>
          <w:tcPr>
            <w:tcW w:w="0" w:type="auto"/>
            <w:vAlign w:val="center"/>
          </w:tcPr>
          <w:p w:rsidR="00CB24D0" w:rsidRDefault="00110E62">
            <w:pPr>
              <w:jc w:val="right"/>
            </w:pPr>
            <w:r>
              <w:rPr>
                <w:color w:val="000000"/>
                <w:sz w:val="24"/>
              </w:rPr>
              <w:t>2.75</w:t>
            </w:r>
          </w:p>
        </w:tc>
      </w:tr>
      <w:tr w:rsidR="00CB24D0">
        <w:trPr>
          <w:jc w:val="center"/>
        </w:trPr>
        <w:tc>
          <w:tcPr>
            <w:tcW w:w="0" w:type="auto"/>
            <w:vAlign w:val="center"/>
          </w:tcPr>
          <w:p w:rsidR="00CB24D0" w:rsidRDefault="00110E62">
            <w:pPr>
              <w:jc w:val="center"/>
            </w:pPr>
            <w:r>
              <w:rPr>
                <w:color w:val="000000"/>
                <w:sz w:val="24"/>
              </w:rPr>
              <w:t>10</w:t>
            </w:r>
          </w:p>
        </w:tc>
        <w:tc>
          <w:tcPr>
            <w:tcW w:w="0" w:type="auto"/>
            <w:vAlign w:val="center"/>
          </w:tcPr>
          <w:p w:rsidR="00CB24D0" w:rsidRDefault="00110E62">
            <w:pPr>
              <w:jc w:val="center"/>
            </w:pPr>
            <w:r>
              <w:rPr>
                <w:color w:val="000000"/>
                <w:sz w:val="24"/>
              </w:rPr>
              <w:t>111785862</w:t>
            </w:r>
          </w:p>
        </w:tc>
        <w:tc>
          <w:tcPr>
            <w:tcW w:w="0" w:type="auto"/>
            <w:vAlign w:val="center"/>
          </w:tcPr>
          <w:p w:rsidR="00CB24D0" w:rsidRDefault="00110E62">
            <w:pPr>
              <w:jc w:val="center"/>
            </w:pPr>
            <w:r>
              <w:rPr>
                <w:color w:val="000000"/>
                <w:sz w:val="24"/>
              </w:rPr>
              <w:t>17</w:t>
            </w:r>
            <w:r>
              <w:rPr>
                <w:color w:val="000000"/>
                <w:sz w:val="24"/>
              </w:rPr>
              <w:t>盛京银行</w:t>
            </w:r>
            <w:r>
              <w:rPr>
                <w:color w:val="000000"/>
                <w:sz w:val="24"/>
              </w:rPr>
              <w:t>CD267</w:t>
            </w:r>
          </w:p>
        </w:tc>
        <w:tc>
          <w:tcPr>
            <w:tcW w:w="0" w:type="auto"/>
            <w:vAlign w:val="center"/>
          </w:tcPr>
          <w:p w:rsidR="00CB24D0" w:rsidRDefault="00110E62">
            <w:pPr>
              <w:jc w:val="right"/>
            </w:pPr>
            <w:r>
              <w:rPr>
                <w:color w:val="000000"/>
                <w:sz w:val="24"/>
              </w:rPr>
              <w:t>500,000</w:t>
            </w:r>
          </w:p>
        </w:tc>
        <w:tc>
          <w:tcPr>
            <w:tcW w:w="0" w:type="auto"/>
            <w:vAlign w:val="center"/>
          </w:tcPr>
          <w:p w:rsidR="00CB24D0" w:rsidRDefault="00110E62">
            <w:pPr>
              <w:jc w:val="right"/>
            </w:pPr>
            <w:r>
              <w:rPr>
                <w:color w:val="000000"/>
                <w:sz w:val="24"/>
              </w:rPr>
              <w:t>49,481,174.18</w:t>
            </w:r>
          </w:p>
        </w:tc>
        <w:tc>
          <w:tcPr>
            <w:tcW w:w="0" w:type="auto"/>
            <w:vAlign w:val="center"/>
          </w:tcPr>
          <w:p w:rsidR="00CB24D0" w:rsidRDefault="00110E62">
            <w:pPr>
              <w:jc w:val="right"/>
            </w:pPr>
            <w:r>
              <w:rPr>
                <w:color w:val="000000"/>
                <w:sz w:val="24"/>
              </w:rPr>
              <w:t>2.75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0.0469%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-0.0305%</w:t>
            </w:r>
          </w:p>
        </w:tc>
      </w:tr>
      <w:tr w:rsidR="00E76F1F" w:rsidRPr="000E4C40" w:rsidTr="00014D04">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76F1F" w:rsidRPr="000E4C40" w:rsidRDefault="00283CE6" w:rsidP="00281564">
            <w:pPr>
              <w:spacing w:before="29" w:line="288" w:lineRule="auto"/>
              <w:jc w:val="right"/>
              <w:rPr>
                <w:sz w:val="24"/>
              </w:rPr>
            </w:pPr>
            <w:r w:rsidRPr="00014D04">
              <w:rPr>
                <w:color w:val="000000"/>
                <w:sz w:val="24"/>
              </w:rPr>
              <w:t>0.0210%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9,940.00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5,268,439.45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5,278,404.45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16,002,132.82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2,024,968,476.76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89,221,834.29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130,372,016.99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48,514,200.86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411,656,005.91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56,709,766.25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1,743,684,487.84</w:t>
            </w:r>
          </w:p>
        </w:tc>
      </w:tr>
    </w:tbl>
    <w:p w:rsidR="00CB24D0" w:rsidRDefault="00110E6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CB24D0" w:rsidRDefault="00110E62">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110E62">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014D04"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bookmarkStart w:id="2" w:name="_GoBack"/>
            <w:r w:rsidRPr="00014D04">
              <w:rPr>
                <w:color w:val="000000"/>
                <w:kern w:val="0"/>
                <w:sz w:val="24"/>
                <w:szCs w:val="21"/>
              </w:rPr>
              <w:t>投资者类别</w:t>
            </w:r>
            <w:r w:rsidRPr="00014D04">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r w:rsidRPr="00014D04">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r w:rsidRPr="00014D04">
              <w:rPr>
                <w:color w:val="000000"/>
                <w:kern w:val="0"/>
                <w:sz w:val="24"/>
                <w:szCs w:val="21"/>
              </w:rPr>
              <w:t>报告期末持有基金情况</w:t>
            </w:r>
          </w:p>
        </w:tc>
      </w:tr>
      <w:tr w:rsidR="003D1E1A" w:rsidRPr="00014D04"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r w:rsidRPr="00014D04">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r w:rsidRPr="00014D04">
              <w:rPr>
                <w:color w:val="000000"/>
                <w:kern w:val="0"/>
                <w:sz w:val="24"/>
                <w:szCs w:val="21"/>
              </w:rPr>
              <w:t>持有基金份额比例达到或者超过</w:t>
            </w:r>
            <w:r w:rsidRPr="00014D04">
              <w:rPr>
                <w:color w:val="000000"/>
                <w:kern w:val="0"/>
                <w:sz w:val="24"/>
                <w:szCs w:val="21"/>
              </w:rPr>
              <w:t>20%</w:t>
            </w:r>
            <w:r w:rsidRPr="00014D04">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widowControl/>
              <w:jc w:val="center"/>
              <w:rPr>
                <w:b/>
                <w:bCs/>
                <w:color w:val="000000"/>
                <w:kern w:val="0"/>
                <w:sz w:val="24"/>
                <w:szCs w:val="21"/>
              </w:rPr>
            </w:pPr>
            <w:r w:rsidRPr="00014D04">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widowControl/>
              <w:jc w:val="center"/>
              <w:rPr>
                <w:b/>
                <w:bCs/>
                <w:color w:val="000000"/>
                <w:kern w:val="0"/>
                <w:sz w:val="24"/>
                <w:szCs w:val="21"/>
              </w:rPr>
            </w:pPr>
            <w:r w:rsidRPr="00014D04">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widowControl/>
              <w:jc w:val="center"/>
              <w:rPr>
                <w:b/>
                <w:bCs/>
                <w:color w:val="000000"/>
                <w:kern w:val="0"/>
                <w:sz w:val="24"/>
                <w:szCs w:val="21"/>
              </w:rPr>
            </w:pPr>
            <w:r w:rsidRPr="00014D04">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r w:rsidRPr="00014D04">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b/>
                <w:bCs/>
                <w:color w:val="000000"/>
                <w:kern w:val="0"/>
                <w:sz w:val="24"/>
                <w:szCs w:val="21"/>
              </w:rPr>
            </w:pPr>
            <w:r w:rsidRPr="00014D04">
              <w:rPr>
                <w:color w:val="000000"/>
                <w:kern w:val="0"/>
                <w:sz w:val="24"/>
                <w:szCs w:val="21"/>
              </w:rPr>
              <w:t>份额占比</w:t>
            </w:r>
          </w:p>
        </w:tc>
      </w:tr>
      <w:tr w:rsidR="00CB24D0" w:rsidRPr="00014D04">
        <w:tc>
          <w:tcPr>
            <w:tcW w:w="992" w:type="dxa"/>
          </w:tcPr>
          <w:p w:rsidR="00CB24D0" w:rsidRPr="00014D04" w:rsidRDefault="00CB24D0">
            <w:pPr>
              <w:rPr>
                <w:sz w:val="24"/>
              </w:rPr>
            </w:pPr>
          </w:p>
          <w:p w:rsidR="00CB24D0" w:rsidRPr="00014D04" w:rsidRDefault="00110E62">
            <w:pPr>
              <w:rPr>
                <w:sz w:val="24"/>
              </w:rPr>
            </w:pPr>
            <w:r w:rsidRPr="00014D04">
              <w:rPr>
                <w:bCs/>
                <w:color w:val="000000"/>
                <w:kern w:val="0"/>
                <w:sz w:val="24"/>
                <w:szCs w:val="21"/>
              </w:rPr>
              <w:t>机构</w:t>
            </w:r>
          </w:p>
        </w:tc>
        <w:tc>
          <w:tcPr>
            <w:tcW w:w="991" w:type="dxa"/>
            <w:vAlign w:val="center"/>
          </w:tcPr>
          <w:p w:rsidR="00CB24D0" w:rsidRPr="00014D04" w:rsidRDefault="00110E62">
            <w:pPr>
              <w:jc w:val="center"/>
              <w:rPr>
                <w:sz w:val="24"/>
              </w:rPr>
            </w:pPr>
            <w:r w:rsidRPr="00014D04">
              <w:rPr>
                <w:color w:val="000000"/>
                <w:kern w:val="0"/>
                <w:sz w:val="24"/>
                <w:szCs w:val="21"/>
              </w:rPr>
              <w:t>1</w:t>
            </w:r>
          </w:p>
        </w:tc>
        <w:tc>
          <w:tcPr>
            <w:tcW w:w="1843" w:type="dxa"/>
            <w:vAlign w:val="center"/>
          </w:tcPr>
          <w:p w:rsidR="00CB24D0" w:rsidRPr="00014D04" w:rsidRDefault="00110E62">
            <w:pPr>
              <w:jc w:val="center"/>
              <w:rPr>
                <w:sz w:val="24"/>
              </w:rPr>
            </w:pPr>
            <w:r w:rsidRPr="00014D04">
              <w:rPr>
                <w:color w:val="000000"/>
                <w:kern w:val="0"/>
                <w:sz w:val="24"/>
                <w:szCs w:val="21"/>
              </w:rPr>
              <w:t>2017/7/1-2017/9/30</w:t>
            </w:r>
          </w:p>
        </w:tc>
        <w:tc>
          <w:tcPr>
            <w:tcW w:w="851" w:type="dxa"/>
            <w:vAlign w:val="center"/>
          </w:tcPr>
          <w:p w:rsidR="00CB24D0" w:rsidRPr="00014D04" w:rsidRDefault="00110E62">
            <w:pPr>
              <w:jc w:val="center"/>
              <w:rPr>
                <w:sz w:val="24"/>
              </w:rPr>
            </w:pPr>
            <w:r w:rsidRPr="00014D04">
              <w:rPr>
                <w:color w:val="000000"/>
                <w:kern w:val="0"/>
                <w:sz w:val="24"/>
                <w:szCs w:val="21"/>
              </w:rPr>
              <w:t>1,524,788,014.38</w:t>
            </w:r>
          </w:p>
        </w:tc>
        <w:tc>
          <w:tcPr>
            <w:tcW w:w="850" w:type="dxa"/>
            <w:vAlign w:val="center"/>
          </w:tcPr>
          <w:p w:rsidR="00CB24D0" w:rsidRPr="00014D04" w:rsidRDefault="00110E62">
            <w:pPr>
              <w:jc w:val="center"/>
              <w:rPr>
                <w:sz w:val="24"/>
              </w:rPr>
            </w:pPr>
            <w:r w:rsidRPr="00014D04">
              <w:rPr>
                <w:color w:val="000000"/>
                <w:kern w:val="0"/>
                <w:sz w:val="24"/>
                <w:szCs w:val="21"/>
              </w:rPr>
              <w:t>16,461,650.14</w:t>
            </w:r>
          </w:p>
        </w:tc>
        <w:tc>
          <w:tcPr>
            <w:tcW w:w="1134" w:type="dxa"/>
            <w:vAlign w:val="center"/>
          </w:tcPr>
          <w:p w:rsidR="00CB24D0" w:rsidRPr="00014D04" w:rsidRDefault="00110E62">
            <w:pPr>
              <w:jc w:val="center"/>
              <w:rPr>
                <w:sz w:val="24"/>
              </w:rPr>
            </w:pPr>
            <w:r w:rsidRPr="00014D04">
              <w:rPr>
                <w:color w:val="000000"/>
                <w:kern w:val="0"/>
                <w:sz w:val="24"/>
                <w:szCs w:val="21"/>
              </w:rPr>
              <w:t>-</w:t>
            </w:r>
          </w:p>
        </w:tc>
        <w:tc>
          <w:tcPr>
            <w:tcW w:w="1419" w:type="dxa"/>
            <w:vAlign w:val="center"/>
          </w:tcPr>
          <w:p w:rsidR="00CB24D0" w:rsidRPr="00014D04" w:rsidRDefault="00110E62">
            <w:pPr>
              <w:jc w:val="center"/>
              <w:rPr>
                <w:sz w:val="24"/>
              </w:rPr>
            </w:pPr>
            <w:r w:rsidRPr="00014D04">
              <w:rPr>
                <w:color w:val="000000"/>
                <w:kern w:val="0"/>
                <w:sz w:val="24"/>
                <w:szCs w:val="21"/>
              </w:rPr>
              <w:t>1,541,249,664.52</w:t>
            </w:r>
          </w:p>
        </w:tc>
        <w:tc>
          <w:tcPr>
            <w:tcW w:w="1130" w:type="dxa"/>
            <w:vAlign w:val="center"/>
          </w:tcPr>
          <w:p w:rsidR="00CB24D0" w:rsidRPr="00014D04" w:rsidRDefault="00110E62">
            <w:pPr>
              <w:jc w:val="center"/>
              <w:rPr>
                <w:sz w:val="24"/>
              </w:rPr>
            </w:pPr>
            <w:r w:rsidRPr="00014D04">
              <w:rPr>
                <w:color w:val="000000"/>
                <w:kern w:val="0"/>
                <w:sz w:val="24"/>
                <w:szCs w:val="21"/>
              </w:rPr>
              <w:t>85.62%</w:t>
            </w:r>
          </w:p>
        </w:tc>
      </w:tr>
      <w:tr w:rsidR="003D1E1A" w:rsidRPr="00014D04"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center"/>
              <w:rPr>
                <w:kern w:val="0"/>
                <w:sz w:val="24"/>
                <w:szCs w:val="21"/>
              </w:rPr>
            </w:pPr>
            <w:r w:rsidRPr="00014D04">
              <w:rPr>
                <w:color w:val="000000"/>
                <w:kern w:val="0"/>
                <w:sz w:val="24"/>
                <w:szCs w:val="21"/>
              </w:rPr>
              <w:t>产品特有风险</w:t>
            </w:r>
          </w:p>
        </w:tc>
      </w:tr>
      <w:tr w:rsidR="003D1E1A" w:rsidRPr="00014D04"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014D04" w:rsidRDefault="003D1E1A">
            <w:pPr>
              <w:autoSpaceDE w:val="0"/>
              <w:autoSpaceDN w:val="0"/>
              <w:adjustRightInd w:val="0"/>
              <w:jc w:val="left"/>
              <w:rPr>
                <w:kern w:val="0"/>
                <w:sz w:val="24"/>
                <w:szCs w:val="21"/>
              </w:rPr>
            </w:pPr>
            <w:r w:rsidRPr="00014D04">
              <w:rPr>
                <w:kern w:val="0"/>
                <w:sz w:val="24"/>
                <w:szCs w:val="21"/>
              </w:rPr>
              <w:lastRenderedPageBreak/>
              <w:t>本基金本报告期内出现单一投资者持有基金份额比例超过基金总份额</w:t>
            </w:r>
            <w:r w:rsidRPr="00014D04">
              <w:rPr>
                <w:kern w:val="0"/>
                <w:sz w:val="24"/>
                <w:szCs w:val="21"/>
              </w:rPr>
              <w:t>20%</w:t>
            </w:r>
            <w:r w:rsidRPr="00014D04">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2"/>
    <w:p w:rsidR="00C03EF8" w:rsidRPr="009268A2" w:rsidRDefault="009D74FC" w:rsidP="00110E6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CB24D0" w:rsidRDefault="00110E62">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CB24D0" w:rsidRDefault="00110E62">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CB24D0" w:rsidRDefault="00110E62">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CB24D0" w:rsidRDefault="00110E62">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CB24D0" w:rsidRDefault="00110E62">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CB24D0" w:rsidRDefault="00110E6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B24D0" w:rsidRDefault="00110E6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CB24D0" w:rsidRDefault="00110E6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8B9" w:rsidRDefault="00CE18B9">
      <w:r>
        <w:separator/>
      </w:r>
    </w:p>
  </w:endnote>
  <w:endnote w:type="continuationSeparator" w:id="0">
    <w:p w:rsidR="00CE18B9" w:rsidRDefault="00CE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CB24D0">
      <w:rPr>
        <w:kern w:val="0"/>
        <w:szCs w:val="21"/>
      </w:rPr>
      <w:fldChar w:fldCharType="begin"/>
    </w:r>
    <w:r>
      <w:rPr>
        <w:kern w:val="0"/>
        <w:szCs w:val="21"/>
      </w:rPr>
      <w:instrText xml:space="preserve"> PAGE </w:instrText>
    </w:r>
    <w:r w:rsidR="00CB24D0">
      <w:rPr>
        <w:kern w:val="0"/>
        <w:szCs w:val="21"/>
      </w:rPr>
      <w:fldChar w:fldCharType="separate"/>
    </w:r>
    <w:r w:rsidR="00014D04">
      <w:rPr>
        <w:noProof/>
        <w:kern w:val="0"/>
        <w:szCs w:val="21"/>
      </w:rPr>
      <w:t>14</w:t>
    </w:r>
    <w:r w:rsidR="00CB24D0">
      <w:rPr>
        <w:kern w:val="0"/>
        <w:szCs w:val="21"/>
      </w:rPr>
      <w:fldChar w:fldCharType="end"/>
    </w:r>
    <w:r>
      <w:rPr>
        <w:rFonts w:hint="eastAsia"/>
        <w:kern w:val="0"/>
        <w:szCs w:val="21"/>
      </w:rPr>
      <w:t>页共</w:t>
    </w:r>
    <w:r w:rsidR="00CB24D0">
      <w:rPr>
        <w:rFonts w:hint="eastAsia"/>
        <w:kern w:val="0"/>
        <w:szCs w:val="21"/>
      </w:rPr>
      <w:fldChar w:fldCharType="begin"/>
    </w:r>
    <w:r>
      <w:rPr>
        <w:kern w:val="0"/>
        <w:szCs w:val="21"/>
      </w:rPr>
      <w:instrText xml:space="preserve"> NUMPAGES </w:instrText>
    </w:r>
    <w:r w:rsidR="00CB24D0">
      <w:rPr>
        <w:rFonts w:hint="eastAsia"/>
        <w:kern w:val="0"/>
        <w:szCs w:val="21"/>
      </w:rPr>
      <w:fldChar w:fldCharType="separate"/>
    </w:r>
    <w:r w:rsidR="00014D04">
      <w:rPr>
        <w:noProof/>
        <w:kern w:val="0"/>
        <w:szCs w:val="21"/>
      </w:rPr>
      <w:t>14</w:t>
    </w:r>
    <w:r w:rsidR="00CB24D0">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8B9" w:rsidRDefault="00CE18B9">
      <w:r>
        <w:separator/>
      </w:r>
    </w:p>
  </w:footnote>
  <w:footnote w:type="continuationSeparator" w:id="0">
    <w:p w:rsidR="00CE18B9" w:rsidRDefault="00CE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4D04"/>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0E62"/>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83CE6"/>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24D0"/>
    <w:rsid w:val="00CB7680"/>
    <w:rsid w:val="00CC05B9"/>
    <w:rsid w:val="00CC3F83"/>
    <w:rsid w:val="00CC57FC"/>
    <w:rsid w:val="00CC7DB0"/>
    <w:rsid w:val="00CD5F24"/>
    <w:rsid w:val="00CD6E50"/>
    <w:rsid w:val="00CE0E18"/>
    <w:rsid w:val="00CE18B9"/>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15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7C9EB18-0076-42FE-BDB5-36E694F0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849128-0686-4A02-8C87-656A59CD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14</Pages>
  <Words>1206</Words>
  <Characters>6876</Characters>
  <Application>Microsoft Office Word</Application>
  <DocSecurity>0</DocSecurity>
  <Lines>57</Lines>
  <Paragraphs>16</Paragraphs>
  <ScaleCrop>false</ScaleCrop>
  <Company>jysld</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316</cp:revision>
  <cp:lastPrinted>2009-01-22T10:11:00Z</cp:lastPrinted>
  <dcterms:created xsi:type="dcterms:W3CDTF">2012-11-21T05:49:00Z</dcterms:created>
  <dcterms:modified xsi:type="dcterms:W3CDTF">2017-10-23T06:26:00Z</dcterms:modified>
</cp:coreProperties>
</file>