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DA0C64">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E2223" w:rsidRDefault="006508B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A0C6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583,782,398.09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A0C6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508B1" w:rsidRPr="00414345" w:rsidTr="006508B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508B1" w:rsidRPr="00414345" w:rsidTr="006508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71,919,445.87</w:t>
            </w:r>
          </w:p>
        </w:tc>
      </w:tr>
      <w:tr w:rsidR="006508B1" w:rsidRPr="00414345" w:rsidTr="006508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97,674,689.80</w:t>
            </w:r>
          </w:p>
        </w:tc>
      </w:tr>
      <w:tr w:rsidR="006508B1" w:rsidRPr="00414345" w:rsidTr="006508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0.1444</w:t>
            </w:r>
          </w:p>
        </w:tc>
      </w:tr>
      <w:tr w:rsidR="006508B1" w:rsidRPr="00414345" w:rsidTr="006508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662,540,476.79</w:t>
            </w:r>
          </w:p>
        </w:tc>
      </w:tr>
      <w:tr w:rsidR="006508B1" w:rsidRPr="00414345" w:rsidTr="006508B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1.1349</w:t>
            </w:r>
          </w:p>
        </w:tc>
      </w:tr>
    </w:tbl>
    <w:p w:rsidR="000E2223" w:rsidRDefault="006508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0E2223" w:rsidRDefault="006508B1">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E2223">
        <w:trPr>
          <w:jc w:val="center"/>
        </w:trPr>
        <w:tc>
          <w:tcPr>
            <w:tcW w:w="1701" w:type="dxa"/>
            <w:vAlign w:val="center"/>
          </w:tcPr>
          <w:p w:rsidR="000E2223" w:rsidRDefault="006508B1">
            <w:pPr>
              <w:jc w:val="left"/>
            </w:pPr>
            <w:r>
              <w:rPr>
                <w:color w:val="000000"/>
                <w:sz w:val="24"/>
                <w:szCs w:val="24"/>
              </w:rPr>
              <w:t>过去三个月</w:t>
            </w:r>
          </w:p>
        </w:tc>
        <w:tc>
          <w:tcPr>
            <w:tcW w:w="1045" w:type="dxa"/>
            <w:vAlign w:val="center"/>
          </w:tcPr>
          <w:p w:rsidR="000E2223" w:rsidRDefault="006508B1">
            <w:pPr>
              <w:jc w:val="center"/>
            </w:pPr>
            <w:r>
              <w:rPr>
                <w:color w:val="000000"/>
                <w:sz w:val="24"/>
                <w:szCs w:val="24"/>
              </w:rPr>
              <w:t>14.86%</w:t>
            </w:r>
          </w:p>
        </w:tc>
        <w:tc>
          <w:tcPr>
            <w:tcW w:w="1344" w:type="dxa"/>
            <w:vAlign w:val="center"/>
          </w:tcPr>
          <w:p w:rsidR="000E2223" w:rsidRDefault="006508B1">
            <w:pPr>
              <w:jc w:val="center"/>
            </w:pPr>
            <w:r>
              <w:rPr>
                <w:color w:val="000000"/>
                <w:sz w:val="24"/>
                <w:szCs w:val="24"/>
              </w:rPr>
              <w:t>0.80%</w:t>
            </w:r>
          </w:p>
        </w:tc>
        <w:tc>
          <w:tcPr>
            <w:tcW w:w="1194" w:type="dxa"/>
            <w:vAlign w:val="center"/>
          </w:tcPr>
          <w:p w:rsidR="000E2223" w:rsidRDefault="006508B1">
            <w:pPr>
              <w:jc w:val="center"/>
            </w:pPr>
            <w:r>
              <w:rPr>
                <w:color w:val="000000"/>
                <w:sz w:val="24"/>
                <w:szCs w:val="24"/>
              </w:rPr>
              <w:t>3.04%</w:t>
            </w:r>
          </w:p>
        </w:tc>
        <w:tc>
          <w:tcPr>
            <w:tcW w:w="1492" w:type="dxa"/>
            <w:vAlign w:val="center"/>
          </w:tcPr>
          <w:p w:rsidR="000E2223" w:rsidRDefault="006508B1">
            <w:pPr>
              <w:jc w:val="center"/>
            </w:pPr>
            <w:r>
              <w:rPr>
                <w:color w:val="000000"/>
                <w:sz w:val="24"/>
                <w:szCs w:val="24"/>
              </w:rPr>
              <w:t>0.35%</w:t>
            </w:r>
          </w:p>
        </w:tc>
        <w:tc>
          <w:tcPr>
            <w:tcW w:w="1194" w:type="dxa"/>
            <w:vAlign w:val="center"/>
          </w:tcPr>
          <w:p w:rsidR="000E2223" w:rsidRDefault="006508B1">
            <w:pPr>
              <w:jc w:val="center"/>
            </w:pPr>
            <w:r>
              <w:rPr>
                <w:color w:val="000000"/>
                <w:sz w:val="24"/>
                <w:szCs w:val="24"/>
              </w:rPr>
              <w:t>11.82%</w:t>
            </w:r>
          </w:p>
        </w:tc>
        <w:tc>
          <w:tcPr>
            <w:tcW w:w="898" w:type="dxa"/>
            <w:vAlign w:val="center"/>
          </w:tcPr>
          <w:p w:rsidR="000E2223" w:rsidRDefault="006508B1">
            <w:pPr>
              <w:jc w:val="center"/>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A0C6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E2223">
        <w:trPr>
          <w:jc w:val="center"/>
        </w:trPr>
        <w:tc>
          <w:tcPr>
            <w:tcW w:w="846" w:type="dxa"/>
            <w:vAlign w:val="center"/>
          </w:tcPr>
          <w:p w:rsidR="000E2223" w:rsidRDefault="006508B1">
            <w:pPr>
              <w:jc w:val="center"/>
            </w:pPr>
            <w:r>
              <w:rPr>
                <w:color w:val="000000"/>
                <w:sz w:val="24"/>
                <w:szCs w:val="24"/>
              </w:rPr>
              <w:t>任相栋</w:t>
            </w:r>
          </w:p>
        </w:tc>
        <w:tc>
          <w:tcPr>
            <w:tcW w:w="845" w:type="dxa"/>
            <w:vAlign w:val="center"/>
          </w:tcPr>
          <w:p w:rsidR="000E2223" w:rsidRDefault="006508B1">
            <w:pPr>
              <w:jc w:val="center"/>
            </w:pPr>
            <w:r>
              <w:rPr>
                <w:color w:val="000000"/>
                <w:sz w:val="24"/>
                <w:szCs w:val="24"/>
              </w:rPr>
              <w:t>交银先进制造混合、交银经济</w:t>
            </w:r>
            <w:r>
              <w:rPr>
                <w:color w:val="000000"/>
                <w:sz w:val="24"/>
                <w:szCs w:val="24"/>
              </w:rPr>
              <w:lastRenderedPageBreak/>
              <w:t>新动力混合的基金经理</w:t>
            </w:r>
          </w:p>
        </w:tc>
        <w:tc>
          <w:tcPr>
            <w:tcW w:w="1549" w:type="dxa"/>
            <w:vAlign w:val="center"/>
          </w:tcPr>
          <w:p w:rsidR="000E2223" w:rsidRDefault="006508B1">
            <w:pPr>
              <w:jc w:val="center"/>
            </w:pPr>
            <w:r>
              <w:rPr>
                <w:color w:val="000000"/>
                <w:sz w:val="24"/>
                <w:szCs w:val="24"/>
              </w:rPr>
              <w:lastRenderedPageBreak/>
              <w:t>2016-10-20</w:t>
            </w:r>
          </w:p>
        </w:tc>
        <w:tc>
          <w:tcPr>
            <w:tcW w:w="1548" w:type="dxa"/>
            <w:vAlign w:val="center"/>
          </w:tcPr>
          <w:p w:rsidR="000E2223" w:rsidRDefault="006508B1">
            <w:pPr>
              <w:jc w:val="center"/>
            </w:pPr>
            <w:r>
              <w:rPr>
                <w:color w:val="000000"/>
                <w:sz w:val="24"/>
                <w:szCs w:val="24"/>
              </w:rPr>
              <w:t>-</w:t>
            </w:r>
          </w:p>
        </w:tc>
        <w:tc>
          <w:tcPr>
            <w:tcW w:w="1407" w:type="dxa"/>
            <w:vAlign w:val="center"/>
          </w:tcPr>
          <w:p w:rsidR="000E2223" w:rsidRDefault="006508B1">
            <w:pPr>
              <w:jc w:val="center"/>
            </w:pPr>
            <w:r>
              <w:rPr>
                <w:color w:val="000000"/>
                <w:sz w:val="24"/>
                <w:szCs w:val="24"/>
              </w:rPr>
              <w:t>7</w:t>
            </w:r>
            <w:r>
              <w:rPr>
                <w:color w:val="000000"/>
                <w:sz w:val="24"/>
                <w:szCs w:val="24"/>
              </w:rPr>
              <w:t>年</w:t>
            </w:r>
          </w:p>
        </w:tc>
        <w:tc>
          <w:tcPr>
            <w:tcW w:w="2673" w:type="dxa"/>
            <w:vAlign w:val="center"/>
          </w:tcPr>
          <w:p w:rsidR="000E2223" w:rsidRDefault="006508B1">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E2223" w:rsidRDefault="006508B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E2223" w:rsidRDefault="006508B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E2223" w:rsidRDefault="006508B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0E2223" w:rsidRDefault="006508B1">
      <w:pPr>
        <w:spacing w:before="29" w:line="288" w:lineRule="auto"/>
        <w:ind w:firstLineChars="200" w:firstLine="480"/>
        <w:rPr>
          <w:color w:val="000000"/>
          <w:sz w:val="24"/>
          <w:szCs w:val="24"/>
        </w:rPr>
      </w:pPr>
      <w:r>
        <w:rPr>
          <w:color w:val="000000"/>
          <w:sz w:val="24"/>
          <w:szCs w:val="24"/>
        </w:rPr>
        <w:t>在金融去杠杆暂告段落、经济复苏带动下，三季度市场涨幅明显，市场的主线是有色、钢铁、采掘等周期性板块和</w:t>
      </w:r>
      <w:r>
        <w:rPr>
          <w:color w:val="000000"/>
          <w:sz w:val="24"/>
          <w:szCs w:val="24"/>
        </w:rPr>
        <w:t>5G</w:t>
      </w:r>
      <w:r>
        <w:rPr>
          <w:color w:val="000000"/>
          <w:sz w:val="24"/>
          <w:szCs w:val="24"/>
        </w:rPr>
        <w:t>、电动汽车等新兴板块。创业板的表现仍落后于上证综指和中小板指数，背后市场的逻辑仍然围绕</w:t>
      </w:r>
      <w:r>
        <w:rPr>
          <w:color w:val="000000"/>
          <w:sz w:val="24"/>
          <w:szCs w:val="24"/>
        </w:rPr>
        <w:t>“</w:t>
      </w:r>
      <w:r>
        <w:rPr>
          <w:color w:val="000000"/>
          <w:sz w:val="24"/>
          <w:szCs w:val="24"/>
        </w:rPr>
        <w:t>估值和业绩</w:t>
      </w:r>
      <w:r>
        <w:rPr>
          <w:color w:val="000000"/>
          <w:sz w:val="24"/>
          <w:szCs w:val="24"/>
        </w:rPr>
        <w:t>”</w:t>
      </w:r>
      <w:r>
        <w:rPr>
          <w:color w:val="000000"/>
          <w:sz w:val="24"/>
          <w:szCs w:val="24"/>
        </w:rPr>
        <w:t>的逻辑，而不是</w:t>
      </w:r>
      <w:r>
        <w:rPr>
          <w:color w:val="000000"/>
          <w:sz w:val="24"/>
          <w:szCs w:val="24"/>
        </w:rPr>
        <w:t>“</w:t>
      </w:r>
      <w:r>
        <w:rPr>
          <w:color w:val="000000"/>
          <w:sz w:val="24"/>
          <w:szCs w:val="24"/>
        </w:rPr>
        <w:t>远期</w:t>
      </w:r>
      <w:r>
        <w:rPr>
          <w:color w:val="000000"/>
          <w:sz w:val="24"/>
          <w:szCs w:val="24"/>
        </w:rPr>
        <w:t>”</w:t>
      </w:r>
      <w:r>
        <w:rPr>
          <w:color w:val="000000"/>
          <w:sz w:val="24"/>
          <w:szCs w:val="24"/>
        </w:rPr>
        <w:t>梦想的逻辑。</w:t>
      </w:r>
    </w:p>
    <w:p w:rsidR="000E2223" w:rsidRDefault="006508B1">
      <w:pPr>
        <w:spacing w:before="29" w:line="288" w:lineRule="auto"/>
        <w:ind w:firstLineChars="200" w:firstLine="480"/>
        <w:rPr>
          <w:color w:val="000000"/>
          <w:sz w:val="24"/>
          <w:szCs w:val="24"/>
        </w:rPr>
      </w:pPr>
      <w:r>
        <w:rPr>
          <w:color w:val="000000"/>
          <w:sz w:val="24"/>
          <w:szCs w:val="24"/>
        </w:rPr>
        <w:t>本基金三季度跑赢业绩比较基准，主要是把握了市场反弹中相关个股的投资机会。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市场更加注重估值和业绩的主逻辑不会变化，部分高估值且缺乏业绩驱动力的股票虽然有短期反弹的可能，但难有持续性的表现。四季度整体市场的表现较难预测，主要在于经济是否会在四季度有明显的阶段性回落，重大政治社会事件对风险偏好的影响，以及未来的经济金融政策都有较大的不确定性。本基金四季度将维持中性仓位，力求控制好业绩回撤，同时部分回避年初以来涨幅较好的板块和方向以防受到上涨回调的影响，在滞胀板块和个股中寻找投资机会。本基金将继续致力于在控制好风险的情况下，努力为持有人取得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1.1349</w:t>
      </w:r>
      <w:r w:rsidRPr="00414345">
        <w:rPr>
          <w:color w:val="000000"/>
          <w:sz w:val="24"/>
          <w:szCs w:val="24"/>
        </w:rPr>
        <w:t>元，本报告期份额净值增长率为</w:t>
      </w:r>
      <w:r w:rsidRPr="00414345">
        <w:rPr>
          <w:color w:val="000000"/>
          <w:sz w:val="24"/>
          <w:szCs w:val="24"/>
        </w:rPr>
        <w:t>14.86%</w:t>
      </w:r>
      <w:r w:rsidRPr="00414345">
        <w:rPr>
          <w:color w:val="000000"/>
          <w:sz w:val="24"/>
          <w:szCs w:val="24"/>
        </w:rPr>
        <w:t>，同期业绩比较基准增长率为</w:t>
      </w:r>
      <w:r w:rsidRPr="00414345">
        <w:rPr>
          <w:color w:val="000000"/>
          <w:sz w:val="24"/>
          <w:szCs w:val="24"/>
        </w:rPr>
        <w:t>3.04%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DA0C6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544,344,640.29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544,344,640.29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102,784,689.05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15.33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23,524,788.87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670,654,118.21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388,684,191.66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16,735,681.28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6,647,794.90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26,557,787.13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20,129,018.00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20,392,379.00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23,360,313.88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10,257,201.50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14,920,418.49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14,553,395.50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544,344,640.29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82.16</w:t>
            </w:r>
          </w:p>
        </w:tc>
      </w:tr>
    </w:tbl>
    <w:p w:rsidR="001073B5" w:rsidRDefault="001073B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1073B5">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E2223">
        <w:trPr>
          <w:jc w:val="center"/>
        </w:trPr>
        <w:tc>
          <w:tcPr>
            <w:tcW w:w="855" w:type="dxa"/>
            <w:vAlign w:val="center"/>
          </w:tcPr>
          <w:p w:rsidR="000E2223" w:rsidRDefault="006508B1">
            <w:pPr>
              <w:jc w:val="center"/>
            </w:pPr>
            <w:r>
              <w:rPr>
                <w:color w:val="000000"/>
                <w:sz w:val="24"/>
                <w:szCs w:val="24"/>
              </w:rPr>
              <w:t>1</w:t>
            </w:r>
          </w:p>
        </w:tc>
        <w:tc>
          <w:tcPr>
            <w:tcW w:w="1334" w:type="dxa"/>
            <w:vAlign w:val="center"/>
          </w:tcPr>
          <w:p w:rsidR="000E2223" w:rsidRDefault="006508B1">
            <w:pPr>
              <w:jc w:val="center"/>
            </w:pPr>
            <w:r>
              <w:rPr>
                <w:color w:val="000000"/>
                <w:sz w:val="24"/>
                <w:szCs w:val="24"/>
              </w:rPr>
              <w:t>300129</w:t>
            </w:r>
          </w:p>
        </w:tc>
        <w:tc>
          <w:tcPr>
            <w:tcW w:w="1777" w:type="dxa"/>
            <w:vAlign w:val="center"/>
          </w:tcPr>
          <w:p w:rsidR="000E2223" w:rsidRDefault="006508B1">
            <w:pPr>
              <w:jc w:val="center"/>
            </w:pPr>
            <w:r>
              <w:rPr>
                <w:color w:val="000000"/>
                <w:sz w:val="24"/>
                <w:szCs w:val="24"/>
              </w:rPr>
              <w:t>泰胜风能</w:t>
            </w:r>
          </w:p>
        </w:tc>
        <w:tc>
          <w:tcPr>
            <w:tcW w:w="1334" w:type="dxa"/>
            <w:vAlign w:val="center"/>
          </w:tcPr>
          <w:p w:rsidR="000E2223" w:rsidRDefault="006508B1">
            <w:pPr>
              <w:jc w:val="right"/>
            </w:pPr>
            <w:r>
              <w:rPr>
                <w:color w:val="000000"/>
                <w:sz w:val="24"/>
                <w:szCs w:val="24"/>
              </w:rPr>
              <w:t>8,253,944</w:t>
            </w:r>
          </w:p>
        </w:tc>
        <w:tc>
          <w:tcPr>
            <w:tcW w:w="1924" w:type="dxa"/>
            <w:vAlign w:val="center"/>
          </w:tcPr>
          <w:p w:rsidR="000E2223" w:rsidRDefault="006508B1">
            <w:pPr>
              <w:jc w:val="right"/>
            </w:pPr>
            <w:r>
              <w:rPr>
                <w:color w:val="000000"/>
                <w:sz w:val="24"/>
                <w:szCs w:val="24"/>
              </w:rPr>
              <w:t>63,390,289.92</w:t>
            </w:r>
          </w:p>
        </w:tc>
        <w:tc>
          <w:tcPr>
            <w:tcW w:w="1644" w:type="dxa"/>
            <w:vAlign w:val="center"/>
          </w:tcPr>
          <w:p w:rsidR="000E2223" w:rsidRDefault="006508B1">
            <w:pPr>
              <w:jc w:val="right"/>
            </w:pPr>
            <w:r>
              <w:rPr>
                <w:color w:val="000000"/>
                <w:sz w:val="24"/>
                <w:szCs w:val="24"/>
              </w:rPr>
              <w:t>9.57</w:t>
            </w:r>
          </w:p>
        </w:tc>
      </w:tr>
      <w:tr w:rsidR="000E2223">
        <w:trPr>
          <w:jc w:val="center"/>
        </w:trPr>
        <w:tc>
          <w:tcPr>
            <w:tcW w:w="855" w:type="dxa"/>
            <w:vAlign w:val="center"/>
          </w:tcPr>
          <w:p w:rsidR="000E2223" w:rsidRDefault="006508B1">
            <w:pPr>
              <w:jc w:val="center"/>
            </w:pPr>
            <w:r>
              <w:rPr>
                <w:color w:val="000000"/>
                <w:sz w:val="24"/>
                <w:szCs w:val="24"/>
              </w:rPr>
              <w:t>2</w:t>
            </w:r>
          </w:p>
        </w:tc>
        <w:tc>
          <w:tcPr>
            <w:tcW w:w="1334" w:type="dxa"/>
            <w:vAlign w:val="center"/>
          </w:tcPr>
          <w:p w:rsidR="000E2223" w:rsidRDefault="006508B1">
            <w:pPr>
              <w:jc w:val="center"/>
            </w:pPr>
            <w:r>
              <w:rPr>
                <w:color w:val="000000"/>
                <w:sz w:val="24"/>
                <w:szCs w:val="24"/>
              </w:rPr>
              <w:t>002180</w:t>
            </w:r>
          </w:p>
        </w:tc>
        <w:tc>
          <w:tcPr>
            <w:tcW w:w="1777" w:type="dxa"/>
            <w:vAlign w:val="center"/>
          </w:tcPr>
          <w:p w:rsidR="000E2223" w:rsidRDefault="006508B1">
            <w:pPr>
              <w:jc w:val="center"/>
            </w:pPr>
            <w:r>
              <w:rPr>
                <w:color w:val="000000"/>
                <w:sz w:val="24"/>
                <w:szCs w:val="24"/>
              </w:rPr>
              <w:t>纳思达</w:t>
            </w:r>
          </w:p>
        </w:tc>
        <w:tc>
          <w:tcPr>
            <w:tcW w:w="1334" w:type="dxa"/>
            <w:vAlign w:val="center"/>
          </w:tcPr>
          <w:p w:rsidR="000E2223" w:rsidRDefault="006508B1">
            <w:pPr>
              <w:jc w:val="right"/>
            </w:pPr>
            <w:r>
              <w:rPr>
                <w:color w:val="000000"/>
                <w:sz w:val="24"/>
                <w:szCs w:val="24"/>
              </w:rPr>
              <w:t>1,029,125</w:t>
            </w:r>
          </w:p>
        </w:tc>
        <w:tc>
          <w:tcPr>
            <w:tcW w:w="1924" w:type="dxa"/>
            <w:vAlign w:val="center"/>
          </w:tcPr>
          <w:p w:rsidR="000E2223" w:rsidRDefault="006508B1">
            <w:pPr>
              <w:jc w:val="right"/>
            </w:pPr>
            <w:r>
              <w:rPr>
                <w:color w:val="000000"/>
                <w:sz w:val="24"/>
                <w:szCs w:val="24"/>
              </w:rPr>
              <w:t>29,206,567.50</w:t>
            </w:r>
          </w:p>
        </w:tc>
        <w:tc>
          <w:tcPr>
            <w:tcW w:w="1644" w:type="dxa"/>
            <w:vAlign w:val="center"/>
          </w:tcPr>
          <w:p w:rsidR="000E2223" w:rsidRDefault="006508B1">
            <w:pPr>
              <w:jc w:val="right"/>
            </w:pPr>
            <w:r>
              <w:rPr>
                <w:color w:val="000000"/>
                <w:sz w:val="24"/>
                <w:szCs w:val="24"/>
              </w:rPr>
              <w:t>4.41</w:t>
            </w:r>
          </w:p>
        </w:tc>
      </w:tr>
      <w:tr w:rsidR="000E2223">
        <w:trPr>
          <w:jc w:val="center"/>
        </w:trPr>
        <w:tc>
          <w:tcPr>
            <w:tcW w:w="855" w:type="dxa"/>
            <w:vAlign w:val="center"/>
          </w:tcPr>
          <w:p w:rsidR="000E2223" w:rsidRDefault="006508B1">
            <w:pPr>
              <w:jc w:val="center"/>
            </w:pPr>
            <w:r>
              <w:rPr>
                <w:color w:val="000000"/>
                <w:sz w:val="24"/>
                <w:szCs w:val="24"/>
              </w:rPr>
              <w:t>3</w:t>
            </w:r>
          </w:p>
        </w:tc>
        <w:tc>
          <w:tcPr>
            <w:tcW w:w="1334" w:type="dxa"/>
            <w:vAlign w:val="center"/>
          </w:tcPr>
          <w:p w:rsidR="000E2223" w:rsidRDefault="006508B1">
            <w:pPr>
              <w:jc w:val="center"/>
            </w:pPr>
            <w:r>
              <w:rPr>
                <w:color w:val="000000"/>
                <w:sz w:val="24"/>
                <w:szCs w:val="24"/>
              </w:rPr>
              <w:t>002430</w:t>
            </w:r>
          </w:p>
        </w:tc>
        <w:tc>
          <w:tcPr>
            <w:tcW w:w="1777" w:type="dxa"/>
            <w:vAlign w:val="center"/>
          </w:tcPr>
          <w:p w:rsidR="000E2223" w:rsidRDefault="006508B1">
            <w:pPr>
              <w:jc w:val="center"/>
            </w:pPr>
            <w:r>
              <w:rPr>
                <w:color w:val="000000"/>
                <w:sz w:val="24"/>
                <w:szCs w:val="24"/>
              </w:rPr>
              <w:t>杭氧股份</w:t>
            </w:r>
          </w:p>
        </w:tc>
        <w:tc>
          <w:tcPr>
            <w:tcW w:w="1334" w:type="dxa"/>
            <w:vAlign w:val="center"/>
          </w:tcPr>
          <w:p w:rsidR="000E2223" w:rsidRDefault="006508B1">
            <w:pPr>
              <w:jc w:val="right"/>
            </w:pPr>
            <w:r>
              <w:rPr>
                <w:color w:val="000000"/>
                <w:sz w:val="24"/>
                <w:szCs w:val="24"/>
              </w:rPr>
              <w:t>2,219,100</w:t>
            </w:r>
          </w:p>
        </w:tc>
        <w:tc>
          <w:tcPr>
            <w:tcW w:w="1924" w:type="dxa"/>
            <w:vAlign w:val="center"/>
          </w:tcPr>
          <w:p w:rsidR="000E2223" w:rsidRDefault="006508B1">
            <w:pPr>
              <w:jc w:val="right"/>
            </w:pPr>
            <w:r>
              <w:rPr>
                <w:color w:val="000000"/>
                <w:sz w:val="24"/>
                <w:szCs w:val="24"/>
              </w:rPr>
              <w:t>26,251,953.00</w:t>
            </w:r>
          </w:p>
        </w:tc>
        <w:tc>
          <w:tcPr>
            <w:tcW w:w="1644" w:type="dxa"/>
            <w:vAlign w:val="center"/>
          </w:tcPr>
          <w:p w:rsidR="000E2223" w:rsidRDefault="006508B1">
            <w:pPr>
              <w:jc w:val="right"/>
            </w:pPr>
            <w:r>
              <w:rPr>
                <w:color w:val="000000"/>
                <w:sz w:val="24"/>
                <w:szCs w:val="24"/>
              </w:rPr>
              <w:t>3.96</w:t>
            </w:r>
          </w:p>
        </w:tc>
      </w:tr>
      <w:tr w:rsidR="000E2223">
        <w:trPr>
          <w:jc w:val="center"/>
        </w:trPr>
        <w:tc>
          <w:tcPr>
            <w:tcW w:w="855" w:type="dxa"/>
            <w:vAlign w:val="center"/>
          </w:tcPr>
          <w:p w:rsidR="000E2223" w:rsidRDefault="006508B1">
            <w:pPr>
              <w:jc w:val="center"/>
            </w:pPr>
            <w:r>
              <w:rPr>
                <w:color w:val="000000"/>
                <w:sz w:val="24"/>
                <w:szCs w:val="24"/>
              </w:rPr>
              <w:t>4</w:t>
            </w:r>
          </w:p>
        </w:tc>
        <w:tc>
          <w:tcPr>
            <w:tcW w:w="1334" w:type="dxa"/>
            <w:vAlign w:val="center"/>
          </w:tcPr>
          <w:p w:rsidR="000E2223" w:rsidRDefault="006508B1">
            <w:pPr>
              <w:jc w:val="center"/>
            </w:pPr>
            <w:r>
              <w:rPr>
                <w:color w:val="000000"/>
                <w:sz w:val="24"/>
                <w:szCs w:val="24"/>
              </w:rPr>
              <w:t>002304</w:t>
            </w:r>
          </w:p>
        </w:tc>
        <w:tc>
          <w:tcPr>
            <w:tcW w:w="1777" w:type="dxa"/>
            <w:vAlign w:val="center"/>
          </w:tcPr>
          <w:p w:rsidR="000E2223" w:rsidRDefault="006508B1">
            <w:pPr>
              <w:jc w:val="center"/>
            </w:pPr>
            <w:r>
              <w:rPr>
                <w:color w:val="000000"/>
                <w:sz w:val="24"/>
                <w:szCs w:val="24"/>
              </w:rPr>
              <w:t>洋河股份</w:t>
            </w:r>
          </w:p>
        </w:tc>
        <w:tc>
          <w:tcPr>
            <w:tcW w:w="1334" w:type="dxa"/>
            <w:vAlign w:val="center"/>
          </w:tcPr>
          <w:p w:rsidR="000E2223" w:rsidRDefault="006508B1">
            <w:pPr>
              <w:jc w:val="right"/>
            </w:pPr>
            <w:r>
              <w:rPr>
                <w:color w:val="000000"/>
                <w:sz w:val="24"/>
                <w:szCs w:val="24"/>
              </w:rPr>
              <w:t>257,161</w:t>
            </w:r>
          </w:p>
        </w:tc>
        <w:tc>
          <w:tcPr>
            <w:tcW w:w="1924" w:type="dxa"/>
            <w:vAlign w:val="center"/>
          </w:tcPr>
          <w:p w:rsidR="000E2223" w:rsidRDefault="006508B1">
            <w:pPr>
              <w:jc w:val="right"/>
            </w:pPr>
            <w:r>
              <w:rPr>
                <w:color w:val="000000"/>
                <w:sz w:val="24"/>
                <w:szCs w:val="24"/>
              </w:rPr>
              <w:t>26,101,841.50</w:t>
            </w:r>
          </w:p>
        </w:tc>
        <w:tc>
          <w:tcPr>
            <w:tcW w:w="1644" w:type="dxa"/>
            <w:vAlign w:val="center"/>
          </w:tcPr>
          <w:p w:rsidR="000E2223" w:rsidRDefault="006508B1">
            <w:pPr>
              <w:jc w:val="right"/>
            </w:pPr>
            <w:r>
              <w:rPr>
                <w:color w:val="000000"/>
                <w:sz w:val="24"/>
                <w:szCs w:val="24"/>
              </w:rPr>
              <w:t>3.94</w:t>
            </w:r>
          </w:p>
        </w:tc>
      </w:tr>
      <w:tr w:rsidR="000E2223">
        <w:trPr>
          <w:jc w:val="center"/>
        </w:trPr>
        <w:tc>
          <w:tcPr>
            <w:tcW w:w="855" w:type="dxa"/>
            <w:vAlign w:val="center"/>
          </w:tcPr>
          <w:p w:rsidR="000E2223" w:rsidRDefault="006508B1">
            <w:pPr>
              <w:jc w:val="center"/>
            </w:pPr>
            <w:r>
              <w:rPr>
                <w:color w:val="000000"/>
                <w:sz w:val="24"/>
                <w:szCs w:val="24"/>
              </w:rPr>
              <w:t>5</w:t>
            </w:r>
          </w:p>
        </w:tc>
        <w:tc>
          <w:tcPr>
            <w:tcW w:w="1334" w:type="dxa"/>
            <w:vAlign w:val="center"/>
          </w:tcPr>
          <w:p w:rsidR="000E2223" w:rsidRDefault="006508B1">
            <w:pPr>
              <w:jc w:val="center"/>
            </w:pPr>
            <w:r>
              <w:rPr>
                <w:color w:val="000000"/>
                <w:sz w:val="24"/>
                <w:szCs w:val="24"/>
              </w:rPr>
              <w:t>600066</w:t>
            </w:r>
          </w:p>
        </w:tc>
        <w:tc>
          <w:tcPr>
            <w:tcW w:w="1777" w:type="dxa"/>
            <w:vAlign w:val="center"/>
          </w:tcPr>
          <w:p w:rsidR="000E2223" w:rsidRDefault="006508B1">
            <w:pPr>
              <w:jc w:val="center"/>
            </w:pPr>
            <w:r>
              <w:rPr>
                <w:color w:val="000000"/>
                <w:sz w:val="24"/>
                <w:szCs w:val="24"/>
              </w:rPr>
              <w:t>宇通客车</w:t>
            </w:r>
          </w:p>
        </w:tc>
        <w:tc>
          <w:tcPr>
            <w:tcW w:w="1334" w:type="dxa"/>
            <w:vAlign w:val="center"/>
          </w:tcPr>
          <w:p w:rsidR="000E2223" w:rsidRDefault="006508B1">
            <w:pPr>
              <w:jc w:val="right"/>
            </w:pPr>
            <w:r>
              <w:rPr>
                <w:color w:val="000000"/>
                <w:sz w:val="24"/>
                <w:szCs w:val="24"/>
              </w:rPr>
              <w:t>950,000</w:t>
            </w:r>
          </w:p>
        </w:tc>
        <w:tc>
          <w:tcPr>
            <w:tcW w:w="1924" w:type="dxa"/>
            <w:vAlign w:val="center"/>
          </w:tcPr>
          <w:p w:rsidR="000E2223" w:rsidRDefault="006508B1">
            <w:pPr>
              <w:jc w:val="right"/>
            </w:pPr>
            <w:r>
              <w:rPr>
                <w:color w:val="000000"/>
                <w:sz w:val="24"/>
                <w:szCs w:val="24"/>
              </w:rPr>
              <w:t>23,370,000.00</w:t>
            </w:r>
          </w:p>
        </w:tc>
        <w:tc>
          <w:tcPr>
            <w:tcW w:w="1644" w:type="dxa"/>
            <w:vAlign w:val="center"/>
          </w:tcPr>
          <w:p w:rsidR="000E2223" w:rsidRDefault="006508B1">
            <w:pPr>
              <w:jc w:val="right"/>
            </w:pPr>
            <w:r>
              <w:rPr>
                <w:color w:val="000000"/>
                <w:sz w:val="24"/>
                <w:szCs w:val="24"/>
              </w:rPr>
              <w:t>3.53</w:t>
            </w:r>
          </w:p>
        </w:tc>
      </w:tr>
      <w:tr w:rsidR="000E2223">
        <w:trPr>
          <w:jc w:val="center"/>
        </w:trPr>
        <w:tc>
          <w:tcPr>
            <w:tcW w:w="855" w:type="dxa"/>
            <w:vAlign w:val="center"/>
          </w:tcPr>
          <w:p w:rsidR="000E2223" w:rsidRDefault="006508B1">
            <w:pPr>
              <w:jc w:val="center"/>
            </w:pPr>
            <w:r>
              <w:rPr>
                <w:color w:val="000000"/>
                <w:sz w:val="24"/>
                <w:szCs w:val="24"/>
              </w:rPr>
              <w:t>6</w:t>
            </w:r>
          </w:p>
        </w:tc>
        <w:tc>
          <w:tcPr>
            <w:tcW w:w="1334" w:type="dxa"/>
            <w:vAlign w:val="center"/>
          </w:tcPr>
          <w:p w:rsidR="000E2223" w:rsidRDefault="006508B1">
            <w:pPr>
              <w:jc w:val="center"/>
            </w:pPr>
            <w:r>
              <w:rPr>
                <w:color w:val="000000"/>
                <w:sz w:val="24"/>
                <w:szCs w:val="24"/>
              </w:rPr>
              <w:t>600887</w:t>
            </w:r>
          </w:p>
        </w:tc>
        <w:tc>
          <w:tcPr>
            <w:tcW w:w="1777" w:type="dxa"/>
            <w:vAlign w:val="center"/>
          </w:tcPr>
          <w:p w:rsidR="000E2223" w:rsidRDefault="006508B1">
            <w:pPr>
              <w:jc w:val="center"/>
            </w:pPr>
            <w:r>
              <w:rPr>
                <w:color w:val="000000"/>
                <w:sz w:val="24"/>
                <w:szCs w:val="24"/>
              </w:rPr>
              <w:t>伊利股份</w:t>
            </w:r>
          </w:p>
        </w:tc>
        <w:tc>
          <w:tcPr>
            <w:tcW w:w="1334" w:type="dxa"/>
            <w:vAlign w:val="center"/>
          </w:tcPr>
          <w:p w:rsidR="000E2223" w:rsidRDefault="006508B1">
            <w:pPr>
              <w:jc w:val="right"/>
            </w:pPr>
            <w:r>
              <w:rPr>
                <w:color w:val="000000"/>
                <w:sz w:val="24"/>
                <w:szCs w:val="24"/>
              </w:rPr>
              <w:t>783,100</w:t>
            </w:r>
          </w:p>
        </w:tc>
        <w:tc>
          <w:tcPr>
            <w:tcW w:w="1924" w:type="dxa"/>
            <w:vAlign w:val="center"/>
          </w:tcPr>
          <w:p w:rsidR="000E2223" w:rsidRDefault="006508B1">
            <w:pPr>
              <w:jc w:val="right"/>
            </w:pPr>
            <w:r>
              <w:rPr>
                <w:color w:val="000000"/>
                <w:sz w:val="24"/>
                <w:szCs w:val="24"/>
              </w:rPr>
              <w:t>21,535,250.00</w:t>
            </w:r>
          </w:p>
        </w:tc>
        <w:tc>
          <w:tcPr>
            <w:tcW w:w="1644" w:type="dxa"/>
            <w:vAlign w:val="center"/>
          </w:tcPr>
          <w:p w:rsidR="000E2223" w:rsidRDefault="006508B1">
            <w:pPr>
              <w:jc w:val="right"/>
            </w:pPr>
            <w:r>
              <w:rPr>
                <w:color w:val="000000"/>
                <w:sz w:val="24"/>
                <w:szCs w:val="24"/>
              </w:rPr>
              <w:t>3.25</w:t>
            </w:r>
          </w:p>
        </w:tc>
      </w:tr>
      <w:tr w:rsidR="000E2223">
        <w:trPr>
          <w:jc w:val="center"/>
        </w:trPr>
        <w:tc>
          <w:tcPr>
            <w:tcW w:w="855" w:type="dxa"/>
            <w:vAlign w:val="center"/>
          </w:tcPr>
          <w:p w:rsidR="000E2223" w:rsidRDefault="006508B1">
            <w:pPr>
              <w:jc w:val="center"/>
            </w:pPr>
            <w:r>
              <w:rPr>
                <w:color w:val="000000"/>
                <w:sz w:val="24"/>
                <w:szCs w:val="24"/>
              </w:rPr>
              <w:t>7</w:t>
            </w:r>
          </w:p>
        </w:tc>
        <w:tc>
          <w:tcPr>
            <w:tcW w:w="1334" w:type="dxa"/>
            <w:vAlign w:val="center"/>
          </w:tcPr>
          <w:p w:rsidR="000E2223" w:rsidRDefault="006508B1">
            <w:pPr>
              <w:jc w:val="center"/>
            </w:pPr>
            <w:r>
              <w:rPr>
                <w:color w:val="000000"/>
                <w:sz w:val="24"/>
                <w:szCs w:val="24"/>
              </w:rPr>
              <w:t>601166</w:t>
            </w:r>
          </w:p>
        </w:tc>
        <w:tc>
          <w:tcPr>
            <w:tcW w:w="1777" w:type="dxa"/>
            <w:vAlign w:val="center"/>
          </w:tcPr>
          <w:p w:rsidR="000E2223" w:rsidRDefault="006508B1">
            <w:pPr>
              <w:jc w:val="center"/>
            </w:pPr>
            <w:r>
              <w:rPr>
                <w:color w:val="000000"/>
                <w:sz w:val="24"/>
                <w:szCs w:val="24"/>
              </w:rPr>
              <w:t>兴业银行</w:t>
            </w:r>
          </w:p>
        </w:tc>
        <w:tc>
          <w:tcPr>
            <w:tcW w:w="1334" w:type="dxa"/>
            <w:vAlign w:val="center"/>
          </w:tcPr>
          <w:p w:rsidR="000E2223" w:rsidRDefault="006508B1">
            <w:pPr>
              <w:jc w:val="right"/>
            </w:pPr>
            <w:r>
              <w:rPr>
                <w:color w:val="000000"/>
                <w:sz w:val="24"/>
                <w:szCs w:val="24"/>
              </w:rPr>
              <w:t>1,164,200</w:t>
            </w:r>
          </w:p>
        </w:tc>
        <w:tc>
          <w:tcPr>
            <w:tcW w:w="1924" w:type="dxa"/>
            <w:vAlign w:val="center"/>
          </w:tcPr>
          <w:p w:rsidR="000E2223" w:rsidRDefault="006508B1">
            <w:pPr>
              <w:jc w:val="right"/>
            </w:pPr>
            <w:r>
              <w:rPr>
                <w:color w:val="000000"/>
                <w:sz w:val="24"/>
                <w:szCs w:val="24"/>
              </w:rPr>
              <w:t>20,129,018.00</w:t>
            </w:r>
          </w:p>
        </w:tc>
        <w:tc>
          <w:tcPr>
            <w:tcW w:w="1644" w:type="dxa"/>
            <w:vAlign w:val="center"/>
          </w:tcPr>
          <w:p w:rsidR="000E2223" w:rsidRDefault="006508B1">
            <w:pPr>
              <w:jc w:val="right"/>
            </w:pPr>
            <w:r>
              <w:rPr>
                <w:color w:val="000000"/>
                <w:sz w:val="24"/>
                <w:szCs w:val="24"/>
              </w:rPr>
              <w:t>3.04</w:t>
            </w:r>
          </w:p>
        </w:tc>
      </w:tr>
      <w:tr w:rsidR="000E2223">
        <w:trPr>
          <w:jc w:val="center"/>
        </w:trPr>
        <w:tc>
          <w:tcPr>
            <w:tcW w:w="855" w:type="dxa"/>
            <w:vAlign w:val="center"/>
          </w:tcPr>
          <w:p w:rsidR="000E2223" w:rsidRDefault="006508B1">
            <w:pPr>
              <w:jc w:val="center"/>
            </w:pPr>
            <w:r>
              <w:rPr>
                <w:color w:val="000000"/>
                <w:sz w:val="24"/>
                <w:szCs w:val="24"/>
              </w:rPr>
              <w:t>8</w:t>
            </w:r>
          </w:p>
        </w:tc>
        <w:tc>
          <w:tcPr>
            <w:tcW w:w="1334" w:type="dxa"/>
            <w:vAlign w:val="center"/>
          </w:tcPr>
          <w:p w:rsidR="000E2223" w:rsidRDefault="006508B1">
            <w:pPr>
              <w:jc w:val="center"/>
            </w:pPr>
            <w:r>
              <w:rPr>
                <w:color w:val="000000"/>
                <w:sz w:val="24"/>
                <w:szCs w:val="24"/>
              </w:rPr>
              <w:t>600499</w:t>
            </w:r>
          </w:p>
        </w:tc>
        <w:tc>
          <w:tcPr>
            <w:tcW w:w="1777" w:type="dxa"/>
            <w:vAlign w:val="center"/>
          </w:tcPr>
          <w:p w:rsidR="000E2223" w:rsidRDefault="006508B1">
            <w:pPr>
              <w:jc w:val="center"/>
            </w:pPr>
            <w:r>
              <w:rPr>
                <w:color w:val="000000"/>
                <w:sz w:val="24"/>
                <w:szCs w:val="24"/>
              </w:rPr>
              <w:t>科达洁能</w:t>
            </w:r>
          </w:p>
        </w:tc>
        <w:tc>
          <w:tcPr>
            <w:tcW w:w="1334" w:type="dxa"/>
            <w:vAlign w:val="center"/>
          </w:tcPr>
          <w:p w:rsidR="000E2223" w:rsidRDefault="006508B1">
            <w:pPr>
              <w:jc w:val="right"/>
            </w:pPr>
            <w:r>
              <w:rPr>
                <w:color w:val="000000"/>
                <w:sz w:val="24"/>
                <w:szCs w:val="24"/>
              </w:rPr>
              <w:t>1,694,672</w:t>
            </w:r>
          </w:p>
        </w:tc>
        <w:tc>
          <w:tcPr>
            <w:tcW w:w="1924" w:type="dxa"/>
            <w:vAlign w:val="center"/>
          </w:tcPr>
          <w:p w:rsidR="000E2223" w:rsidRDefault="006508B1">
            <w:pPr>
              <w:jc w:val="right"/>
            </w:pPr>
            <w:r>
              <w:rPr>
                <w:color w:val="000000"/>
                <w:sz w:val="24"/>
                <w:szCs w:val="24"/>
              </w:rPr>
              <w:t>19,505,674.72</w:t>
            </w:r>
          </w:p>
        </w:tc>
        <w:tc>
          <w:tcPr>
            <w:tcW w:w="1644" w:type="dxa"/>
            <w:vAlign w:val="center"/>
          </w:tcPr>
          <w:p w:rsidR="000E2223" w:rsidRDefault="006508B1">
            <w:pPr>
              <w:jc w:val="right"/>
            </w:pPr>
            <w:r>
              <w:rPr>
                <w:color w:val="000000"/>
                <w:sz w:val="24"/>
                <w:szCs w:val="24"/>
              </w:rPr>
              <w:t>2.94</w:t>
            </w:r>
          </w:p>
        </w:tc>
      </w:tr>
      <w:tr w:rsidR="000E2223">
        <w:trPr>
          <w:jc w:val="center"/>
        </w:trPr>
        <w:tc>
          <w:tcPr>
            <w:tcW w:w="855" w:type="dxa"/>
            <w:vAlign w:val="center"/>
          </w:tcPr>
          <w:p w:rsidR="000E2223" w:rsidRDefault="006508B1">
            <w:pPr>
              <w:jc w:val="center"/>
            </w:pPr>
            <w:r>
              <w:rPr>
                <w:color w:val="000000"/>
                <w:sz w:val="24"/>
                <w:szCs w:val="24"/>
              </w:rPr>
              <w:t>9</w:t>
            </w:r>
          </w:p>
        </w:tc>
        <w:tc>
          <w:tcPr>
            <w:tcW w:w="1334" w:type="dxa"/>
            <w:vAlign w:val="center"/>
          </w:tcPr>
          <w:p w:rsidR="000E2223" w:rsidRDefault="006508B1">
            <w:pPr>
              <w:jc w:val="center"/>
            </w:pPr>
            <w:r>
              <w:rPr>
                <w:color w:val="000000"/>
                <w:sz w:val="24"/>
                <w:szCs w:val="24"/>
              </w:rPr>
              <w:t>600389</w:t>
            </w:r>
          </w:p>
        </w:tc>
        <w:tc>
          <w:tcPr>
            <w:tcW w:w="1777" w:type="dxa"/>
            <w:vAlign w:val="center"/>
          </w:tcPr>
          <w:p w:rsidR="000E2223" w:rsidRDefault="006508B1">
            <w:pPr>
              <w:jc w:val="center"/>
            </w:pPr>
            <w:r>
              <w:rPr>
                <w:color w:val="000000"/>
                <w:sz w:val="24"/>
                <w:szCs w:val="24"/>
              </w:rPr>
              <w:t>江山股份</w:t>
            </w:r>
          </w:p>
        </w:tc>
        <w:tc>
          <w:tcPr>
            <w:tcW w:w="1334" w:type="dxa"/>
            <w:vAlign w:val="center"/>
          </w:tcPr>
          <w:p w:rsidR="000E2223" w:rsidRDefault="006508B1">
            <w:pPr>
              <w:jc w:val="right"/>
            </w:pPr>
            <w:r>
              <w:rPr>
                <w:color w:val="000000"/>
                <w:sz w:val="24"/>
                <w:szCs w:val="24"/>
              </w:rPr>
              <w:t>840,675</w:t>
            </w:r>
          </w:p>
        </w:tc>
        <w:tc>
          <w:tcPr>
            <w:tcW w:w="1924" w:type="dxa"/>
            <w:vAlign w:val="center"/>
          </w:tcPr>
          <w:p w:rsidR="000E2223" w:rsidRDefault="006508B1">
            <w:pPr>
              <w:jc w:val="right"/>
            </w:pPr>
            <w:r>
              <w:rPr>
                <w:color w:val="000000"/>
                <w:sz w:val="24"/>
                <w:szCs w:val="24"/>
              </w:rPr>
              <w:t>18,259,461.00</w:t>
            </w:r>
          </w:p>
        </w:tc>
        <w:tc>
          <w:tcPr>
            <w:tcW w:w="1644" w:type="dxa"/>
            <w:vAlign w:val="center"/>
          </w:tcPr>
          <w:p w:rsidR="000E2223" w:rsidRDefault="006508B1">
            <w:pPr>
              <w:jc w:val="right"/>
            </w:pPr>
            <w:r>
              <w:rPr>
                <w:color w:val="000000"/>
                <w:sz w:val="24"/>
                <w:szCs w:val="24"/>
              </w:rPr>
              <w:t>2.76</w:t>
            </w:r>
          </w:p>
        </w:tc>
      </w:tr>
      <w:tr w:rsidR="000E2223">
        <w:trPr>
          <w:jc w:val="center"/>
        </w:trPr>
        <w:tc>
          <w:tcPr>
            <w:tcW w:w="855" w:type="dxa"/>
            <w:vAlign w:val="center"/>
          </w:tcPr>
          <w:p w:rsidR="000E2223" w:rsidRDefault="006508B1">
            <w:pPr>
              <w:jc w:val="center"/>
            </w:pPr>
            <w:r>
              <w:rPr>
                <w:color w:val="000000"/>
                <w:sz w:val="24"/>
                <w:szCs w:val="24"/>
              </w:rPr>
              <w:t>10</w:t>
            </w:r>
          </w:p>
        </w:tc>
        <w:tc>
          <w:tcPr>
            <w:tcW w:w="1334" w:type="dxa"/>
            <w:vAlign w:val="center"/>
          </w:tcPr>
          <w:p w:rsidR="000E2223" w:rsidRDefault="006508B1">
            <w:pPr>
              <w:jc w:val="center"/>
            </w:pPr>
            <w:r>
              <w:rPr>
                <w:color w:val="000000"/>
                <w:sz w:val="24"/>
                <w:szCs w:val="24"/>
              </w:rPr>
              <w:t>600500</w:t>
            </w:r>
          </w:p>
        </w:tc>
        <w:tc>
          <w:tcPr>
            <w:tcW w:w="1777" w:type="dxa"/>
            <w:vAlign w:val="center"/>
          </w:tcPr>
          <w:p w:rsidR="000E2223" w:rsidRDefault="006508B1">
            <w:pPr>
              <w:jc w:val="center"/>
            </w:pPr>
            <w:r>
              <w:rPr>
                <w:color w:val="000000"/>
                <w:sz w:val="24"/>
                <w:szCs w:val="24"/>
              </w:rPr>
              <w:t>中化国际</w:t>
            </w:r>
          </w:p>
        </w:tc>
        <w:tc>
          <w:tcPr>
            <w:tcW w:w="1334" w:type="dxa"/>
            <w:vAlign w:val="center"/>
          </w:tcPr>
          <w:p w:rsidR="000E2223" w:rsidRDefault="006508B1">
            <w:pPr>
              <w:jc w:val="right"/>
            </w:pPr>
            <w:r>
              <w:rPr>
                <w:color w:val="000000"/>
                <w:sz w:val="24"/>
                <w:szCs w:val="24"/>
              </w:rPr>
              <w:t>1,747,608</w:t>
            </w:r>
          </w:p>
        </w:tc>
        <w:tc>
          <w:tcPr>
            <w:tcW w:w="1924" w:type="dxa"/>
            <w:vAlign w:val="center"/>
          </w:tcPr>
          <w:p w:rsidR="000E2223" w:rsidRDefault="006508B1">
            <w:pPr>
              <w:jc w:val="right"/>
            </w:pPr>
            <w:r>
              <w:rPr>
                <w:color w:val="000000"/>
                <w:sz w:val="24"/>
                <w:szCs w:val="24"/>
              </w:rPr>
              <w:t>17,930,458.08</w:t>
            </w:r>
          </w:p>
        </w:tc>
        <w:tc>
          <w:tcPr>
            <w:tcW w:w="1644" w:type="dxa"/>
            <w:vAlign w:val="center"/>
          </w:tcPr>
          <w:p w:rsidR="000E2223" w:rsidRDefault="006508B1">
            <w:pPr>
              <w:jc w:val="right"/>
            </w:pPr>
            <w:r>
              <w:rPr>
                <w:color w:val="000000"/>
                <w:sz w:val="24"/>
                <w:szCs w:val="24"/>
              </w:rPr>
              <w:t>2.71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585,539.31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22,721,605.84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31,098.30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186,545.42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23,524,788.87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E2223">
        <w:trPr>
          <w:jc w:val="center"/>
        </w:trPr>
        <w:tc>
          <w:tcPr>
            <w:tcW w:w="1129" w:type="dxa"/>
            <w:vAlign w:val="center"/>
          </w:tcPr>
          <w:p w:rsidR="000E2223" w:rsidRDefault="006508B1">
            <w:pPr>
              <w:jc w:val="center"/>
            </w:pPr>
            <w:r>
              <w:rPr>
                <w:color w:val="000000"/>
                <w:sz w:val="24"/>
                <w:szCs w:val="24"/>
              </w:rPr>
              <w:t>1</w:t>
            </w:r>
          </w:p>
        </w:tc>
        <w:tc>
          <w:tcPr>
            <w:tcW w:w="1356" w:type="dxa"/>
            <w:vAlign w:val="center"/>
          </w:tcPr>
          <w:p w:rsidR="000E2223" w:rsidRDefault="006508B1">
            <w:pPr>
              <w:jc w:val="center"/>
            </w:pPr>
            <w:r>
              <w:rPr>
                <w:color w:val="000000"/>
                <w:sz w:val="24"/>
                <w:szCs w:val="24"/>
              </w:rPr>
              <w:t>600389</w:t>
            </w:r>
          </w:p>
        </w:tc>
        <w:tc>
          <w:tcPr>
            <w:tcW w:w="1355" w:type="dxa"/>
            <w:vAlign w:val="center"/>
          </w:tcPr>
          <w:p w:rsidR="000E2223" w:rsidRDefault="006508B1">
            <w:pPr>
              <w:jc w:val="center"/>
            </w:pPr>
            <w:r>
              <w:rPr>
                <w:color w:val="000000"/>
                <w:sz w:val="24"/>
                <w:szCs w:val="24"/>
              </w:rPr>
              <w:t>江山股份</w:t>
            </w:r>
          </w:p>
        </w:tc>
        <w:tc>
          <w:tcPr>
            <w:tcW w:w="1880" w:type="dxa"/>
            <w:vAlign w:val="center"/>
          </w:tcPr>
          <w:p w:rsidR="000E2223" w:rsidRDefault="006508B1">
            <w:pPr>
              <w:jc w:val="right"/>
            </w:pPr>
            <w:r>
              <w:rPr>
                <w:color w:val="000000"/>
                <w:sz w:val="24"/>
                <w:szCs w:val="24"/>
              </w:rPr>
              <w:t>18,259,461.00</w:t>
            </w:r>
          </w:p>
        </w:tc>
        <w:tc>
          <w:tcPr>
            <w:tcW w:w="1724" w:type="dxa"/>
            <w:vAlign w:val="center"/>
          </w:tcPr>
          <w:p w:rsidR="000E2223" w:rsidRDefault="006508B1">
            <w:pPr>
              <w:jc w:val="right"/>
            </w:pPr>
            <w:r>
              <w:rPr>
                <w:color w:val="000000"/>
                <w:sz w:val="24"/>
                <w:szCs w:val="24"/>
              </w:rPr>
              <w:t>2.76</w:t>
            </w:r>
          </w:p>
        </w:tc>
        <w:tc>
          <w:tcPr>
            <w:tcW w:w="1424" w:type="dxa"/>
            <w:vAlign w:val="center"/>
          </w:tcPr>
          <w:p w:rsidR="000E2223" w:rsidRDefault="006508B1">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lastRenderedPageBreak/>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801,450,648.61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47,760,986.22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265,429,236.74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583,782,398.09</w:t>
            </w:r>
          </w:p>
        </w:tc>
      </w:tr>
    </w:tbl>
    <w:p w:rsidR="000E2223" w:rsidRDefault="006508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A0C6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6508B1" w:rsidRDefault="006508B1" w:rsidP="006508B1">
      <w:pPr>
        <w:spacing w:line="288" w:lineRule="auto"/>
        <w:jc w:val="left"/>
        <w:rPr>
          <w:sz w:val="24"/>
          <w:szCs w:val="24"/>
        </w:rPr>
      </w:pPr>
      <w:r>
        <w:rPr>
          <w:b/>
          <w:sz w:val="24"/>
        </w:rPr>
        <w:t xml:space="preserve">7.1 </w:t>
      </w:r>
      <w:r>
        <w:rPr>
          <w:rFonts w:hint="eastAsia"/>
          <w:b/>
          <w:sz w:val="24"/>
        </w:rPr>
        <w:t>基金管理人持有本基金份额变动情况</w:t>
      </w:r>
    </w:p>
    <w:p w:rsidR="006508B1" w:rsidRDefault="006508B1" w:rsidP="006508B1">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本报告期内未发生基金管理人运用固有资金投资本基金的情况。</w:t>
      </w:r>
    </w:p>
    <w:p w:rsidR="006508B1" w:rsidRDefault="006508B1" w:rsidP="006508B1">
      <w:pPr>
        <w:autoSpaceDE w:val="0"/>
        <w:autoSpaceDN w:val="0"/>
        <w:adjustRightInd w:val="0"/>
        <w:spacing w:before="29" w:line="288" w:lineRule="auto"/>
        <w:jc w:val="left"/>
        <w:rPr>
          <w:rFonts w:eastAsiaTheme="minorEastAsia"/>
          <w:color w:val="000000"/>
          <w:sz w:val="24"/>
        </w:rPr>
      </w:pPr>
    </w:p>
    <w:p w:rsidR="006508B1" w:rsidRDefault="006508B1" w:rsidP="006508B1">
      <w:pPr>
        <w:spacing w:line="288" w:lineRule="auto"/>
        <w:jc w:val="left"/>
        <w:rPr>
          <w:b/>
          <w:sz w:val="24"/>
        </w:rPr>
      </w:pPr>
      <w:r>
        <w:rPr>
          <w:b/>
          <w:sz w:val="24"/>
        </w:rPr>
        <w:t>7.2</w:t>
      </w:r>
      <w:r>
        <w:rPr>
          <w:rFonts w:hint="eastAsia"/>
          <w:b/>
          <w:sz w:val="24"/>
        </w:rPr>
        <w:t>基金管理人运用固有资金投资本基金交易明细</w:t>
      </w:r>
    </w:p>
    <w:p w:rsidR="006508B1" w:rsidRDefault="006508B1" w:rsidP="006508B1">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6508B1" w:rsidRDefault="006508B1" w:rsidP="006508B1">
      <w:pPr>
        <w:autoSpaceDE w:val="0"/>
        <w:autoSpaceDN w:val="0"/>
        <w:adjustRightInd w:val="0"/>
        <w:spacing w:before="29" w:line="288" w:lineRule="auto"/>
        <w:jc w:val="left"/>
        <w:rPr>
          <w:color w:val="000000"/>
          <w:sz w:val="24"/>
        </w:rPr>
      </w:pPr>
    </w:p>
    <w:p w:rsidR="003C50AD" w:rsidRPr="00220C32" w:rsidRDefault="003C50AD" w:rsidP="00DA0C64">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1073B5" w:rsidTr="00424D30">
        <w:tc>
          <w:tcPr>
            <w:tcW w:w="993" w:type="dxa"/>
            <w:vMerge w:val="restart"/>
            <w:vAlign w:val="center"/>
          </w:tcPr>
          <w:p w:rsidR="003C50AD" w:rsidRPr="001073B5" w:rsidRDefault="003C50AD" w:rsidP="00424D30">
            <w:pPr>
              <w:autoSpaceDE w:val="0"/>
              <w:autoSpaceDN w:val="0"/>
              <w:adjustRightInd w:val="0"/>
              <w:jc w:val="center"/>
              <w:rPr>
                <w:b/>
                <w:bCs/>
                <w:color w:val="000000"/>
                <w:kern w:val="0"/>
                <w:sz w:val="24"/>
              </w:rPr>
            </w:pPr>
            <w:bookmarkStart w:id="0" w:name="_GoBack"/>
            <w:r w:rsidRPr="001073B5">
              <w:rPr>
                <w:color w:val="000000"/>
                <w:kern w:val="0"/>
                <w:sz w:val="24"/>
              </w:rPr>
              <w:t>投资者类别</w:t>
            </w:r>
            <w:r w:rsidRPr="001073B5">
              <w:rPr>
                <w:color w:val="000000"/>
                <w:kern w:val="0"/>
                <w:sz w:val="24"/>
              </w:rPr>
              <w:t xml:space="preserve">  </w:t>
            </w:r>
          </w:p>
        </w:tc>
        <w:tc>
          <w:tcPr>
            <w:tcW w:w="5670" w:type="dxa"/>
            <w:gridSpan w:val="5"/>
            <w:vAlign w:val="center"/>
          </w:tcPr>
          <w:p w:rsidR="003C50AD" w:rsidRPr="001073B5" w:rsidRDefault="003C50AD" w:rsidP="00424D30">
            <w:pPr>
              <w:autoSpaceDE w:val="0"/>
              <w:autoSpaceDN w:val="0"/>
              <w:adjustRightInd w:val="0"/>
              <w:jc w:val="center"/>
              <w:rPr>
                <w:b/>
                <w:bCs/>
                <w:color w:val="000000"/>
                <w:kern w:val="0"/>
                <w:sz w:val="24"/>
              </w:rPr>
            </w:pPr>
            <w:r w:rsidRPr="001073B5">
              <w:rPr>
                <w:color w:val="000000"/>
                <w:kern w:val="0"/>
                <w:sz w:val="24"/>
              </w:rPr>
              <w:t>报告期内持有基金份额变化情况</w:t>
            </w:r>
          </w:p>
        </w:tc>
        <w:tc>
          <w:tcPr>
            <w:tcW w:w="2549" w:type="dxa"/>
            <w:gridSpan w:val="2"/>
            <w:vAlign w:val="center"/>
          </w:tcPr>
          <w:p w:rsidR="003C50AD" w:rsidRPr="001073B5" w:rsidRDefault="003C50AD" w:rsidP="00424D30">
            <w:pPr>
              <w:autoSpaceDE w:val="0"/>
              <w:autoSpaceDN w:val="0"/>
              <w:adjustRightInd w:val="0"/>
              <w:jc w:val="center"/>
              <w:rPr>
                <w:b/>
                <w:bCs/>
                <w:color w:val="000000"/>
                <w:kern w:val="0"/>
                <w:sz w:val="24"/>
              </w:rPr>
            </w:pPr>
            <w:r w:rsidRPr="001073B5">
              <w:rPr>
                <w:color w:val="000000"/>
                <w:kern w:val="0"/>
                <w:sz w:val="24"/>
              </w:rPr>
              <w:t>报告期末持有基金情况</w:t>
            </w:r>
          </w:p>
        </w:tc>
      </w:tr>
      <w:tr w:rsidR="003C50AD" w:rsidRPr="001073B5" w:rsidTr="00424D30">
        <w:tc>
          <w:tcPr>
            <w:tcW w:w="993" w:type="dxa"/>
            <w:vMerge/>
            <w:vAlign w:val="center"/>
          </w:tcPr>
          <w:p w:rsidR="003C50AD" w:rsidRPr="001073B5" w:rsidRDefault="003C50AD" w:rsidP="00424D30">
            <w:pPr>
              <w:autoSpaceDE w:val="0"/>
              <w:autoSpaceDN w:val="0"/>
              <w:adjustRightInd w:val="0"/>
              <w:jc w:val="center"/>
              <w:rPr>
                <w:b/>
                <w:bCs/>
                <w:color w:val="000000"/>
                <w:kern w:val="0"/>
                <w:sz w:val="24"/>
              </w:rPr>
            </w:pPr>
          </w:p>
        </w:tc>
        <w:tc>
          <w:tcPr>
            <w:tcW w:w="992" w:type="dxa"/>
            <w:vAlign w:val="center"/>
          </w:tcPr>
          <w:p w:rsidR="003C50AD" w:rsidRPr="001073B5" w:rsidRDefault="003C50AD" w:rsidP="00424D30">
            <w:pPr>
              <w:autoSpaceDE w:val="0"/>
              <w:autoSpaceDN w:val="0"/>
              <w:adjustRightInd w:val="0"/>
              <w:jc w:val="center"/>
              <w:rPr>
                <w:b/>
                <w:bCs/>
                <w:color w:val="000000"/>
                <w:kern w:val="0"/>
                <w:sz w:val="24"/>
              </w:rPr>
            </w:pPr>
            <w:r w:rsidRPr="001073B5">
              <w:rPr>
                <w:color w:val="000000"/>
                <w:kern w:val="0"/>
                <w:sz w:val="24"/>
              </w:rPr>
              <w:t>序号</w:t>
            </w:r>
          </w:p>
        </w:tc>
        <w:tc>
          <w:tcPr>
            <w:tcW w:w="1843" w:type="dxa"/>
            <w:vAlign w:val="center"/>
          </w:tcPr>
          <w:p w:rsidR="003C50AD" w:rsidRPr="001073B5" w:rsidRDefault="003C50AD" w:rsidP="00424D30">
            <w:pPr>
              <w:autoSpaceDE w:val="0"/>
              <w:autoSpaceDN w:val="0"/>
              <w:adjustRightInd w:val="0"/>
              <w:jc w:val="center"/>
              <w:rPr>
                <w:b/>
                <w:bCs/>
                <w:color w:val="000000"/>
                <w:kern w:val="0"/>
                <w:sz w:val="24"/>
              </w:rPr>
            </w:pPr>
            <w:r w:rsidRPr="001073B5">
              <w:rPr>
                <w:color w:val="000000"/>
                <w:kern w:val="0"/>
                <w:sz w:val="24"/>
              </w:rPr>
              <w:t>持有基金份额比例达到或者超过</w:t>
            </w:r>
            <w:r w:rsidRPr="001073B5">
              <w:rPr>
                <w:color w:val="000000"/>
                <w:kern w:val="0"/>
                <w:sz w:val="24"/>
              </w:rPr>
              <w:t>20%</w:t>
            </w:r>
            <w:r w:rsidRPr="001073B5">
              <w:rPr>
                <w:color w:val="000000"/>
                <w:kern w:val="0"/>
                <w:sz w:val="24"/>
              </w:rPr>
              <w:t>的时间区间</w:t>
            </w:r>
          </w:p>
        </w:tc>
        <w:tc>
          <w:tcPr>
            <w:tcW w:w="851" w:type="dxa"/>
            <w:vAlign w:val="center"/>
          </w:tcPr>
          <w:p w:rsidR="003C50AD" w:rsidRPr="001073B5" w:rsidRDefault="003C50AD" w:rsidP="00424D30">
            <w:pPr>
              <w:widowControl/>
              <w:jc w:val="center"/>
              <w:rPr>
                <w:b/>
                <w:bCs/>
                <w:color w:val="000000"/>
                <w:kern w:val="0"/>
                <w:sz w:val="24"/>
              </w:rPr>
            </w:pPr>
            <w:r w:rsidRPr="001073B5">
              <w:rPr>
                <w:color w:val="000000"/>
                <w:kern w:val="0"/>
                <w:sz w:val="24"/>
              </w:rPr>
              <w:t>期初份额</w:t>
            </w:r>
          </w:p>
        </w:tc>
        <w:tc>
          <w:tcPr>
            <w:tcW w:w="850" w:type="dxa"/>
            <w:vAlign w:val="center"/>
          </w:tcPr>
          <w:p w:rsidR="003C50AD" w:rsidRPr="001073B5" w:rsidRDefault="003C50AD" w:rsidP="00424D30">
            <w:pPr>
              <w:widowControl/>
              <w:jc w:val="center"/>
              <w:rPr>
                <w:b/>
                <w:bCs/>
                <w:color w:val="000000"/>
                <w:kern w:val="0"/>
                <w:sz w:val="24"/>
              </w:rPr>
            </w:pPr>
            <w:r w:rsidRPr="001073B5">
              <w:rPr>
                <w:color w:val="000000"/>
                <w:kern w:val="0"/>
                <w:sz w:val="24"/>
              </w:rPr>
              <w:t>申购份额</w:t>
            </w:r>
          </w:p>
        </w:tc>
        <w:tc>
          <w:tcPr>
            <w:tcW w:w="1134" w:type="dxa"/>
            <w:vAlign w:val="center"/>
          </w:tcPr>
          <w:p w:rsidR="003C50AD" w:rsidRPr="001073B5" w:rsidRDefault="003C50AD" w:rsidP="00424D30">
            <w:pPr>
              <w:widowControl/>
              <w:jc w:val="center"/>
              <w:rPr>
                <w:b/>
                <w:bCs/>
                <w:color w:val="000000"/>
                <w:kern w:val="0"/>
                <w:sz w:val="24"/>
              </w:rPr>
            </w:pPr>
            <w:r w:rsidRPr="001073B5">
              <w:rPr>
                <w:color w:val="000000"/>
                <w:kern w:val="0"/>
                <w:sz w:val="24"/>
              </w:rPr>
              <w:t>赎回份额</w:t>
            </w:r>
          </w:p>
        </w:tc>
        <w:tc>
          <w:tcPr>
            <w:tcW w:w="1419" w:type="dxa"/>
            <w:vAlign w:val="center"/>
          </w:tcPr>
          <w:p w:rsidR="003C50AD" w:rsidRPr="001073B5" w:rsidRDefault="003C50AD" w:rsidP="00424D30">
            <w:pPr>
              <w:autoSpaceDE w:val="0"/>
              <w:autoSpaceDN w:val="0"/>
              <w:adjustRightInd w:val="0"/>
              <w:jc w:val="center"/>
              <w:rPr>
                <w:b/>
                <w:bCs/>
                <w:color w:val="000000"/>
                <w:kern w:val="0"/>
                <w:sz w:val="24"/>
              </w:rPr>
            </w:pPr>
            <w:r w:rsidRPr="001073B5">
              <w:rPr>
                <w:color w:val="000000"/>
                <w:kern w:val="0"/>
                <w:sz w:val="24"/>
              </w:rPr>
              <w:t>持有份额</w:t>
            </w:r>
          </w:p>
        </w:tc>
        <w:tc>
          <w:tcPr>
            <w:tcW w:w="1130" w:type="dxa"/>
            <w:vAlign w:val="center"/>
          </w:tcPr>
          <w:p w:rsidR="003C50AD" w:rsidRPr="001073B5" w:rsidRDefault="003C50AD" w:rsidP="00424D30">
            <w:pPr>
              <w:autoSpaceDE w:val="0"/>
              <w:autoSpaceDN w:val="0"/>
              <w:adjustRightInd w:val="0"/>
              <w:jc w:val="center"/>
              <w:rPr>
                <w:b/>
                <w:bCs/>
                <w:color w:val="000000"/>
                <w:kern w:val="0"/>
                <w:sz w:val="24"/>
              </w:rPr>
            </w:pPr>
            <w:r w:rsidRPr="001073B5">
              <w:rPr>
                <w:color w:val="000000"/>
                <w:kern w:val="0"/>
                <w:sz w:val="24"/>
              </w:rPr>
              <w:t>份额占比</w:t>
            </w:r>
          </w:p>
        </w:tc>
      </w:tr>
      <w:tr w:rsidR="000E2223" w:rsidRPr="001073B5">
        <w:tc>
          <w:tcPr>
            <w:tcW w:w="993" w:type="dxa"/>
            <w:vMerge w:val="restart"/>
          </w:tcPr>
          <w:p w:rsidR="000E2223" w:rsidRPr="001073B5" w:rsidRDefault="000E2223">
            <w:pPr>
              <w:rPr>
                <w:sz w:val="24"/>
              </w:rPr>
            </w:pPr>
          </w:p>
          <w:p w:rsidR="000E2223" w:rsidRPr="001073B5" w:rsidRDefault="006508B1">
            <w:pPr>
              <w:rPr>
                <w:sz w:val="24"/>
              </w:rPr>
            </w:pPr>
            <w:r w:rsidRPr="001073B5">
              <w:rPr>
                <w:bCs/>
                <w:color w:val="000000"/>
                <w:kern w:val="0"/>
                <w:sz w:val="24"/>
              </w:rPr>
              <w:t>机构</w:t>
            </w:r>
          </w:p>
        </w:tc>
        <w:tc>
          <w:tcPr>
            <w:tcW w:w="992" w:type="dxa"/>
            <w:vAlign w:val="center"/>
          </w:tcPr>
          <w:p w:rsidR="000E2223" w:rsidRPr="001073B5" w:rsidRDefault="006508B1">
            <w:pPr>
              <w:jc w:val="center"/>
              <w:rPr>
                <w:sz w:val="24"/>
              </w:rPr>
            </w:pPr>
            <w:r w:rsidRPr="001073B5">
              <w:rPr>
                <w:color w:val="000000"/>
                <w:kern w:val="0"/>
                <w:sz w:val="24"/>
              </w:rPr>
              <w:t>1</w:t>
            </w:r>
          </w:p>
        </w:tc>
        <w:tc>
          <w:tcPr>
            <w:tcW w:w="1843" w:type="dxa"/>
            <w:vAlign w:val="center"/>
          </w:tcPr>
          <w:p w:rsidR="000E2223" w:rsidRPr="001073B5" w:rsidRDefault="006508B1">
            <w:pPr>
              <w:jc w:val="center"/>
              <w:rPr>
                <w:sz w:val="24"/>
              </w:rPr>
            </w:pPr>
            <w:r w:rsidRPr="001073B5">
              <w:rPr>
                <w:color w:val="000000"/>
                <w:kern w:val="0"/>
                <w:sz w:val="24"/>
              </w:rPr>
              <w:t>2017/7/1-2017/9/30</w:t>
            </w:r>
          </w:p>
        </w:tc>
        <w:tc>
          <w:tcPr>
            <w:tcW w:w="851" w:type="dxa"/>
            <w:vAlign w:val="center"/>
          </w:tcPr>
          <w:p w:rsidR="000E2223" w:rsidRPr="001073B5" w:rsidRDefault="006508B1">
            <w:pPr>
              <w:jc w:val="center"/>
              <w:rPr>
                <w:sz w:val="24"/>
              </w:rPr>
            </w:pPr>
            <w:r w:rsidRPr="001073B5">
              <w:rPr>
                <w:color w:val="000000"/>
                <w:kern w:val="0"/>
                <w:sz w:val="24"/>
              </w:rPr>
              <w:t>194,788,457.98</w:t>
            </w:r>
          </w:p>
        </w:tc>
        <w:tc>
          <w:tcPr>
            <w:tcW w:w="850" w:type="dxa"/>
            <w:vAlign w:val="center"/>
          </w:tcPr>
          <w:p w:rsidR="000E2223" w:rsidRPr="001073B5" w:rsidRDefault="006508B1">
            <w:pPr>
              <w:jc w:val="center"/>
              <w:rPr>
                <w:sz w:val="24"/>
              </w:rPr>
            </w:pPr>
            <w:r w:rsidRPr="001073B5">
              <w:rPr>
                <w:color w:val="000000"/>
                <w:kern w:val="0"/>
                <w:sz w:val="24"/>
              </w:rPr>
              <w:t>-</w:t>
            </w:r>
          </w:p>
        </w:tc>
        <w:tc>
          <w:tcPr>
            <w:tcW w:w="1134" w:type="dxa"/>
            <w:vAlign w:val="center"/>
          </w:tcPr>
          <w:p w:rsidR="000E2223" w:rsidRPr="001073B5" w:rsidRDefault="006508B1">
            <w:pPr>
              <w:jc w:val="center"/>
              <w:rPr>
                <w:sz w:val="24"/>
              </w:rPr>
            </w:pPr>
            <w:r w:rsidRPr="001073B5">
              <w:rPr>
                <w:color w:val="000000"/>
                <w:kern w:val="0"/>
                <w:sz w:val="24"/>
              </w:rPr>
              <w:t>-</w:t>
            </w:r>
          </w:p>
        </w:tc>
        <w:tc>
          <w:tcPr>
            <w:tcW w:w="1419" w:type="dxa"/>
            <w:vAlign w:val="center"/>
          </w:tcPr>
          <w:p w:rsidR="000E2223" w:rsidRPr="001073B5" w:rsidRDefault="006508B1">
            <w:pPr>
              <w:jc w:val="center"/>
              <w:rPr>
                <w:sz w:val="24"/>
              </w:rPr>
            </w:pPr>
            <w:r w:rsidRPr="001073B5">
              <w:rPr>
                <w:color w:val="000000"/>
                <w:kern w:val="0"/>
                <w:sz w:val="24"/>
              </w:rPr>
              <w:t>194,788,457.98</w:t>
            </w:r>
          </w:p>
        </w:tc>
        <w:tc>
          <w:tcPr>
            <w:tcW w:w="1130" w:type="dxa"/>
            <w:vAlign w:val="center"/>
          </w:tcPr>
          <w:p w:rsidR="000E2223" w:rsidRPr="001073B5" w:rsidRDefault="006508B1">
            <w:pPr>
              <w:jc w:val="center"/>
              <w:rPr>
                <w:sz w:val="24"/>
              </w:rPr>
            </w:pPr>
            <w:r w:rsidRPr="001073B5">
              <w:rPr>
                <w:color w:val="000000"/>
                <w:kern w:val="0"/>
                <w:sz w:val="24"/>
              </w:rPr>
              <w:t>33.37%</w:t>
            </w:r>
          </w:p>
        </w:tc>
      </w:tr>
      <w:tr w:rsidR="003C50AD" w:rsidRPr="001073B5" w:rsidTr="00424D30">
        <w:tc>
          <w:tcPr>
            <w:tcW w:w="9212" w:type="dxa"/>
            <w:gridSpan w:val="8"/>
            <w:vAlign w:val="center"/>
          </w:tcPr>
          <w:p w:rsidR="003C50AD" w:rsidRPr="001073B5" w:rsidRDefault="003C50AD" w:rsidP="00424D30">
            <w:pPr>
              <w:autoSpaceDE w:val="0"/>
              <w:autoSpaceDN w:val="0"/>
              <w:adjustRightInd w:val="0"/>
              <w:jc w:val="center"/>
              <w:rPr>
                <w:kern w:val="0"/>
                <w:sz w:val="24"/>
              </w:rPr>
            </w:pPr>
            <w:r w:rsidRPr="001073B5">
              <w:rPr>
                <w:color w:val="000000"/>
                <w:kern w:val="0"/>
                <w:sz w:val="24"/>
              </w:rPr>
              <w:t>产品特有风险</w:t>
            </w:r>
          </w:p>
        </w:tc>
      </w:tr>
      <w:tr w:rsidR="003C50AD" w:rsidRPr="001073B5" w:rsidTr="00424D30">
        <w:tc>
          <w:tcPr>
            <w:tcW w:w="9212" w:type="dxa"/>
            <w:gridSpan w:val="8"/>
            <w:vAlign w:val="center"/>
          </w:tcPr>
          <w:p w:rsidR="003C50AD" w:rsidRPr="001073B5" w:rsidRDefault="003C50AD" w:rsidP="00424D30">
            <w:pPr>
              <w:autoSpaceDE w:val="0"/>
              <w:autoSpaceDN w:val="0"/>
              <w:adjustRightInd w:val="0"/>
              <w:jc w:val="left"/>
              <w:rPr>
                <w:kern w:val="0"/>
                <w:sz w:val="24"/>
              </w:rPr>
            </w:pPr>
            <w:r w:rsidRPr="001073B5">
              <w:rPr>
                <w:kern w:val="0"/>
                <w:sz w:val="24"/>
              </w:rPr>
              <w:t>本基金本报告期内出现单一投资者持有基金份额比例超过基金总份额</w:t>
            </w:r>
            <w:r w:rsidRPr="001073B5">
              <w:rPr>
                <w:kern w:val="0"/>
                <w:sz w:val="24"/>
              </w:rPr>
              <w:t>20%</w:t>
            </w:r>
            <w:r w:rsidRPr="001073B5">
              <w:rPr>
                <w:kern w:val="0"/>
                <w:sz w:val="24"/>
              </w:rPr>
              <w:t>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DA0C64">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E2223" w:rsidRDefault="006508B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、中国证监会准予交银施罗德经济新动力混合型证券投资基金募集注册的文件；</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E2223" w:rsidRDefault="006508B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E2223" w:rsidRDefault="006508B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E5" w:rsidRDefault="00C23AE5" w:rsidP="00876D65">
      <w:r>
        <w:separator/>
      </w:r>
    </w:p>
  </w:endnote>
  <w:endnote w:type="continuationSeparator" w:id="0">
    <w:p w:rsidR="00C23AE5" w:rsidRDefault="00C23AE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BB400D">
      <w:rPr>
        <w:kern w:val="0"/>
        <w:szCs w:val="21"/>
      </w:rPr>
      <w:fldChar w:fldCharType="begin"/>
    </w:r>
    <w:r>
      <w:rPr>
        <w:kern w:val="0"/>
        <w:szCs w:val="21"/>
      </w:rPr>
      <w:instrText xml:space="preserve"> PAGE </w:instrText>
    </w:r>
    <w:r w:rsidR="00BB400D">
      <w:rPr>
        <w:kern w:val="0"/>
        <w:szCs w:val="21"/>
      </w:rPr>
      <w:fldChar w:fldCharType="separate"/>
    </w:r>
    <w:r w:rsidR="001073B5">
      <w:rPr>
        <w:noProof/>
        <w:kern w:val="0"/>
        <w:szCs w:val="21"/>
      </w:rPr>
      <w:t>10</w:t>
    </w:r>
    <w:r w:rsidR="00BB400D">
      <w:rPr>
        <w:kern w:val="0"/>
        <w:szCs w:val="21"/>
      </w:rPr>
      <w:fldChar w:fldCharType="end"/>
    </w:r>
    <w:r>
      <w:rPr>
        <w:rFonts w:hint="eastAsia"/>
        <w:kern w:val="0"/>
        <w:szCs w:val="21"/>
      </w:rPr>
      <w:t>页共</w:t>
    </w:r>
    <w:r w:rsidR="00BB400D">
      <w:rPr>
        <w:kern w:val="0"/>
        <w:szCs w:val="21"/>
      </w:rPr>
      <w:fldChar w:fldCharType="begin"/>
    </w:r>
    <w:r>
      <w:rPr>
        <w:kern w:val="0"/>
        <w:szCs w:val="21"/>
      </w:rPr>
      <w:instrText xml:space="preserve"> NUMPAGES </w:instrText>
    </w:r>
    <w:r w:rsidR="00BB400D">
      <w:rPr>
        <w:kern w:val="0"/>
        <w:szCs w:val="21"/>
      </w:rPr>
      <w:fldChar w:fldCharType="separate"/>
    </w:r>
    <w:r w:rsidR="001073B5">
      <w:rPr>
        <w:noProof/>
        <w:kern w:val="0"/>
        <w:szCs w:val="21"/>
      </w:rPr>
      <w:t>11</w:t>
    </w:r>
    <w:r w:rsidR="00BB400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E5" w:rsidRDefault="00C23AE5" w:rsidP="00876D65">
      <w:r>
        <w:separator/>
      </w:r>
    </w:p>
  </w:footnote>
  <w:footnote w:type="continuationSeparator" w:id="0">
    <w:p w:rsidR="00C23AE5" w:rsidRDefault="00C23AE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2223"/>
    <w:rsid w:val="000E5DA5"/>
    <w:rsid w:val="000E7E5E"/>
    <w:rsid w:val="000F6CC8"/>
    <w:rsid w:val="001073B5"/>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08B1"/>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400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3AE5"/>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0C64"/>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5E90E-9B69-42E8-89FE-6D6273D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801725352">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8AD9-E1D6-4322-8BE1-F50A26EF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11</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2017-10-23T06:25:00Z</dcterms:modified>
</cp:coreProperties>
</file>