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0957D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957D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693,714,628.63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693,706,368.68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8,259.95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957D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7,937,228.85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83.30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11,003,664.76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119.66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745,786,542.81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8,851.81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1.072</w:t>
            </w:r>
          </w:p>
        </w:tc>
      </w:tr>
    </w:tbl>
    <w:p w:rsidR="0041068D" w:rsidRDefault="000957D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2014E3">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014E3">
        <w:trPr>
          <w:jc w:val="center"/>
        </w:trPr>
        <w:tc>
          <w:tcPr>
            <w:tcW w:w="1266" w:type="dxa"/>
            <w:vAlign w:val="center"/>
          </w:tcPr>
          <w:p w:rsidR="002014E3" w:rsidRDefault="002014E3" w:rsidP="002014E3">
            <w:pPr>
              <w:jc w:val="left"/>
            </w:pPr>
            <w:r>
              <w:rPr>
                <w:color w:val="000000"/>
                <w:sz w:val="24"/>
              </w:rPr>
              <w:lastRenderedPageBreak/>
              <w:t>过去三个月</w:t>
            </w:r>
          </w:p>
        </w:tc>
        <w:tc>
          <w:tcPr>
            <w:tcW w:w="1267" w:type="dxa"/>
            <w:vAlign w:val="center"/>
          </w:tcPr>
          <w:p w:rsidR="002014E3" w:rsidRDefault="002014E3" w:rsidP="002014E3">
            <w:pPr>
              <w:jc w:val="center"/>
            </w:pPr>
            <w:r>
              <w:rPr>
                <w:color w:val="000000"/>
                <w:sz w:val="24"/>
              </w:rPr>
              <w:t>1.51%</w:t>
            </w:r>
          </w:p>
        </w:tc>
        <w:tc>
          <w:tcPr>
            <w:tcW w:w="1267" w:type="dxa"/>
            <w:vAlign w:val="center"/>
          </w:tcPr>
          <w:p w:rsidR="002014E3" w:rsidRDefault="002014E3" w:rsidP="002014E3">
            <w:pPr>
              <w:jc w:val="center"/>
            </w:pPr>
            <w:r>
              <w:rPr>
                <w:color w:val="000000"/>
                <w:sz w:val="24"/>
              </w:rPr>
              <w:t>0.07%</w:t>
            </w:r>
          </w:p>
        </w:tc>
        <w:tc>
          <w:tcPr>
            <w:tcW w:w="1267" w:type="dxa"/>
            <w:vAlign w:val="center"/>
          </w:tcPr>
          <w:p w:rsidR="002014E3" w:rsidRDefault="002014E3" w:rsidP="002014E3">
            <w:pPr>
              <w:jc w:val="center"/>
            </w:pPr>
            <w:r>
              <w:rPr>
                <w:color w:val="000000"/>
                <w:sz w:val="24"/>
              </w:rPr>
              <w:t>2.24%</w:t>
            </w:r>
          </w:p>
        </w:tc>
        <w:tc>
          <w:tcPr>
            <w:tcW w:w="1267" w:type="dxa"/>
            <w:vAlign w:val="center"/>
          </w:tcPr>
          <w:p w:rsidR="002014E3" w:rsidRDefault="002014E3" w:rsidP="002014E3">
            <w:pPr>
              <w:jc w:val="center"/>
            </w:pPr>
            <w:r>
              <w:rPr>
                <w:color w:val="000000"/>
                <w:sz w:val="24"/>
              </w:rPr>
              <w:t>0.29%</w:t>
            </w:r>
          </w:p>
        </w:tc>
        <w:tc>
          <w:tcPr>
            <w:tcW w:w="1267" w:type="dxa"/>
            <w:vAlign w:val="center"/>
          </w:tcPr>
          <w:p w:rsidR="002014E3" w:rsidRDefault="002014E3" w:rsidP="002014E3">
            <w:pPr>
              <w:jc w:val="center"/>
            </w:pPr>
            <w:r>
              <w:rPr>
                <w:color w:val="000000"/>
                <w:sz w:val="24"/>
              </w:rPr>
              <w:t>-0.73%</w:t>
            </w:r>
          </w:p>
        </w:tc>
        <w:tc>
          <w:tcPr>
            <w:tcW w:w="1267" w:type="dxa"/>
            <w:vAlign w:val="center"/>
          </w:tcPr>
          <w:p w:rsidR="002014E3" w:rsidRDefault="002014E3" w:rsidP="002014E3">
            <w:pPr>
              <w:jc w:val="center"/>
            </w:pPr>
            <w:r>
              <w:rPr>
                <w:color w:val="000000"/>
                <w:sz w:val="24"/>
              </w:rPr>
              <w:t>-0.22%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2014E3">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014E3">
        <w:trPr>
          <w:jc w:val="center"/>
        </w:trPr>
        <w:tc>
          <w:tcPr>
            <w:tcW w:w="1266" w:type="dxa"/>
            <w:vAlign w:val="center"/>
          </w:tcPr>
          <w:p w:rsidR="002014E3" w:rsidRDefault="002014E3" w:rsidP="002014E3">
            <w:pPr>
              <w:jc w:val="left"/>
            </w:pPr>
            <w:r>
              <w:rPr>
                <w:color w:val="000000"/>
                <w:sz w:val="24"/>
              </w:rPr>
              <w:t>过去三个月</w:t>
            </w:r>
          </w:p>
        </w:tc>
        <w:tc>
          <w:tcPr>
            <w:tcW w:w="1267" w:type="dxa"/>
            <w:vAlign w:val="center"/>
          </w:tcPr>
          <w:p w:rsidR="002014E3" w:rsidRDefault="002014E3" w:rsidP="002014E3">
            <w:pPr>
              <w:jc w:val="center"/>
            </w:pPr>
            <w:r>
              <w:rPr>
                <w:color w:val="000000"/>
                <w:sz w:val="24"/>
              </w:rPr>
              <w:t>1.52%</w:t>
            </w:r>
          </w:p>
        </w:tc>
        <w:tc>
          <w:tcPr>
            <w:tcW w:w="1267" w:type="dxa"/>
            <w:vAlign w:val="center"/>
          </w:tcPr>
          <w:p w:rsidR="002014E3" w:rsidRDefault="002014E3" w:rsidP="002014E3">
            <w:pPr>
              <w:jc w:val="center"/>
            </w:pPr>
            <w:r>
              <w:rPr>
                <w:color w:val="000000"/>
                <w:sz w:val="24"/>
              </w:rPr>
              <w:t>0.06%</w:t>
            </w:r>
          </w:p>
        </w:tc>
        <w:tc>
          <w:tcPr>
            <w:tcW w:w="1267" w:type="dxa"/>
            <w:vAlign w:val="center"/>
          </w:tcPr>
          <w:p w:rsidR="002014E3" w:rsidRDefault="002014E3" w:rsidP="002014E3">
            <w:pPr>
              <w:jc w:val="center"/>
            </w:pPr>
            <w:r>
              <w:rPr>
                <w:color w:val="000000"/>
                <w:sz w:val="24"/>
              </w:rPr>
              <w:t>2.24%</w:t>
            </w:r>
          </w:p>
        </w:tc>
        <w:tc>
          <w:tcPr>
            <w:tcW w:w="1267" w:type="dxa"/>
            <w:vAlign w:val="center"/>
          </w:tcPr>
          <w:p w:rsidR="002014E3" w:rsidRDefault="002014E3" w:rsidP="002014E3">
            <w:pPr>
              <w:jc w:val="center"/>
            </w:pPr>
            <w:r>
              <w:rPr>
                <w:color w:val="000000"/>
                <w:sz w:val="24"/>
              </w:rPr>
              <w:t>0.29%</w:t>
            </w:r>
          </w:p>
        </w:tc>
        <w:tc>
          <w:tcPr>
            <w:tcW w:w="1267" w:type="dxa"/>
            <w:vAlign w:val="center"/>
          </w:tcPr>
          <w:p w:rsidR="002014E3" w:rsidRDefault="002014E3" w:rsidP="002014E3">
            <w:pPr>
              <w:jc w:val="center"/>
            </w:pPr>
            <w:r>
              <w:rPr>
                <w:color w:val="000000"/>
                <w:sz w:val="24"/>
              </w:rPr>
              <w:t>-0.72%</w:t>
            </w:r>
          </w:p>
        </w:tc>
        <w:tc>
          <w:tcPr>
            <w:tcW w:w="1267" w:type="dxa"/>
            <w:vAlign w:val="center"/>
          </w:tcPr>
          <w:p w:rsidR="002014E3" w:rsidRDefault="002014E3" w:rsidP="002014E3">
            <w:pPr>
              <w:jc w:val="center"/>
            </w:pPr>
            <w:r>
              <w:rPr>
                <w:color w:val="000000"/>
                <w:sz w:val="24"/>
              </w:rPr>
              <w:t>-0.23%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w:t>
      </w:r>
      <w:r w:rsidRPr="007F52FA">
        <w:rPr>
          <w:color w:val="000000"/>
          <w:sz w:val="24"/>
        </w:rPr>
        <w:lastRenderedPageBreak/>
        <w:t>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957D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1068D">
        <w:trPr>
          <w:jc w:val="center"/>
        </w:trPr>
        <w:tc>
          <w:tcPr>
            <w:tcW w:w="946" w:type="dxa"/>
            <w:vAlign w:val="center"/>
          </w:tcPr>
          <w:p w:rsidR="0041068D" w:rsidRDefault="000957DB">
            <w:pPr>
              <w:jc w:val="center"/>
            </w:pPr>
            <w:r>
              <w:rPr>
                <w:color w:val="000000"/>
                <w:sz w:val="24"/>
              </w:rPr>
              <w:t>李娜</w:t>
            </w:r>
          </w:p>
        </w:tc>
        <w:tc>
          <w:tcPr>
            <w:tcW w:w="924" w:type="dxa"/>
            <w:vAlign w:val="center"/>
          </w:tcPr>
          <w:p w:rsidR="0041068D" w:rsidRDefault="000957DB">
            <w:pPr>
              <w:jc w:val="center"/>
            </w:pPr>
            <w:r>
              <w:rPr>
                <w:color w:val="000000"/>
                <w:sz w:val="24"/>
              </w:rPr>
              <w:t>交银周期回报灵活</w:t>
            </w:r>
            <w:r>
              <w:rPr>
                <w:color w:val="000000"/>
                <w:sz w:val="24"/>
              </w:rPr>
              <w:lastRenderedPageBreak/>
              <w:t>配置混合、交银新回报灵活配置混合、交银多策略回报灵活配置混合、交银卓越回报灵活配置混合、交银优选回报灵活配置混合、交银优择回报灵活配置混合、交银领先回报灵活配置混合、交银瑞鑫定期开放灵活配置</w:t>
            </w:r>
            <w:r>
              <w:rPr>
                <w:color w:val="000000"/>
                <w:sz w:val="24"/>
              </w:rPr>
              <w:lastRenderedPageBreak/>
              <w:t>混合、交银瑞景定期开放灵活配置混合、交银启通灵活配置混合、交银瑞利定期开放灵活配置混合、交银瑞安定期开放灵活配置混合的基金经理</w:t>
            </w:r>
          </w:p>
        </w:tc>
        <w:tc>
          <w:tcPr>
            <w:tcW w:w="1202" w:type="dxa"/>
            <w:vAlign w:val="center"/>
          </w:tcPr>
          <w:p w:rsidR="0041068D" w:rsidRDefault="000957DB">
            <w:pPr>
              <w:jc w:val="center"/>
            </w:pPr>
            <w:r>
              <w:rPr>
                <w:color w:val="000000"/>
                <w:sz w:val="24"/>
              </w:rPr>
              <w:lastRenderedPageBreak/>
              <w:t>2016-04-22</w:t>
            </w:r>
          </w:p>
        </w:tc>
        <w:tc>
          <w:tcPr>
            <w:tcW w:w="1300" w:type="dxa"/>
            <w:vAlign w:val="center"/>
          </w:tcPr>
          <w:p w:rsidR="0041068D" w:rsidRDefault="000957DB">
            <w:pPr>
              <w:jc w:val="center"/>
            </w:pPr>
            <w:r>
              <w:rPr>
                <w:color w:val="000000"/>
                <w:sz w:val="24"/>
              </w:rPr>
              <w:t>-</w:t>
            </w:r>
          </w:p>
        </w:tc>
        <w:tc>
          <w:tcPr>
            <w:tcW w:w="1245" w:type="dxa"/>
            <w:vAlign w:val="center"/>
          </w:tcPr>
          <w:p w:rsidR="0041068D" w:rsidRDefault="000957DB">
            <w:pPr>
              <w:jc w:val="center"/>
            </w:pPr>
            <w:r>
              <w:rPr>
                <w:color w:val="000000"/>
                <w:sz w:val="24"/>
              </w:rPr>
              <w:t>7</w:t>
            </w:r>
            <w:r>
              <w:rPr>
                <w:color w:val="000000"/>
                <w:sz w:val="24"/>
              </w:rPr>
              <w:t>年</w:t>
            </w:r>
          </w:p>
        </w:tc>
        <w:tc>
          <w:tcPr>
            <w:tcW w:w="3251" w:type="dxa"/>
            <w:vAlign w:val="center"/>
          </w:tcPr>
          <w:p w:rsidR="0041068D" w:rsidRDefault="000957D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w:t>
            </w:r>
            <w:r>
              <w:rPr>
                <w:color w:val="000000"/>
                <w:sz w:val="24"/>
              </w:rPr>
              <w:lastRenderedPageBreak/>
              <w:t>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1068D" w:rsidRDefault="000957D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41068D" w:rsidRDefault="000957D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1068D" w:rsidRDefault="000957D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1068D" w:rsidRDefault="000957DB">
      <w:pPr>
        <w:spacing w:before="29" w:line="288" w:lineRule="auto"/>
        <w:ind w:firstLineChars="200" w:firstLine="480"/>
        <w:rPr>
          <w:color w:val="000000"/>
          <w:sz w:val="24"/>
        </w:rPr>
      </w:pPr>
      <w:r>
        <w:rPr>
          <w:color w:val="000000"/>
          <w:sz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w:t>
      </w:r>
      <w:r>
        <w:rPr>
          <w:color w:val="000000"/>
          <w:sz w:val="24"/>
        </w:rPr>
        <w:t>4.90%</w:t>
      </w:r>
      <w:r>
        <w:rPr>
          <w:color w:val="000000"/>
          <w:sz w:val="24"/>
        </w:rPr>
        <w:t>和</w:t>
      </w:r>
      <w:r>
        <w:rPr>
          <w:color w:val="000000"/>
          <w:sz w:val="24"/>
        </w:rPr>
        <w:t>2.69%</w:t>
      </w:r>
      <w:r>
        <w:rPr>
          <w:color w:val="000000"/>
          <w:sz w:val="24"/>
        </w:rPr>
        <w:t>，</w:t>
      </w:r>
      <w:r>
        <w:rPr>
          <w:color w:val="000000"/>
          <w:sz w:val="24"/>
        </w:rPr>
        <w:t>10</w:t>
      </w:r>
      <w:r>
        <w:rPr>
          <w:color w:val="000000"/>
          <w:sz w:val="24"/>
        </w:rPr>
        <w:t>年期国债收益率上行</w:t>
      </w:r>
      <w:r>
        <w:rPr>
          <w:color w:val="000000"/>
          <w:sz w:val="24"/>
        </w:rPr>
        <w:t>5BP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年期国开债收益率上行</w:t>
      </w:r>
      <w:r>
        <w:rPr>
          <w:color w:val="000000"/>
          <w:sz w:val="24"/>
        </w:rPr>
        <w:t>1BP</w:t>
      </w:r>
      <w:r>
        <w:rPr>
          <w:color w:val="000000"/>
          <w:sz w:val="24"/>
        </w:rPr>
        <w:t>到</w:t>
      </w:r>
      <w:r>
        <w:rPr>
          <w:color w:val="000000"/>
          <w:sz w:val="24"/>
        </w:rPr>
        <w:t>4.19%</w:t>
      </w:r>
      <w:r>
        <w:rPr>
          <w:color w:val="000000"/>
          <w:sz w:val="24"/>
        </w:rPr>
        <w:t>。</w:t>
      </w:r>
    </w:p>
    <w:p w:rsidR="0041068D" w:rsidRDefault="000957DB">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展望四季度，基本面下行的预期有待数据的进一步确认，</w:t>
      </w:r>
      <w:r w:rsidRPr="007F52FA">
        <w:rPr>
          <w:color w:val="000000"/>
          <w:sz w:val="24"/>
        </w:rPr>
        <w:t>CPI</w:t>
      </w:r>
      <w:r w:rsidRPr="007F52FA">
        <w:rPr>
          <w:color w:val="000000"/>
          <w:sz w:val="24"/>
        </w:rPr>
        <w:t>依然不具备大幅上行的风险，宏观经济对债市影响的增强仍需要时间，在货币政策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的基调下，利率或继续处于震荡格局之中，但长端收益率上行空间似有顶，具备一定配置价值。我们将密切关注流动性边际变化、供给侧等改革进展、通胀预期变化、美联储加息及缩表进</w:t>
      </w:r>
      <w:r w:rsidRPr="007F52FA">
        <w:rPr>
          <w:color w:val="000000"/>
          <w:sz w:val="24"/>
        </w:rPr>
        <w:lastRenderedPageBreak/>
        <w:t>度等因素对市场的影响。股票方面，力争继续保持稳健、审慎，积极关注一级市场动态。债券方面，保持组合流动性的前提下积极关注交易窗口，把握适中久期，同时特别重视信用风险。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2014E3" w:rsidRPr="00894F4E" w:rsidRDefault="002014E3" w:rsidP="00894F4E">
      <w:pPr>
        <w:spacing w:before="29" w:line="288" w:lineRule="auto"/>
        <w:ind w:firstLineChars="200" w:firstLine="480"/>
        <w:rPr>
          <w:color w:val="000000"/>
          <w:sz w:val="24"/>
        </w:rPr>
      </w:pPr>
      <w:r w:rsidRPr="00894F4E">
        <w:rPr>
          <w:rFonts w:hint="eastAsia"/>
          <w:color w:val="000000"/>
          <w:sz w:val="24"/>
        </w:rPr>
        <w:t>截至</w:t>
      </w:r>
      <w:r>
        <w:rPr>
          <w:color w:val="000000"/>
          <w:sz w:val="24"/>
        </w:rPr>
        <w:t>2017</w:t>
      </w:r>
      <w:r w:rsidRPr="00894F4E">
        <w:rPr>
          <w:rFonts w:hint="eastAsia"/>
          <w:color w:val="000000"/>
          <w:sz w:val="24"/>
        </w:rPr>
        <w:t>年</w:t>
      </w:r>
      <w:r>
        <w:rPr>
          <w:color w:val="000000"/>
          <w:sz w:val="24"/>
        </w:rPr>
        <w:t>9</w:t>
      </w:r>
      <w:r w:rsidRPr="00894F4E">
        <w:rPr>
          <w:rFonts w:hint="eastAsia"/>
          <w:color w:val="000000"/>
          <w:sz w:val="24"/>
        </w:rPr>
        <w:t>月</w:t>
      </w:r>
      <w:r>
        <w:rPr>
          <w:color w:val="000000"/>
          <w:sz w:val="24"/>
        </w:rPr>
        <w:t>30</w:t>
      </w:r>
      <w:r w:rsidRPr="00894F4E">
        <w:rPr>
          <w:rFonts w:hint="eastAsia"/>
          <w:color w:val="000000"/>
          <w:sz w:val="24"/>
        </w:rPr>
        <w:t>日，交银优择回报灵活配置混合</w:t>
      </w:r>
      <w:r>
        <w:rPr>
          <w:color w:val="000000"/>
          <w:sz w:val="24"/>
        </w:rPr>
        <w:t>A</w:t>
      </w:r>
      <w:r w:rsidRPr="00894F4E">
        <w:rPr>
          <w:rFonts w:hint="eastAsia"/>
          <w:color w:val="000000"/>
          <w:sz w:val="24"/>
        </w:rPr>
        <w:t>份额净值为</w:t>
      </w:r>
      <w:r>
        <w:rPr>
          <w:color w:val="000000"/>
          <w:sz w:val="24"/>
        </w:rPr>
        <w:t>1.075</w:t>
      </w:r>
      <w:r w:rsidRPr="00894F4E">
        <w:rPr>
          <w:rFonts w:hint="eastAsia"/>
          <w:color w:val="000000"/>
          <w:sz w:val="24"/>
        </w:rPr>
        <w:t>元，本报告期份额净值增长率为</w:t>
      </w:r>
      <w:r>
        <w:rPr>
          <w:color w:val="000000"/>
          <w:sz w:val="24"/>
        </w:rPr>
        <w:t>1.51%</w:t>
      </w:r>
      <w:r w:rsidRPr="00894F4E">
        <w:rPr>
          <w:rFonts w:hint="eastAsia"/>
          <w:color w:val="000000"/>
          <w:sz w:val="24"/>
        </w:rPr>
        <w:t>，同期业绩比较基准增长率为</w:t>
      </w:r>
      <w:r>
        <w:rPr>
          <w:color w:val="000000"/>
          <w:sz w:val="24"/>
        </w:rPr>
        <w:t>2.24%</w:t>
      </w:r>
      <w:r w:rsidRPr="00894F4E">
        <w:rPr>
          <w:rFonts w:hint="eastAsia"/>
          <w:color w:val="000000"/>
          <w:sz w:val="24"/>
        </w:rPr>
        <w:t>；交银优择回报灵活配置混合</w:t>
      </w:r>
      <w:r>
        <w:rPr>
          <w:color w:val="000000"/>
          <w:sz w:val="24"/>
        </w:rPr>
        <w:t>C</w:t>
      </w:r>
      <w:r w:rsidRPr="00894F4E">
        <w:rPr>
          <w:rFonts w:hint="eastAsia"/>
          <w:color w:val="000000"/>
          <w:sz w:val="24"/>
        </w:rPr>
        <w:t>份额净值为</w:t>
      </w:r>
      <w:r>
        <w:rPr>
          <w:color w:val="000000"/>
          <w:sz w:val="24"/>
        </w:rPr>
        <w:t>1.072</w:t>
      </w:r>
      <w:r w:rsidRPr="00894F4E">
        <w:rPr>
          <w:rFonts w:hint="eastAsia"/>
          <w:color w:val="000000"/>
          <w:sz w:val="24"/>
        </w:rPr>
        <w:t>元，本报告期份额净值增长率为</w:t>
      </w:r>
      <w:r>
        <w:rPr>
          <w:color w:val="000000"/>
          <w:sz w:val="24"/>
        </w:rPr>
        <w:t>1.52%</w:t>
      </w:r>
      <w:r w:rsidRPr="00894F4E">
        <w:rPr>
          <w:rFonts w:hint="eastAsia"/>
          <w:color w:val="000000"/>
          <w:sz w:val="24"/>
        </w:rPr>
        <w:t>，同期业绩比较基准增长率为</w:t>
      </w:r>
      <w:r>
        <w:rPr>
          <w:color w:val="000000"/>
          <w:sz w:val="24"/>
        </w:rPr>
        <w:t>2.24%</w:t>
      </w:r>
      <w:r w:rsidRPr="00894F4E">
        <w:rPr>
          <w:rFonts w:hint="eastAsia"/>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0957D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64,189,256.73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64,189,256.73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642,076,823.50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642,076,823.50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25,000,150.00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2,969,680.37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0.40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12,460,386.51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746,696,297.11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39,793.60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33,590,417.85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3,994,500.00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2,400,380.90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25,571.91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17,468.03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23,974,600.00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115,299.99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31,224.45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64,189,256.73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8.61</w:t>
            </w:r>
          </w:p>
        </w:tc>
      </w:tr>
    </w:tbl>
    <w:p w:rsidR="00894F4E" w:rsidRDefault="00894F4E"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1068D">
        <w:trPr>
          <w:jc w:val="center"/>
        </w:trPr>
        <w:tc>
          <w:tcPr>
            <w:tcW w:w="850" w:type="dxa"/>
            <w:vAlign w:val="center"/>
          </w:tcPr>
          <w:p w:rsidR="0041068D" w:rsidRDefault="000957DB">
            <w:pPr>
              <w:jc w:val="center"/>
            </w:pPr>
            <w:r>
              <w:rPr>
                <w:color w:val="000000"/>
                <w:sz w:val="24"/>
              </w:rPr>
              <w:t>1</w:t>
            </w:r>
          </w:p>
        </w:tc>
        <w:tc>
          <w:tcPr>
            <w:tcW w:w="1327" w:type="dxa"/>
            <w:vAlign w:val="center"/>
          </w:tcPr>
          <w:p w:rsidR="0041068D" w:rsidRDefault="000957DB">
            <w:pPr>
              <w:jc w:val="center"/>
            </w:pPr>
            <w:r>
              <w:rPr>
                <w:color w:val="000000"/>
                <w:sz w:val="24"/>
              </w:rPr>
              <w:t>600887</w:t>
            </w:r>
          </w:p>
        </w:tc>
        <w:tc>
          <w:tcPr>
            <w:tcW w:w="1769" w:type="dxa"/>
            <w:vAlign w:val="center"/>
          </w:tcPr>
          <w:p w:rsidR="0041068D" w:rsidRDefault="000957DB">
            <w:pPr>
              <w:jc w:val="center"/>
            </w:pPr>
            <w:r>
              <w:rPr>
                <w:color w:val="000000"/>
                <w:sz w:val="24"/>
              </w:rPr>
              <w:t>伊利股份</w:t>
            </w:r>
          </w:p>
        </w:tc>
        <w:tc>
          <w:tcPr>
            <w:tcW w:w="1327" w:type="dxa"/>
            <w:vAlign w:val="center"/>
          </w:tcPr>
          <w:p w:rsidR="0041068D" w:rsidRDefault="000957DB">
            <w:pPr>
              <w:jc w:val="right"/>
            </w:pPr>
            <w:r>
              <w:rPr>
                <w:color w:val="000000"/>
                <w:sz w:val="24"/>
              </w:rPr>
              <w:t>350,000</w:t>
            </w:r>
          </w:p>
        </w:tc>
        <w:tc>
          <w:tcPr>
            <w:tcW w:w="1915" w:type="dxa"/>
            <w:vAlign w:val="center"/>
          </w:tcPr>
          <w:p w:rsidR="0041068D" w:rsidRDefault="000957DB">
            <w:pPr>
              <w:jc w:val="right"/>
            </w:pPr>
            <w:r>
              <w:rPr>
                <w:color w:val="000000"/>
                <w:sz w:val="24"/>
              </w:rPr>
              <w:t>9,625,000.00</w:t>
            </w:r>
          </w:p>
        </w:tc>
        <w:tc>
          <w:tcPr>
            <w:tcW w:w="1680" w:type="dxa"/>
            <w:vAlign w:val="center"/>
          </w:tcPr>
          <w:p w:rsidR="0041068D" w:rsidRDefault="000957DB">
            <w:pPr>
              <w:jc w:val="right"/>
            </w:pPr>
            <w:r>
              <w:rPr>
                <w:color w:val="000000"/>
                <w:sz w:val="24"/>
              </w:rPr>
              <w:t>1.29</w:t>
            </w:r>
          </w:p>
        </w:tc>
      </w:tr>
      <w:tr w:rsidR="0041068D">
        <w:trPr>
          <w:jc w:val="center"/>
        </w:trPr>
        <w:tc>
          <w:tcPr>
            <w:tcW w:w="850" w:type="dxa"/>
            <w:vAlign w:val="center"/>
          </w:tcPr>
          <w:p w:rsidR="0041068D" w:rsidRDefault="000957DB">
            <w:pPr>
              <w:jc w:val="center"/>
            </w:pPr>
            <w:r>
              <w:rPr>
                <w:color w:val="000000"/>
                <w:sz w:val="24"/>
              </w:rPr>
              <w:t>2</w:t>
            </w:r>
          </w:p>
        </w:tc>
        <w:tc>
          <w:tcPr>
            <w:tcW w:w="1327" w:type="dxa"/>
            <w:vAlign w:val="center"/>
          </w:tcPr>
          <w:p w:rsidR="0041068D" w:rsidRDefault="000957DB">
            <w:pPr>
              <w:jc w:val="center"/>
            </w:pPr>
            <w:r>
              <w:rPr>
                <w:color w:val="000000"/>
                <w:sz w:val="24"/>
              </w:rPr>
              <w:t>601398</w:t>
            </w:r>
          </w:p>
        </w:tc>
        <w:tc>
          <w:tcPr>
            <w:tcW w:w="1769" w:type="dxa"/>
            <w:vAlign w:val="center"/>
          </w:tcPr>
          <w:p w:rsidR="0041068D" w:rsidRDefault="000957DB">
            <w:pPr>
              <w:jc w:val="center"/>
            </w:pPr>
            <w:r>
              <w:rPr>
                <w:color w:val="000000"/>
                <w:sz w:val="24"/>
              </w:rPr>
              <w:t>工商银行</w:t>
            </w:r>
          </w:p>
        </w:tc>
        <w:tc>
          <w:tcPr>
            <w:tcW w:w="1327" w:type="dxa"/>
            <w:vAlign w:val="center"/>
          </w:tcPr>
          <w:p w:rsidR="0041068D" w:rsidRDefault="000957DB">
            <w:pPr>
              <w:jc w:val="right"/>
            </w:pPr>
            <w:r>
              <w:rPr>
                <w:color w:val="000000"/>
                <w:sz w:val="24"/>
              </w:rPr>
              <w:t>1,400,000</w:t>
            </w:r>
          </w:p>
        </w:tc>
        <w:tc>
          <w:tcPr>
            <w:tcW w:w="1915" w:type="dxa"/>
            <w:vAlign w:val="center"/>
          </w:tcPr>
          <w:p w:rsidR="0041068D" w:rsidRDefault="000957DB">
            <w:pPr>
              <w:jc w:val="right"/>
            </w:pPr>
            <w:r>
              <w:rPr>
                <w:color w:val="000000"/>
                <w:sz w:val="24"/>
              </w:rPr>
              <w:t>8,400,000.00</w:t>
            </w:r>
          </w:p>
        </w:tc>
        <w:tc>
          <w:tcPr>
            <w:tcW w:w="1680" w:type="dxa"/>
            <w:vAlign w:val="center"/>
          </w:tcPr>
          <w:p w:rsidR="0041068D" w:rsidRDefault="000957DB">
            <w:pPr>
              <w:jc w:val="right"/>
            </w:pPr>
            <w:r>
              <w:rPr>
                <w:color w:val="000000"/>
                <w:sz w:val="24"/>
              </w:rPr>
              <w:t>1.13</w:t>
            </w:r>
          </w:p>
        </w:tc>
      </w:tr>
      <w:tr w:rsidR="0041068D">
        <w:trPr>
          <w:jc w:val="center"/>
        </w:trPr>
        <w:tc>
          <w:tcPr>
            <w:tcW w:w="850" w:type="dxa"/>
            <w:vAlign w:val="center"/>
          </w:tcPr>
          <w:p w:rsidR="0041068D" w:rsidRDefault="000957DB">
            <w:pPr>
              <w:jc w:val="center"/>
            </w:pPr>
            <w:r>
              <w:rPr>
                <w:color w:val="000000"/>
                <w:sz w:val="24"/>
              </w:rPr>
              <w:lastRenderedPageBreak/>
              <w:t>3</w:t>
            </w:r>
          </w:p>
        </w:tc>
        <w:tc>
          <w:tcPr>
            <w:tcW w:w="1327" w:type="dxa"/>
            <w:vAlign w:val="center"/>
          </w:tcPr>
          <w:p w:rsidR="0041068D" w:rsidRDefault="000957DB">
            <w:pPr>
              <w:jc w:val="center"/>
            </w:pPr>
            <w:r>
              <w:rPr>
                <w:color w:val="000000"/>
                <w:sz w:val="24"/>
              </w:rPr>
              <w:t>601318</w:t>
            </w:r>
          </w:p>
        </w:tc>
        <w:tc>
          <w:tcPr>
            <w:tcW w:w="1769" w:type="dxa"/>
            <w:vAlign w:val="center"/>
          </w:tcPr>
          <w:p w:rsidR="0041068D" w:rsidRDefault="000957DB">
            <w:pPr>
              <w:jc w:val="center"/>
            </w:pPr>
            <w:r>
              <w:rPr>
                <w:color w:val="000000"/>
                <w:sz w:val="24"/>
              </w:rPr>
              <w:t>中国平安</w:t>
            </w:r>
          </w:p>
        </w:tc>
        <w:tc>
          <w:tcPr>
            <w:tcW w:w="1327" w:type="dxa"/>
            <w:vAlign w:val="center"/>
          </w:tcPr>
          <w:p w:rsidR="0041068D" w:rsidRDefault="000957DB">
            <w:pPr>
              <w:jc w:val="right"/>
            </w:pPr>
            <w:r>
              <w:rPr>
                <w:color w:val="000000"/>
                <w:sz w:val="24"/>
              </w:rPr>
              <w:t>110,000</w:t>
            </w:r>
          </w:p>
        </w:tc>
        <w:tc>
          <w:tcPr>
            <w:tcW w:w="1915" w:type="dxa"/>
            <w:vAlign w:val="center"/>
          </w:tcPr>
          <w:p w:rsidR="0041068D" w:rsidRDefault="000957DB">
            <w:pPr>
              <w:jc w:val="right"/>
            </w:pPr>
            <w:r>
              <w:rPr>
                <w:color w:val="000000"/>
                <w:sz w:val="24"/>
              </w:rPr>
              <w:t>5,957,600.00</w:t>
            </w:r>
          </w:p>
        </w:tc>
        <w:tc>
          <w:tcPr>
            <w:tcW w:w="1680" w:type="dxa"/>
            <w:vAlign w:val="center"/>
          </w:tcPr>
          <w:p w:rsidR="0041068D" w:rsidRDefault="000957DB">
            <w:pPr>
              <w:jc w:val="right"/>
            </w:pPr>
            <w:r>
              <w:rPr>
                <w:color w:val="000000"/>
                <w:sz w:val="24"/>
              </w:rPr>
              <w:t>0.80</w:t>
            </w:r>
          </w:p>
        </w:tc>
      </w:tr>
      <w:tr w:rsidR="0041068D">
        <w:trPr>
          <w:jc w:val="center"/>
        </w:trPr>
        <w:tc>
          <w:tcPr>
            <w:tcW w:w="850" w:type="dxa"/>
            <w:vAlign w:val="center"/>
          </w:tcPr>
          <w:p w:rsidR="0041068D" w:rsidRDefault="000957DB">
            <w:pPr>
              <w:jc w:val="center"/>
            </w:pPr>
            <w:r>
              <w:rPr>
                <w:color w:val="000000"/>
                <w:sz w:val="24"/>
              </w:rPr>
              <w:t>4</w:t>
            </w:r>
          </w:p>
        </w:tc>
        <w:tc>
          <w:tcPr>
            <w:tcW w:w="1327" w:type="dxa"/>
            <w:vAlign w:val="center"/>
          </w:tcPr>
          <w:p w:rsidR="0041068D" w:rsidRDefault="000957DB">
            <w:pPr>
              <w:jc w:val="center"/>
            </w:pPr>
            <w:r>
              <w:rPr>
                <w:color w:val="000000"/>
                <w:sz w:val="24"/>
              </w:rPr>
              <w:t>600519</w:t>
            </w:r>
          </w:p>
        </w:tc>
        <w:tc>
          <w:tcPr>
            <w:tcW w:w="1769" w:type="dxa"/>
            <w:vAlign w:val="center"/>
          </w:tcPr>
          <w:p w:rsidR="0041068D" w:rsidRDefault="000957DB">
            <w:pPr>
              <w:jc w:val="center"/>
            </w:pPr>
            <w:r>
              <w:rPr>
                <w:color w:val="000000"/>
                <w:sz w:val="24"/>
              </w:rPr>
              <w:t>贵州茅台</w:t>
            </w:r>
          </w:p>
        </w:tc>
        <w:tc>
          <w:tcPr>
            <w:tcW w:w="1327" w:type="dxa"/>
            <w:vAlign w:val="center"/>
          </w:tcPr>
          <w:p w:rsidR="0041068D" w:rsidRDefault="000957DB">
            <w:pPr>
              <w:jc w:val="right"/>
            </w:pPr>
            <w:r>
              <w:rPr>
                <w:color w:val="000000"/>
                <w:sz w:val="24"/>
              </w:rPr>
              <w:t>10,000</w:t>
            </w:r>
          </w:p>
        </w:tc>
        <w:tc>
          <w:tcPr>
            <w:tcW w:w="1915" w:type="dxa"/>
            <w:vAlign w:val="center"/>
          </w:tcPr>
          <w:p w:rsidR="0041068D" w:rsidRDefault="000957DB">
            <w:pPr>
              <w:jc w:val="right"/>
            </w:pPr>
            <w:r>
              <w:rPr>
                <w:color w:val="000000"/>
                <w:sz w:val="24"/>
              </w:rPr>
              <w:t>5,176,400.00</w:t>
            </w:r>
          </w:p>
        </w:tc>
        <w:tc>
          <w:tcPr>
            <w:tcW w:w="1680" w:type="dxa"/>
            <w:vAlign w:val="center"/>
          </w:tcPr>
          <w:p w:rsidR="0041068D" w:rsidRDefault="000957DB">
            <w:pPr>
              <w:jc w:val="right"/>
            </w:pPr>
            <w:r>
              <w:rPr>
                <w:color w:val="000000"/>
                <w:sz w:val="24"/>
              </w:rPr>
              <w:t>0.69</w:t>
            </w:r>
          </w:p>
        </w:tc>
      </w:tr>
      <w:tr w:rsidR="0041068D">
        <w:trPr>
          <w:jc w:val="center"/>
        </w:trPr>
        <w:tc>
          <w:tcPr>
            <w:tcW w:w="850" w:type="dxa"/>
            <w:vAlign w:val="center"/>
          </w:tcPr>
          <w:p w:rsidR="0041068D" w:rsidRDefault="000957DB">
            <w:pPr>
              <w:jc w:val="center"/>
            </w:pPr>
            <w:r>
              <w:rPr>
                <w:color w:val="000000"/>
                <w:sz w:val="24"/>
              </w:rPr>
              <w:t>5</w:t>
            </w:r>
          </w:p>
        </w:tc>
        <w:tc>
          <w:tcPr>
            <w:tcW w:w="1327" w:type="dxa"/>
            <w:vAlign w:val="center"/>
          </w:tcPr>
          <w:p w:rsidR="0041068D" w:rsidRDefault="000957DB">
            <w:pPr>
              <w:jc w:val="center"/>
            </w:pPr>
            <w:r>
              <w:rPr>
                <w:color w:val="000000"/>
                <w:sz w:val="24"/>
              </w:rPr>
              <w:t>601939</w:t>
            </w:r>
          </w:p>
        </w:tc>
        <w:tc>
          <w:tcPr>
            <w:tcW w:w="1769" w:type="dxa"/>
            <w:vAlign w:val="center"/>
          </w:tcPr>
          <w:p w:rsidR="0041068D" w:rsidRDefault="000957DB">
            <w:pPr>
              <w:jc w:val="center"/>
            </w:pPr>
            <w:r>
              <w:rPr>
                <w:color w:val="000000"/>
                <w:sz w:val="24"/>
              </w:rPr>
              <w:t>建设银行</w:t>
            </w:r>
          </w:p>
        </w:tc>
        <w:tc>
          <w:tcPr>
            <w:tcW w:w="1327" w:type="dxa"/>
            <w:vAlign w:val="center"/>
          </w:tcPr>
          <w:p w:rsidR="0041068D" w:rsidRDefault="000957DB">
            <w:pPr>
              <w:jc w:val="right"/>
            </w:pPr>
            <w:r>
              <w:rPr>
                <w:color w:val="000000"/>
                <w:sz w:val="24"/>
              </w:rPr>
              <w:t>700,000</w:t>
            </w:r>
          </w:p>
        </w:tc>
        <w:tc>
          <w:tcPr>
            <w:tcW w:w="1915" w:type="dxa"/>
            <w:vAlign w:val="center"/>
          </w:tcPr>
          <w:p w:rsidR="0041068D" w:rsidRDefault="000957DB">
            <w:pPr>
              <w:jc w:val="right"/>
            </w:pPr>
            <w:r>
              <w:rPr>
                <w:color w:val="000000"/>
                <w:sz w:val="24"/>
              </w:rPr>
              <w:t>4,879,000.00</w:t>
            </w:r>
          </w:p>
        </w:tc>
        <w:tc>
          <w:tcPr>
            <w:tcW w:w="1680" w:type="dxa"/>
            <w:vAlign w:val="center"/>
          </w:tcPr>
          <w:p w:rsidR="0041068D" w:rsidRDefault="000957DB">
            <w:pPr>
              <w:jc w:val="right"/>
            </w:pPr>
            <w:r>
              <w:rPr>
                <w:color w:val="000000"/>
                <w:sz w:val="24"/>
              </w:rPr>
              <w:t>0.65</w:t>
            </w:r>
          </w:p>
        </w:tc>
      </w:tr>
      <w:tr w:rsidR="0041068D">
        <w:trPr>
          <w:jc w:val="center"/>
        </w:trPr>
        <w:tc>
          <w:tcPr>
            <w:tcW w:w="850" w:type="dxa"/>
            <w:vAlign w:val="center"/>
          </w:tcPr>
          <w:p w:rsidR="0041068D" w:rsidRDefault="000957DB">
            <w:pPr>
              <w:jc w:val="center"/>
            </w:pPr>
            <w:r>
              <w:rPr>
                <w:color w:val="000000"/>
                <w:sz w:val="24"/>
              </w:rPr>
              <w:t>6</w:t>
            </w:r>
          </w:p>
        </w:tc>
        <w:tc>
          <w:tcPr>
            <w:tcW w:w="1327" w:type="dxa"/>
            <w:vAlign w:val="center"/>
          </w:tcPr>
          <w:p w:rsidR="0041068D" w:rsidRDefault="000957DB">
            <w:pPr>
              <w:jc w:val="center"/>
            </w:pPr>
            <w:r>
              <w:rPr>
                <w:color w:val="000000"/>
                <w:sz w:val="24"/>
              </w:rPr>
              <w:t>601988</w:t>
            </w:r>
          </w:p>
        </w:tc>
        <w:tc>
          <w:tcPr>
            <w:tcW w:w="1769" w:type="dxa"/>
            <w:vAlign w:val="center"/>
          </w:tcPr>
          <w:p w:rsidR="0041068D" w:rsidRDefault="000957DB">
            <w:pPr>
              <w:jc w:val="center"/>
            </w:pPr>
            <w:r>
              <w:rPr>
                <w:color w:val="000000"/>
                <w:sz w:val="24"/>
              </w:rPr>
              <w:t>中国银行</w:t>
            </w:r>
          </w:p>
        </w:tc>
        <w:tc>
          <w:tcPr>
            <w:tcW w:w="1327" w:type="dxa"/>
            <w:vAlign w:val="center"/>
          </w:tcPr>
          <w:p w:rsidR="0041068D" w:rsidRDefault="000957DB">
            <w:pPr>
              <w:jc w:val="right"/>
            </w:pPr>
            <w:r>
              <w:rPr>
                <w:color w:val="000000"/>
                <w:sz w:val="24"/>
              </w:rPr>
              <w:t>1,150,000</w:t>
            </w:r>
          </w:p>
        </w:tc>
        <w:tc>
          <w:tcPr>
            <w:tcW w:w="1915" w:type="dxa"/>
            <w:vAlign w:val="center"/>
          </w:tcPr>
          <w:p w:rsidR="0041068D" w:rsidRDefault="000957DB">
            <w:pPr>
              <w:jc w:val="right"/>
            </w:pPr>
            <w:r>
              <w:rPr>
                <w:color w:val="000000"/>
                <w:sz w:val="24"/>
              </w:rPr>
              <w:t>4,738,000.00</w:t>
            </w:r>
          </w:p>
        </w:tc>
        <w:tc>
          <w:tcPr>
            <w:tcW w:w="1680" w:type="dxa"/>
            <w:vAlign w:val="center"/>
          </w:tcPr>
          <w:p w:rsidR="0041068D" w:rsidRDefault="000957DB">
            <w:pPr>
              <w:jc w:val="right"/>
            </w:pPr>
            <w:r>
              <w:rPr>
                <w:color w:val="000000"/>
                <w:sz w:val="24"/>
              </w:rPr>
              <w:t>0.64</w:t>
            </w:r>
          </w:p>
        </w:tc>
      </w:tr>
      <w:tr w:rsidR="0041068D">
        <w:trPr>
          <w:jc w:val="center"/>
        </w:trPr>
        <w:tc>
          <w:tcPr>
            <w:tcW w:w="850" w:type="dxa"/>
            <w:vAlign w:val="center"/>
          </w:tcPr>
          <w:p w:rsidR="0041068D" w:rsidRDefault="000957DB">
            <w:pPr>
              <w:jc w:val="center"/>
            </w:pPr>
            <w:r>
              <w:rPr>
                <w:color w:val="000000"/>
                <w:sz w:val="24"/>
              </w:rPr>
              <w:t>7</w:t>
            </w:r>
          </w:p>
        </w:tc>
        <w:tc>
          <w:tcPr>
            <w:tcW w:w="1327" w:type="dxa"/>
            <w:vAlign w:val="center"/>
          </w:tcPr>
          <w:p w:rsidR="0041068D" w:rsidRDefault="000957DB">
            <w:pPr>
              <w:jc w:val="center"/>
            </w:pPr>
            <w:r>
              <w:rPr>
                <w:color w:val="000000"/>
                <w:sz w:val="24"/>
              </w:rPr>
              <w:t>600056</w:t>
            </w:r>
          </w:p>
        </w:tc>
        <w:tc>
          <w:tcPr>
            <w:tcW w:w="1769" w:type="dxa"/>
            <w:vAlign w:val="center"/>
          </w:tcPr>
          <w:p w:rsidR="0041068D" w:rsidRDefault="000957DB">
            <w:pPr>
              <w:jc w:val="center"/>
            </w:pPr>
            <w:r>
              <w:rPr>
                <w:color w:val="000000"/>
                <w:sz w:val="24"/>
              </w:rPr>
              <w:t>中国医药</w:t>
            </w:r>
          </w:p>
        </w:tc>
        <w:tc>
          <w:tcPr>
            <w:tcW w:w="1327" w:type="dxa"/>
            <w:vAlign w:val="center"/>
          </w:tcPr>
          <w:p w:rsidR="0041068D" w:rsidRDefault="000957DB">
            <w:pPr>
              <w:jc w:val="right"/>
            </w:pPr>
            <w:r>
              <w:rPr>
                <w:color w:val="000000"/>
                <w:sz w:val="24"/>
              </w:rPr>
              <w:t>190,000</w:t>
            </w:r>
          </w:p>
        </w:tc>
        <w:tc>
          <w:tcPr>
            <w:tcW w:w="1915" w:type="dxa"/>
            <w:vAlign w:val="center"/>
          </w:tcPr>
          <w:p w:rsidR="0041068D" w:rsidRDefault="000957DB">
            <w:pPr>
              <w:jc w:val="right"/>
            </w:pPr>
            <w:r>
              <w:rPr>
                <w:color w:val="000000"/>
                <w:sz w:val="24"/>
              </w:rPr>
              <w:t>4,647,400.00</w:t>
            </w:r>
          </w:p>
        </w:tc>
        <w:tc>
          <w:tcPr>
            <w:tcW w:w="1680" w:type="dxa"/>
            <w:vAlign w:val="center"/>
          </w:tcPr>
          <w:p w:rsidR="0041068D" w:rsidRDefault="000957DB">
            <w:pPr>
              <w:jc w:val="right"/>
            </w:pPr>
            <w:r>
              <w:rPr>
                <w:color w:val="000000"/>
                <w:sz w:val="24"/>
              </w:rPr>
              <w:t>0.62</w:t>
            </w:r>
          </w:p>
        </w:tc>
      </w:tr>
      <w:tr w:rsidR="0041068D">
        <w:trPr>
          <w:jc w:val="center"/>
        </w:trPr>
        <w:tc>
          <w:tcPr>
            <w:tcW w:w="850" w:type="dxa"/>
            <w:vAlign w:val="center"/>
          </w:tcPr>
          <w:p w:rsidR="0041068D" w:rsidRDefault="000957DB">
            <w:pPr>
              <w:jc w:val="center"/>
            </w:pPr>
            <w:r>
              <w:rPr>
                <w:color w:val="000000"/>
                <w:sz w:val="24"/>
              </w:rPr>
              <w:t>8</w:t>
            </w:r>
          </w:p>
        </w:tc>
        <w:tc>
          <w:tcPr>
            <w:tcW w:w="1327" w:type="dxa"/>
            <w:vAlign w:val="center"/>
          </w:tcPr>
          <w:p w:rsidR="0041068D" w:rsidRDefault="000957DB">
            <w:pPr>
              <w:jc w:val="center"/>
            </w:pPr>
            <w:r>
              <w:rPr>
                <w:color w:val="000000"/>
                <w:sz w:val="24"/>
              </w:rPr>
              <w:t>600276</w:t>
            </w:r>
          </w:p>
        </w:tc>
        <w:tc>
          <w:tcPr>
            <w:tcW w:w="1769" w:type="dxa"/>
            <w:vAlign w:val="center"/>
          </w:tcPr>
          <w:p w:rsidR="0041068D" w:rsidRDefault="000957DB">
            <w:pPr>
              <w:jc w:val="center"/>
            </w:pPr>
            <w:r>
              <w:rPr>
                <w:color w:val="000000"/>
                <w:sz w:val="24"/>
              </w:rPr>
              <w:t>恒瑞医药</w:t>
            </w:r>
          </w:p>
        </w:tc>
        <w:tc>
          <w:tcPr>
            <w:tcW w:w="1327" w:type="dxa"/>
            <w:vAlign w:val="center"/>
          </w:tcPr>
          <w:p w:rsidR="0041068D" w:rsidRDefault="000957DB">
            <w:pPr>
              <w:jc w:val="right"/>
            </w:pPr>
            <w:r>
              <w:rPr>
                <w:color w:val="000000"/>
                <w:sz w:val="24"/>
              </w:rPr>
              <w:t>60,000</w:t>
            </w:r>
          </w:p>
        </w:tc>
        <w:tc>
          <w:tcPr>
            <w:tcW w:w="1915" w:type="dxa"/>
            <w:vAlign w:val="center"/>
          </w:tcPr>
          <w:p w:rsidR="0041068D" w:rsidRDefault="000957DB">
            <w:pPr>
              <w:jc w:val="right"/>
            </w:pPr>
            <w:r>
              <w:rPr>
                <w:color w:val="000000"/>
                <w:sz w:val="24"/>
              </w:rPr>
              <w:t>3,595,800.00</w:t>
            </w:r>
          </w:p>
        </w:tc>
        <w:tc>
          <w:tcPr>
            <w:tcW w:w="1680" w:type="dxa"/>
            <w:vAlign w:val="center"/>
          </w:tcPr>
          <w:p w:rsidR="0041068D" w:rsidRDefault="000957DB">
            <w:pPr>
              <w:jc w:val="right"/>
            </w:pPr>
            <w:r>
              <w:rPr>
                <w:color w:val="000000"/>
                <w:sz w:val="24"/>
              </w:rPr>
              <w:t>0.48</w:t>
            </w:r>
          </w:p>
        </w:tc>
      </w:tr>
      <w:tr w:rsidR="0041068D">
        <w:trPr>
          <w:jc w:val="center"/>
        </w:trPr>
        <w:tc>
          <w:tcPr>
            <w:tcW w:w="850" w:type="dxa"/>
            <w:vAlign w:val="center"/>
          </w:tcPr>
          <w:p w:rsidR="0041068D" w:rsidRDefault="000957DB">
            <w:pPr>
              <w:jc w:val="center"/>
            </w:pPr>
            <w:r>
              <w:rPr>
                <w:color w:val="000000"/>
                <w:sz w:val="24"/>
              </w:rPr>
              <w:t>9</w:t>
            </w:r>
          </w:p>
        </w:tc>
        <w:tc>
          <w:tcPr>
            <w:tcW w:w="1327" w:type="dxa"/>
            <w:vAlign w:val="center"/>
          </w:tcPr>
          <w:p w:rsidR="0041068D" w:rsidRDefault="000957DB">
            <w:pPr>
              <w:jc w:val="center"/>
            </w:pPr>
            <w:r>
              <w:rPr>
                <w:color w:val="000000"/>
                <w:sz w:val="24"/>
              </w:rPr>
              <w:t>600104</w:t>
            </w:r>
          </w:p>
        </w:tc>
        <w:tc>
          <w:tcPr>
            <w:tcW w:w="1769" w:type="dxa"/>
            <w:vAlign w:val="center"/>
          </w:tcPr>
          <w:p w:rsidR="0041068D" w:rsidRDefault="000957DB">
            <w:pPr>
              <w:jc w:val="center"/>
            </w:pPr>
            <w:r>
              <w:rPr>
                <w:color w:val="000000"/>
                <w:sz w:val="24"/>
              </w:rPr>
              <w:t>上汽集团</w:t>
            </w:r>
          </w:p>
        </w:tc>
        <w:tc>
          <w:tcPr>
            <w:tcW w:w="1327" w:type="dxa"/>
            <w:vAlign w:val="center"/>
          </w:tcPr>
          <w:p w:rsidR="0041068D" w:rsidRDefault="000957DB">
            <w:pPr>
              <w:jc w:val="right"/>
            </w:pPr>
            <w:r>
              <w:rPr>
                <w:color w:val="000000"/>
                <w:sz w:val="24"/>
              </w:rPr>
              <w:t>100,000</w:t>
            </w:r>
          </w:p>
        </w:tc>
        <w:tc>
          <w:tcPr>
            <w:tcW w:w="1915" w:type="dxa"/>
            <w:vAlign w:val="center"/>
          </w:tcPr>
          <w:p w:rsidR="0041068D" w:rsidRDefault="000957DB">
            <w:pPr>
              <w:jc w:val="right"/>
            </w:pPr>
            <w:r>
              <w:rPr>
                <w:color w:val="000000"/>
                <w:sz w:val="24"/>
              </w:rPr>
              <w:t>3,019,000.00</w:t>
            </w:r>
          </w:p>
        </w:tc>
        <w:tc>
          <w:tcPr>
            <w:tcW w:w="1680" w:type="dxa"/>
            <w:vAlign w:val="center"/>
          </w:tcPr>
          <w:p w:rsidR="0041068D" w:rsidRDefault="000957DB">
            <w:pPr>
              <w:jc w:val="right"/>
            </w:pPr>
            <w:r>
              <w:rPr>
                <w:color w:val="000000"/>
                <w:sz w:val="24"/>
              </w:rPr>
              <w:t>0.40</w:t>
            </w:r>
          </w:p>
        </w:tc>
      </w:tr>
      <w:tr w:rsidR="0041068D">
        <w:trPr>
          <w:jc w:val="center"/>
        </w:trPr>
        <w:tc>
          <w:tcPr>
            <w:tcW w:w="850" w:type="dxa"/>
            <w:vAlign w:val="center"/>
          </w:tcPr>
          <w:p w:rsidR="0041068D" w:rsidRDefault="000957DB">
            <w:pPr>
              <w:jc w:val="center"/>
            </w:pPr>
            <w:r>
              <w:rPr>
                <w:color w:val="000000"/>
                <w:sz w:val="24"/>
              </w:rPr>
              <w:t>10</w:t>
            </w:r>
          </w:p>
        </w:tc>
        <w:tc>
          <w:tcPr>
            <w:tcW w:w="1327" w:type="dxa"/>
            <w:vAlign w:val="center"/>
          </w:tcPr>
          <w:p w:rsidR="0041068D" w:rsidRDefault="000957DB">
            <w:pPr>
              <w:jc w:val="center"/>
            </w:pPr>
            <w:r>
              <w:rPr>
                <w:color w:val="000000"/>
                <w:sz w:val="24"/>
              </w:rPr>
              <w:t>600329</w:t>
            </w:r>
          </w:p>
        </w:tc>
        <w:tc>
          <w:tcPr>
            <w:tcW w:w="1769" w:type="dxa"/>
            <w:vAlign w:val="center"/>
          </w:tcPr>
          <w:p w:rsidR="0041068D" w:rsidRDefault="000957DB">
            <w:pPr>
              <w:jc w:val="center"/>
            </w:pPr>
            <w:r>
              <w:rPr>
                <w:color w:val="000000"/>
                <w:sz w:val="24"/>
              </w:rPr>
              <w:t>中新药业</w:t>
            </w:r>
          </w:p>
        </w:tc>
        <w:tc>
          <w:tcPr>
            <w:tcW w:w="1327" w:type="dxa"/>
            <w:vAlign w:val="center"/>
          </w:tcPr>
          <w:p w:rsidR="0041068D" w:rsidRDefault="000957DB">
            <w:pPr>
              <w:jc w:val="right"/>
            </w:pPr>
            <w:r>
              <w:rPr>
                <w:color w:val="000000"/>
                <w:sz w:val="24"/>
              </w:rPr>
              <w:t>150,000</w:t>
            </w:r>
          </w:p>
        </w:tc>
        <w:tc>
          <w:tcPr>
            <w:tcW w:w="1915" w:type="dxa"/>
            <w:vAlign w:val="center"/>
          </w:tcPr>
          <w:p w:rsidR="0041068D" w:rsidRDefault="000957DB">
            <w:pPr>
              <w:jc w:val="right"/>
            </w:pPr>
            <w:r>
              <w:rPr>
                <w:color w:val="000000"/>
                <w:sz w:val="24"/>
              </w:rPr>
              <w:t>2,559,000.00</w:t>
            </w:r>
          </w:p>
        </w:tc>
        <w:tc>
          <w:tcPr>
            <w:tcW w:w="1680" w:type="dxa"/>
            <w:vAlign w:val="center"/>
          </w:tcPr>
          <w:p w:rsidR="0041068D" w:rsidRDefault="000957DB">
            <w:pPr>
              <w:jc w:val="right"/>
            </w:pPr>
            <w:r>
              <w:rPr>
                <w:color w:val="000000"/>
                <w:sz w:val="24"/>
              </w:rPr>
              <w:t>0.34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40,773,823.50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146,985,000.00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146,985,000.00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45,303,000.00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70,266,000.00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9.42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338,749,000.00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45.42</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642,076,823.50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FB6F1C">
        <w:trPr>
          <w:jc w:val="center"/>
        </w:trPr>
        <w:tc>
          <w:tcPr>
            <w:tcW w:w="107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4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1068D">
        <w:trPr>
          <w:jc w:val="center"/>
        </w:trPr>
        <w:tc>
          <w:tcPr>
            <w:tcW w:w="1075" w:type="dxa"/>
            <w:vAlign w:val="center"/>
          </w:tcPr>
          <w:p w:rsidR="0041068D" w:rsidRDefault="000957DB">
            <w:pPr>
              <w:jc w:val="center"/>
            </w:pPr>
            <w:r>
              <w:rPr>
                <w:color w:val="000000"/>
                <w:sz w:val="24"/>
              </w:rPr>
              <w:t>1</w:t>
            </w:r>
          </w:p>
        </w:tc>
        <w:tc>
          <w:tcPr>
            <w:tcW w:w="1533" w:type="dxa"/>
            <w:vAlign w:val="center"/>
          </w:tcPr>
          <w:p w:rsidR="0041068D" w:rsidRDefault="000957DB">
            <w:pPr>
              <w:jc w:val="center"/>
            </w:pPr>
            <w:r>
              <w:rPr>
                <w:color w:val="000000"/>
                <w:sz w:val="24"/>
              </w:rPr>
              <w:t>170210</w:t>
            </w:r>
          </w:p>
        </w:tc>
        <w:tc>
          <w:tcPr>
            <w:tcW w:w="1533" w:type="dxa"/>
            <w:vAlign w:val="center"/>
          </w:tcPr>
          <w:p w:rsidR="0041068D" w:rsidRDefault="000957DB">
            <w:pPr>
              <w:jc w:val="center"/>
            </w:pPr>
            <w:r>
              <w:rPr>
                <w:color w:val="000000"/>
                <w:sz w:val="24"/>
              </w:rPr>
              <w:t>17</w:t>
            </w:r>
            <w:r>
              <w:rPr>
                <w:color w:val="000000"/>
                <w:sz w:val="24"/>
              </w:rPr>
              <w:t>国开</w:t>
            </w:r>
            <w:r>
              <w:rPr>
                <w:color w:val="000000"/>
                <w:sz w:val="24"/>
              </w:rPr>
              <w:t>10</w:t>
            </w:r>
          </w:p>
        </w:tc>
        <w:tc>
          <w:tcPr>
            <w:tcW w:w="1394" w:type="dxa"/>
            <w:vAlign w:val="center"/>
          </w:tcPr>
          <w:p w:rsidR="0041068D" w:rsidRDefault="000957DB">
            <w:pPr>
              <w:jc w:val="right"/>
            </w:pPr>
            <w:r>
              <w:rPr>
                <w:color w:val="000000"/>
                <w:sz w:val="24"/>
              </w:rPr>
              <w:t>1,500,000</w:t>
            </w:r>
          </w:p>
        </w:tc>
        <w:tc>
          <w:tcPr>
            <w:tcW w:w="1944" w:type="dxa"/>
            <w:vAlign w:val="center"/>
          </w:tcPr>
          <w:p w:rsidR="0041068D" w:rsidRDefault="000957DB">
            <w:pPr>
              <w:jc w:val="right"/>
            </w:pPr>
            <w:r>
              <w:rPr>
                <w:color w:val="000000"/>
                <w:sz w:val="24"/>
              </w:rPr>
              <w:t>146,985,000.00</w:t>
            </w:r>
          </w:p>
        </w:tc>
        <w:tc>
          <w:tcPr>
            <w:tcW w:w="1389" w:type="dxa"/>
            <w:vAlign w:val="center"/>
          </w:tcPr>
          <w:p w:rsidR="0041068D" w:rsidRDefault="000957DB">
            <w:pPr>
              <w:jc w:val="right"/>
            </w:pPr>
            <w:r>
              <w:rPr>
                <w:color w:val="000000"/>
                <w:sz w:val="24"/>
              </w:rPr>
              <w:t>19.71</w:t>
            </w:r>
          </w:p>
        </w:tc>
      </w:tr>
      <w:tr w:rsidR="0041068D">
        <w:trPr>
          <w:jc w:val="center"/>
        </w:trPr>
        <w:tc>
          <w:tcPr>
            <w:tcW w:w="1075" w:type="dxa"/>
            <w:vAlign w:val="center"/>
          </w:tcPr>
          <w:p w:rsidR="0041068D" w:rsidRDefault="000957DB">
            <w:pPr>
              <w:jc w:val="center"/>
            </w:pPr>
            <w:r>
              <w:rPr>
                <w:color w:val="000000"/>
                <w:sz w:val="24"/>
              </w:rPr>
              <w:t>2</w:t>
            </w:r>
          </w:p>
        </w:tc>
        <w:tc>
          <w:tcPr>
            <w:tcW w:w="1533" w:type="dxa"/>
            <w:vAlign w:val="center"/>
          </w:tcPr>
          <w:p w:rsidR="0041068D" w:rsidRDefault="000957DB">
            <w:pPr>
              <w:jc w:val="center"/>
            </w:pPr>
            <w:r>
              <w:rPr>
                <w:color w:val="000000"/>
                <w:sz w:val="24"/>
              </w:rPr>
              <w:t>111717172</w:t>
            </w:r>
          </w:p>
        </w:tc>
        <w:tc>
          <w:tcPr>
            <w:tcW w:w="1533" w:type="dxa"/>
            <w:vAlign w:val="center"/>
          </w:tcPr>
          <w:p w:rsidR="0041068D" w:rsidRDefault="000957DB">
            <w:pPr>
              <w:jc w:val="center"/>
            </w:pPr>
            <w:r>
              <w:rPr>
                <w:color w:val="000000"/>
                <w:sz w:val="24"/>
              </w:rPr>
              <w:t>17</w:t>
            </w:r>
            <w:r>
              <w:rPr>
                <w:color w:val="000000"/>
                <w:sz w:val="24"/>
              </w:rPr>
              <w:t>光大银行</w:t>
            </w:r>
            <w:r>
              <w:rPr>
                <w:color w:val="000000"/>
                <w:sz w:val="24"/>
              </w:rPr>
              <w:t>CD172</w:t>
            </w:r>
          </w:p>
        </w:tc>
        <w:tc>
          <w:tcPr>
            <w:tcW w:w="1394" w:type="dxa"/>
            <w:vAlign w:val="center"/>
          </w:tcPr>
          <w:p w:rsidR="0041068D" w:rsidRDefault="000957DB">
            <w:pPr>
              <w:jc w:val="right"/>
            </w:pPr>
            <w:r>
              <w:rPr>
                <w:color w:val="000000"/>
                <w:sz w:val="24"/>
              </w:rPr>
              <w:t>1,000,000</w:t>
            </w:r>
          </w:p>
        </w:tc>
        <w:tc>
          <w:tcPr>
            <w:tcW w:w="1944" w:type="dxa"/>
            <w:vAlign w:val="center"/>
          </w:tcPr>
          <w:p w:rsidR="0041068D" w:rsidRDefault="000957DB">
            <w:pPr>
              <w:jc w:val="right"/>
            </w:pPr>
            <w:r>
              <w:rPr>
                <w:color w:val="000000"/>
                <w:sz w:val="24"/>
              </w:rPr>
              <w:t>98,900,000.00</w:t>
            </w:r>
          </w:p>
        </w:tc>
        <w:tc>
          <w:tcPr>
            <w:tcW w:w="1389" w:type="dxa"/>
            <w:vAlign w:val="center"/>
          </w:tcPr>
          <w:p w:rsidR="0041068D" w:rsidRDefault="000957DB">
            <w:pPr>
              <w:jc w:val="right"/>
            </w:pPr>
            <w:r>
              <w:rPr>
                <w:color w:val="000000"/>
                <w:sz w:val="24"/>
              </w:rPr>
              <w:t>13.26</w:t>
            </w:r>
          </w:p>
        </w:tc>
      </w:tr>
      <w:tr w:rsidR="0041068D">
        <w:trPr>
          <w:jc w:val="center"/>
        </w:trPr>
        <w:tc>
          <w:tcPr>
            <w:tcW w:w="1075" w:type="dxa"/>
            <w:vAlign w:val="center"/>
          </w:tcPr>
          <w:p w:rsidR="0041068D" w:rsidRDefault="000957DB">
            <w:pPr>
              <w:jc w:val="center"/>
            </w:pPr>
            <w:r>
              <w:rPr>
                <w:color w:val="000000"/>
                <w:sz w:val="24"/>
              </w:rPr>
              <w:t>3</w:t>
            </w:r>
          </w:p>
        </w:tc>
        <w:tc>
          <w:tcPr>
            <w:tcW w:w="1533" w:type="dxa"/>
            <w:vAlign w:val="center"/>
          </w:tcPr>
          <w:p w:rsidR="0041068D" w:rsidRDefault="000957DB">
            <w:pPr>
              <w:jc w:val="center"/>
            </w:pPr>
            <w:r>
              <w:rPr>
                <w:color w:val="000000"/>
                <w:sz w:val="24"/>
              </w:rPr>
              <w:t>111712040</w:t>
            </w:r>
          </w:p>
        </w:tc>
        <w:tc>
          <w:tcPr>
            <w:tcW w:w="1533" w:type="dxa"/>
            <w:vAlign w:val="center"/>
          </w:tcPr>
          <w:p w:rsidR="0041068D" w:rsidRDefault="000957DB">
            <w:pPr>
              <w:jc w:val="center"/>
            </w:pPr>
            <w:r>
              <w:rPr>
                <w:color w:val="000000"/>
                <w:sz w:val="24"/>
              </w:rPr>
              <w:t>17</w:t>
            </w:r>
            <w:r>
              <w:rPr>
                <w:color w:val="000000"/>
                <w:sz w:val="24"/>
              </w:rPr>
              <w:t>北京银行</w:t>
            </w:r>
            <w:r>
              <w:rPr>
                <w:color w:val="000000"/>
                <w:sz w:val="24"/>
              </w:rPr>
              <w:t>CD040</w:t>
            </w:r>
          </w:p>
        </w:tc>
        <w:tc>
          <w:tcPr>
            <w:tcW w:w="1394" w:type="dxa"/>
            <w:vAlign w:val="center"/>
          </w:tcPr>
          <w:p w:rsidR="0041068D" w:rsidRDefault="000957DB">
            <w:pPr>
              <w:jc w:val="right"/>
            </w:pPr>
            <w:r>
              <w:rPr>
                <w:color w:val="000000"/>
                <w:sz w:val="24"/>
              </w:rPr>
              <w:t>300,000</w:t>
            </w:r>
          </w:p>
        </w:tc>
        <w:tc>
          <w:tcPr>
            <w:tcW w:w="1944" w:type="dxa"/>
            <w:vAlign w:val="center"/>
          </w:tcPr>
          <w:p w:rsidR="0041068D" w:rsidRDefault="000957DB">
            <w:pPr>
              <w:jc w:val="right"/>
            </w:pPr>
            <w:r>
              <w:rPr>
                <w:color w:val="000000"/>
                <w:sz w:val="24"/>
              </w:rPr>
              <w:t>28,725,000.00</w:t>
            </w:r>
          </w:p>
        </w:tc>
        <w:tc>
          <w:tcPr>
            <w:tcW w:w="1389" w:type="dxa"/>
            <w:vAlign w:val="center"/>
          </w:tcPr>
          <w:p w:rsidR="0041068D" w:rsidRDefault="000957DB">
            <w:pPr>
              <w:jc w:val="right"/>
            </w:pPr>
            <w:r>
              <w:rPr>
                <w:color w:val="000000"/>
                <w:sz w:val="24"/>
              </w:rPr>
              <w:t>3.85</w:t>
            </w:r>
          </w:p>
        </w:tc>
      </w:tr>
      <w:tr w:rsidR="0041068D">
        <w:trPr>
          <w:jc w:val="center"/>
        </w:trPr>
        <w:tc>
          <w:tcPr>
            <w:tcW w:w="1075" w:type="dxa"/>
            <w:vAlign w:val="center"/>
          </w:tcPr>
          <w:p w:rsidR="0041068D" w:rsidRDefault="000957DB">
            <w:pPr>
              <w:jc w:val="center"/>
            </w:pPr>
            <w:r>
              <w:rPr>
                <w:color w:val="000000"/>
                <w:sz w:val="24"/>
              </w:rPr>
              <w:lastRenderedPageBreak/>
              <w:t>4</w:t>
            </w:r>
          </w:p>
        </w:tc>
        <w:tc>
          <w:tcPr>
            <w:tcW w:w="1533" w:type="dxa"/>
            <w:vAlign w:val="center"/>
          </w:tcPr>
          <w:p w:rsidR="0041068D" w:rsidRDefault="000957DB">
            <w:pPr>
              <w:jc w:val="center"/>
            </w:pPr>
            <w:r>
              <w:rPr>
                <w:color w:val="000000"/>
                <w:sz w:val="24"/>
              </w:rPr>
              <w:t>111714069</w:t>
            </w:r>
          </w:p>
        </w:tc>
        <w:tc>
          <w:tcPr>
            <w:tcW w:w="1533" w:type="dxa"/>
            <w:vAlign w:val="center"/>
          </w:tcPr>
          <w:p w:rsidR="0041068D" w:rsidRDefault="000957DB">
            <w:pPr>
              <w:jc w:val="center"/>
            </w:pPr>
            <w:r>
              <w:rPr>
                <w:color w:val="000000"/>
                <w:sz w:val="24"/>
              </w:rPr>
              <w:t>17</w:t>
            </w:r>
            <w:r>
              <w:rPr>
                <w:color w:val="000000"/>
                <w:sz w:val="24"/>
              </w:rPr>
              <w:t>江苏银行</w:t>
            </w:r>
            <w:r>
              <w:rPr>
                <w:color w:val="000000"/>
                <w:sz w:val="24"/>
              </w:rPr>
              <w:t>CD069</w:t>
            </w:r>
          </w:p>
        </w:tc>
        <w:tc>
          <w:tcPr>
            <w:tcW w:w="1394" w:type="dxa"/>
            <w:vAlign w:val="center"/>
          </w:tcPr>
          <w:p w:rsidR="0041068D" w:rsidRDefault="000957DB">
            <w:pPr>
              <w:jc w:val="right"/>
            </w:pPr>
            <w:r>
              <w:rPr>
                <w:color w:val="000000"/>
                <w:sz w:val="24"/>
              </w:rPr>
              <w:t>300,000</w:t>
            </w:r>
          </w:p>
        </w:tc>
        <w:tc>
          <w:tcPr>
            <w:tcW w:w="1944" w:type="dxa"/>
            <w:vAlign w:val="center"/>
          </w:tcPr>
          <w:p w:rsidR="0041068D" w:rsidRDefault="000957DB">
            <w:pPr>
              <w:jc w:val="right"/>
            </w:pPr>
            <w:r>
              <w:rPr>
                <w:color w:val="000000"/>
                <w:sz w:val="24"/>
              </w:rPr>
              <w:t>28,722,000.00</w:t>
            </w:r>
          </w:p>
        </w:tc>
        <w:tc>
          <w:tcPr>
            <w:tcW w:w="1389" w:type="dxa"/>
            <w:vAlign w:val="center"/>
          </w:tcPr>
          <w:p w:rsidR="0041068D" w:rsidRDefault="000957DB">
            <w:pPr>
              <w:jc w:val="right"/>
            </w:pPr>
            <w:r>
              <w:rPr>
                <w:color w:val="000000"/>
                <w:sz w:val="24"/>
              </w:rPr>
              <w:t>3.85</w:t>
            </w:r>
          </w:p>
        </w:tc>
      </w:tr>
      <w:tr w:rsidR="0041068D">
        <w:trPr>
          <w:jc w:val="center"/>
        </w:trPr>
        <w:tc>
          <w:tcPr>
            <w:tcW w:w="1075" w:type="dxa"/>
            <w:vAlign w:val="center"/>
          </w:tcPr>
          <w:p w:rsidR="0041068D" w:rsidRDefault="000957DB">
            <w:pPr>
              <w:jc w:val="center"/>
            </w:pPr>
            <w:r>
              <w:rPr>
                <w:color w:val="000000"/>
                <w:sz w:val="24"/>
              </w:rPr>
              <w:t>5</w:t>
            </w:r>
          </w:p>
        </w:tc>
        <w:tc>
          <w:tcPr>
            <w:tcW w:w="1533" w:type="dxa"/>
            <w:vAlign w:val="center"/>
          </w:tcPr>
          <w:p w:rsidR="0041068D" w:rsidRDefault="000957DB">
            <w:pPr>
              <w:jc w:val="center"/>
            </w:pPr>
            <w:r>
              <w:rPr>
                <w:color w:val="000000"/>
                <w:sz w:val="24"/>
              </w:rPr>
              <w:t>111711081</w:t>
            </w:r>
          </w:p>
        </w:tc>
        <w:tc>
          <w:tcPr>
            <w:tcW w:w="1533" w:type="dxa"/>
            <w:vAlign w:val="center"/>
          </w:tcPr>
          <w:p w:rsidR="0041068D" w:rsidRDefault="000957DB">
            <w:pPr>
              <w:jc w:val="center"/>
            </w:pPr>
            <w:r>
              <w:rPr>
                <w:color w:val="000000"/>
                <w:sz w:val="24"/>
              </w:rPr>
              <w:t>17</w:t>
            </w:r>
            <w:r>
              <w:rPr>
                <w:color w:val="000000"/>
                <w:sz w:val="24"/>
              </w:rPr>
              <w:t>平安银行</w:t>
            </w:r>
            <w:r>
              <w:rPr>
                <w:color w:val="000000"/>
                <w:sz w:val="24"/>
              </w:rPr>
              <w:t>CD081</w:t>
            </w:r>
          </w:p>
        </w:tc>
        <w:tc>
          <w:tcPr>
            <w:tcW w:w="1394" w:type="dxa"/>
            <w:vAlign w:val="center"/>
          </w:tcPr>
          <w:p w:rsidR="0041068D" w:rsidRDefault="000957DB">
            <w:pPr>
              <w:jc w:val="right"/>
            </w:pPr>
            <w:r>
              <w:rPr>
                <w:color w:val="000000"/>
                <w:sz w:val="24"/>
              </w:rPr>
              <w:t>300,000</w:t>
            </w:r>
          </w:p>
        </w:tc>
        <w:tc>
          <w:tcPr>
            <w:tcW w:w="1944" w:type="dxa"/>
            <w:vAlign w:val="center"/>
          </w:tcPr>
          <w:p w:rsidR="0041068D" w:rsidRDefault="000957DB">
            <w:pPr>
              <w:jc w:val="right"/>
            </w:pPr>
            <w:r>
              <w:rPr>
                <w:color w:val="000000"/>
                <w:sz w:val="24"/>
              </w:rPr>
              <w:t>28,716,000.00</w:t>
            </w:r>
          </w:p>
        </w:tc>
        <w:tc>
          <w:tcPr>
            <w:tcW w:w="1389" w:type="dxa"/>
            <w:vAlign w:val="center"/>
          </w:tcPr>
          <w:p w:rsidR="0041068D" w:rsidRDefault="000957DB">
            <w:pPr>
              <w:jc w:val="right"/>
            </w:pPr>
            <w:r>
              <w:rPr>
                <w:color w:val="000000"/>
                <w:sz w:val="24"/>
              </w:rPr>
              <w:t>3.85</w:t>
            </w:r>
          </w:p>
        </w:tc>
      </w:tr>
      <w:tr w:rsidR="00FB6F1C">
        <w:trPr>
          <w:jc w:val="center"/>
        </w:trPr>
        <w:tc>
          <w:tcPr>
            <w:tcW w:w="1075" w:type="dxa"/>
            <w:vAlign w:val="center"/>
          </w:tcPr>
          <w:p w:rsidR="00FB6F1C" w:rsidRDefault="00FB6F1C" w:rsidP="00FB6F1C">
            <w:pPr>
              <w:jc w:val="center"/>
            </w:pPr>
            <w:r>
              <w:rPr>
                <w:color w:val="000000"/>
                <w:sz w:val="24"/>
              </w:rPr>
              <w:t>6</w:t>
            </w:r>
          </w:p>
        </w:tc>
        <w:tc>
          <w:tcPr>
            <w:tcW w:w="1533" w:type="dxa"/>
            <w:vAlign w:val="center"/>
          </w:tcPr>
          <w:p w:rsidR="00FB6F1C" w:rsidRDefault="00FB6F1C" w:rsidP="00FB6F1C">
            <w:pPr>
              <w:jc w:val="center"/>
            </w:pPr>
            <w:r>
              <w:rPr>
                <w:color w:val="000000"/>
                <w:sz w:val="24"/>
              </w:rPr>
              <w:t>111714073</w:t>
            </w:r>
          </w:p>
        </w:tc>
        <w:tc>
          <w:tcPr>
            <w:tcW w:w="1533" w:type="dxa"/>
            <w:vAlign w:val="center"/>
          </w:tcPr>
          <w:p w:rsidR="00FB6F1C" w:rsidRPr="00FB6F1C" w:rsidRDefault="00FB6F1C" w:rsidP="00FB6F1C">
            <w:pPr>
              <w:jc w:val="center"/>
              <w:rPr>
                <w:sz w:val="20"/>
                <w:szCs w:val="20"/>
              </w:rPr>
            </w:pPr>
            <w:r w:rsidRPr="00FB6F1C">
              <w:rPr>
                <w:color w:val="000000"/>
                <w:sz w:val="24"/>
              </w:rPr>
              <w:t>17</w:t>
            </w:r>
            <w:r w:rsidRPr="00FB6F1C">
              <w:rPr>
                <w:rFonts w:ascii="宋体" w:hAnsi="宋体" w:hint="eastAsia"/>
                <w:color w:val="000000"/>
                <w:sz w:val="24"/>
              </w:rPr>
              <w:t>江苏银行</w:t>
            </w:r>
            <w:r w:rsidRPr="00FB6F1C">
              <w:rPr>
                <w:color w:val="000000"/>
                <w:sz w:val="24"/>
              </w:rPr>
              <w:t>CD073</w:t>
            </w:r>
            <w:bookmarkStart w:id="0" w:name="_GoBack"/>
            <w:bookmarkEnd w:id="0"/>
          </w:p>
        </w:tc>
        <w:tc>
          <w:tcPr>
            <w:tcW w:w="1394" w:type="dxa"/>
            <w:vAlign w:val="center"/>
          </w:tcPr>
          <w:p w:rsidR="00FB6F1C" w:rsidRDefault="00FB6F1C" w:rsidP="00FB6F1C">
            <w:pPr>
              <w:jc w:val="right"/>
            </w:pPr>
            <w:r>
              <w:rPr>
                <w:color w:val="000000"/>
                <w:sz w:val="24"/>
              </w:rPr>
              <w:t>300,000</w:t>
            </w:r>
          </w:p>
        </w:tc>
        <w:tc>
          <w:tcPr>
            <w:tcW w:w="1944" w:type="dxa"/>
            <w:vAlign w:val="center"/>
          </w:tcPr>
          <w:p w:rsidR="00FB6F1C" w:rsidRDefault="00FB6F1C" w:rsidP="00FB6F1C">
            <w:pPr>
              <w:jc w:val="right"/>
            </w:pPr>
            <w:r>
              <w:rPr>
                <w:color w:val="000000"/>
                <w:sz w:val="24"/>
              </w:rPr>
              <w:t>28,716,000.00</w:t>
            </w:r>
          </w:p>
        </w:tc>
        <w:tc>
          <w:tcPr>
            <w:tcW w:w="1389" w:type="dxa"/>
            <w:vAlign w:val="center"/>
          </w:tcPr>
          <w:p w:rsidR="00FB6F1C" w:rsidRDefault="00FB6F1C" w:rsidP="00FB6F1C">
            <w:pPr>
              <w:jc w:val="right"/>
            </w:pPr>
            <w:r>
              <w:rPr>
                <w:color w:val="000000"/>
                <w:sz w:val="24"/>
              </w:rPr>
              <w:t>3.85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24,719.53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113,372.54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12,321,300.80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993.64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12,460,386.51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0957D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693,712,155.48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7,094.84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6,923.96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1,224.39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12,710.76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693,706,368.68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8,259.95</w:t>
            </w:r>
          </w:p>
        </w:tc>
      </w:tr>
    </w:tbl>
    <w:p w:rsidR="0041068D" w:rsidRDefault="000957D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0957D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957DB" w:rsidRDefault="000957DB" w:rsidP="000957DB">
      <w:pPr>
        <w:spacing w:line="288" w:lineRule="auto"/>
        <w:jc w:val="left"/>
        <w:rPr>
          <w:sz w:val="24"/>
        </w:rPr>
      </w:pPr>
      <w:r>
        <w:rPr>
          <w:b/>
          <w:sz w:val="24"/>
        </w:rPr>
        <w:t xml:space="preserve">7.1 </w:t>
      </w:r>
      <w:r>
        <w:rPr>
          <w:rFonts w:hint="eastAsia"/>
          <w:b/>
          <w:sz w:val="24"/>
        </w:rPr>
        <w:t>基金管理人持有本基金份额变动情况</w:t>
      </w:r>
    </w:p>
    <w:p w:rsidR="000957DB" w:rsidRDefault="000957DB" w:rsidP="000957DB">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lastRenderedPageBreak/>
        <w:t>本报告期内未发生基金管理人运用固有资金投资本基金的情况。</w:t>
      </w:r>
    </w:p>
    <w:p w:rsidR="000957DB" w:rsidRDefault="000957DB" w:rsidP="000957DB">
      <w:pPr>
        <w:autoSpaceDE w:val="0"/>
        <w:autoSpaceDN w:val="0"/>
        <w:adjustRightInd w:val="0"/>
        <w:spacing w:before="29" w:line="288" w:lineRule="auto"/>
        <w:jc w:val="left"/>
        <w:rPr>
          <w:rFonts w:eastAsiaTheme="minorEastAsia"/>
          <w:color w:val="000000"/>
          <w:sz w:val="24"/>
        </w:rPr>
      </w:pPr>
    </w:p>
    <w:p w:rsidR="000957DB" w:rsidRDefault="000957DB" w:rsidP="000957DB">
      <w:pPr>
        <w:spacing w:line="288" w:lineRule="auto"/>
        <w:jc w:val="left"/>
        <w:rPr>
          <w:b/>
          <w:sz w:val="24"/>
        </w:rPr>
      </w:pPr>
      <w:r>
        <w:rPr>
          <w:b/>
          <w:sz w:val="24"/>
        </w:rPr>
        <w:t>7.2</w:t>
      </w:r>
      <w:r>
        <w:rPr>
          <w:rFonts w:hint="eastAsia"/>
          <w:b/>
          <w:sz w:val="24"/>
        </w:rPr>
        <w:t>基金管理人运用固有资金投资本基金交易明细</w:t>
      </w:r>
    </w:p>
    <w:p w:rsidR="000957DB" w:rsidRDefault="000957DB" w:rsidP="000957DB">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0957DB" w:rsidRDefault="000957DB" w:rsidP="000957DB">
      <w:pPr>
        <w:autoSpaceDE w:val="0"/>
        <w:autoSpaceDN w:val="0"/>
        <w:adjustRightInd w:val="0"/>
        <w:spacing w:before="29" w:line="288" w:lineRule="auto"/>
        <w:jc w:val="left"/>
        <w:rPr>
          <w:color w:val="000000"/>
          <w:sz w:val="24"/>
        </w:rPr>
      </w:pPr>
    </w:p>
    <w:p w:rsidR="00ED0E09" w:rsidRPr="00894F4E" w:rsidRDefault="00ED0E09" w:rsidP="000957DB">
      <w:pPr>
        <w:pStyle w:val="1"/>
        <w:spacing w:beforeLines="100" w:before="312" w:afterLines="100" w:after="312" w:line="360" w:lineRule="auto"/>
        <w:jc w:val="center"/>
        <w:rPr>
          <w:rFonts w:eastAsiaTheme="minorEastAsia"/>
          <w:color w:val="000000" w:themeColor="text1"/>
          <w:kern w:val="0"/>
          <w:sz w:val="24"/>
          <w:szCs w:val="24"/>
        </w:rPr>
      </w:pPr>
      <w:r>
        <w:rPr>
          <w:rFonts w:eastAsiaTheme="minorEastAsia"/>
          <w:color w:val="000000" w:themeColor="text1"/>
          <w:kern w:val="0"/>
          <w:sz w:val="21"/>
          <w:szCs w:val="21"/>
        </w:rPr>
        <w:t>§</w:t>
      </w:r>
      <w:r w:rsidRPr="00894F4E">
        <w:rPr>
          <w:rFonts w:eastAsiaTheme="minorEastAsia"/>
          <w:color w:val="000000" w:themeColor="text1"/>
          <w:kern w:val="0"/>
          <w:sz w:val="24"/>
          <w:szCs w:val="24"/>
        </w:rPr>
        <w:t xml:space="preserve">8 </w:t>
      </w:r>
      <w:r w:rsidRPr="00894F4E">
        <w:rPr>
          <w:rFonts w:eastAsiaTheme="minorEastAsia" w:hint="eastAsia"/>
          <w:color w:val="000000" w:themeColor="text1"/>
          <w:kern w:val="0"/>
          <w:sz w:val="24"/>
          <w:szCs w:val="24"/>
        </w:rPr>
        <w:t>影响投资者决策的其他重要信息</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73734" w:rsidRPr="00973734" w:rsidTr="00EF4FC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73734" w:rsidRPr="00894F4E" w:rsidRDefault="00ED0E09" w:rsidP="00EF4FC8">
            <w:pPr>
              <w:autoSpaceDE w:val="0"/>
              <w:autoSpaceDN w:val="0"/>
              <w:adjustRightInd w:val="0"/>
              <w:jc w:val="center"/>
              <w:rPr>
                <w:rFonts w:ascii="宋体" w:hAnsi="宋体"/>
                <w:b/>
                <w:bCs/>
                <w:color w:val="000000"/>
                <w:sz w:val="24"/>
              </w:rPr>
            </w:pPr>
            <w:r w:rsidRPr="00894F4E">
              <w:rPr>
                <w:rFonts w:ascii="宋体" w:hAnsi="宋体"/>
                <w:b/>
                <w:bCs/>
                <w:color w:val="000000"/>
                <w:kern w:val="0"/>
                <w:sz w:val="24"/>
              </w:rPr>
              <w:t xml:space="preserve">8.1 </w:t>
            </w:r>
            <w:r w:rsidRPr="00894F4E">
              <w:rPr>
                <w:rFonts w:ascii="宋体" w:hAnsi="宋体" w:hint="eastAsia"/>
                <w:b/>
                <w:bCs/>
                <w:color w:val="000000"/>
                <w:kern w:val="0"/>
                <w:sz w:val="24"/>
              </w:rPr>
              <w:t>报告期内单一投资者持有基金份额比例达到或超过</w:t>
            </w:r>
            <w:r w:rsidRPr="00894F4E">
              <w:rPr>
                <w:rFonts w:ascii="宋体" w:hAnsi="宋体"/>
                <w:b/>
                <w:bCs/>
                <w:color w:val="000000"/>
                <w:kern w:val="0"/>
                <w:sz w:val="24"/>
              </w:rPr>
              <w:t>20%的情况</w:t>
            </w:r>
            <w:r w:rsidR="00973734" w:rsidRPr="00894F4E">
              <w:rPr>
                <w:rFonts w:ascii="宋体" w:hAnsi="宋体" w:hint="eastAsia"/>
                <w:color w:val="000000"/>
                <w:sz w:val="24"/>
              </w:rPr>
              <w:t>投资者类别</w:t>
            </w:r>
            <w:r w:rsidR="00973734" w:rsidRPr="00894F4E">
              <w:rPr>
                <w:rFonts w:ascii="宋体" w:hAnsi="宋体"/>
                <w:color w:val="00000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autoSpaceDE w:val="0"/>
              <w:autoSpaceDN w:val="0"/>
              <w:adjustRightInd w:val="0"/>
              <w:jc w:val="center"/>
              <w:rPr>
                <w:rFonts w:ascii="宋体" w:hAnsi="宋体"/>
                <w:b/>
                <w:bCs/>
                <w:color w:val="000000"/>
                <w:sz w:val="24"/>
              </w:rPr>
            </w:pPr>
            <w:r w:rsidRPr="00894F4E">
              <w:rPr>
                <w:rFonts w:ascii="宋体" w:hAnsi="宋体" w:hint="eastAsia"/>
                <w:color w:val="00000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autoSpaceDE w:val="0"/>
              <w:autoSpaceDN w:val="0"/>
              <w:adjustRightInd w:val="0"/>
              <w:jc w:val="center"/>
              <w:rPr>
                <w:rFonts w:ascii="宋体" w:hAnsi="宋体"/>
                <w:b/>
                <w:bCs/>
                <w:color w:val="000000"/>
                <w:sz w:val="24"/>
              </w:rPr>
            </w:pPr>
            <w:r w:rsidRPr="00894F4E">
              <w:rPr>
                <w:rFonts w:ascii="宋体" w:hAnsi="宋体" w:hint="eastAsia"/>
                <w:color w:val="000000"/>
                <w:sz w:val="24"/>
              </w:rPr>
              <w:t>报告期末持有基金情况</w:t>
            </w:r>
          </w:p>
        </w:tc>
      </w:tr>
      <w:tr w:rsidR="00973734" w:rsidRPr="00973734" w:rsidTr="00EF4FC8">
        <w:tc>
          <w:tcPr>
            <w:tcW w:w="9212" w:type="dxa"/>
            <w:vMerge/>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left"/>
              <w:rPr>
                <w:rFonts w:ascii="宋体" w:hAnsi="宋体"/>
                <w:b/>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autoSpaceDE w:val="0"/>
              <w:autoSpaceDN w:val="0"/>
              <w:adjustRightInd w:val="0"/>
              <w:jc w:val="center"/>
              <w:rPr>
                <w:rFonts w:ascii="宋体" w:hAnsi="宋体"/>
                <w:b/>
                <w:bCs/>
                <w:color w:val="000000"/>
                <w:sz w:val="24"/>
              </w:rPr>
            </w:pPr>
            <w:r w:rsidRPr="00894F4E">
              <w:rPr>
                <w:rFonts w:ascii="宋体" w:hAnsi="宋体" w:hint="eastAsia"/>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autoSpaceDE w:val="0"/>
              <w:autoSpaceDN w:val="0"/>
              <w:adjustRightInd w:val="0"/>
              <w:jc w:val="center"/>
              <w:rPr>
                <w:rFonts w:ascii="宋体" w:hAnsi="宋体"/>
                <w:b/>
                <w:bCs/>
                <w:color w:val="000000"/>
                <w:sz w:val="24"/>
              </w:rPr>
            </w:pPr>
            <w:r w:rsidRPr="00894F4E">
              <w:rPr>
                <w:rFonts w:ascii="宋体" w:hAnsi="宋体" w:hint="eastAsia"/>
                <w:color w:val="000000"/>
                <w:sz w:val="24"/>
              </w:rPr>
              <w:t>持有基金份额比例达到或者超过</w:t>
            </w:r>
            <w:r w:rsidRPr="00894F4E">
              <w:rPr>
                <w:rFonts w:ascii="宋体" w:hAnsi="宋体"/>
                <w:color w:val="000000"/>
                <w:sz w:val="24"/>
              </w:rPr>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rFonts w:ascii="宋体" w:hAnsi="宋体"/>
                <w:b/>
                <w:bCs/>
                <w:color w:val="000000"/>
                <w:sz w:val="24"/>
              </w:rPr>
            </w:pPr>
            <w:r w:rsidRPr="00894F4E">
              <w:rPr>
                <w:rFonts w:ascii="宋体" w:hAnsi="宋体" w:hint="eastAsia"/>
                <w:color w:val="00000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rFonts w:ascii="宋体" w:hAnsi="宋体"/>
                <w:b/>
                <w:bCs/>
                <w:color w:val="000000"/>
                <w:sz w:val="24"/>
              </w:rPr>
            </w:pPr>
            <w:r w:rsidRPr="00894F4E">
              <w:rPr>
                <w:rFonts w:ascii="宋体" w:hAnsi="宋体" w:hint="eastAsia"/>
                <w:color w:val="00000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rFonts w:ascii="宋体" w:hAnsi="宋体"/>
                <w:b/>
                <w:bCs/>
                <w:color w:val="000000"/>
                <w:sz w:val="24"/>
              </w:rPr>
            </w:pPr>
            <w:r w:rsidRPr="00894F4E">
              <w:rPr>
                <w:rFonts w:ascii="宋体" w:hAnsi="宋体" w:hint="eastAsia"/>
                <w:color w:val="00000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autoSpaceDE w:val="0"/>
              <w:autoSpaceDN w:val="0"/>
              <w:adjustRightInd w:val="0"/>
              <w:jc w:val="center"/>
              <w:rPr>
                <w:rFonts w:ascii="宋体" w:hAnsi="宋体"/>
                <w:b/>
                <w:bCs/>
                <w:color w:val="000000"/>
                <w:sz w:val="24"/>
              </w:rPr>
            </w:pPr>
            <w:r w:rsidRPr="00894F4E">
              <w:rPr>
                <w:rFonts w:ascii="宋体" w:hAnsi="宋体" w:hint="eastAsia"/>
                <w:color w:val="00000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autoSpaceDE w:val="0"/>
              <w:autoSpaceDN w:val="0"/>
              <w:adjustRightInd w:val="0"/>
              <w:jc w:val="center"/>
              <w:rPr>
                <w:rFonts w:ascii="宋体" w:hAnsi="宋体"/>
                <w:b/>
                <w:bCs/>
                <w:color w:val="000000"/>
                <w:sz w:val="24"/>
              </w:rPr>
            </w:pPr>
            <w:r w:rsidRPr="00894F4E">
              <w:rPr>
                <w:rFonts w:ascii="宋体" w:hAnsi="宋体" w:hint="eastAsia"/>
                <w:color w:val="000000"/>
                <w:sz w:val="24"/>
              </w:rPr>
              <w:t>份额占比</w:t>
            </w:r>
          </w:p>
        </w:tc>
      </w:tr>
      <w:tr w:rsidR="00973734" w:rsidRPr="00973734" w:rsidTr="00EF4FC8">
        <w:tc>
          <w:tcPr>
            <w:tcW w:w="992" w:type="dxa"/>
            <w:vMerge w:val="restart"/>
            <w:tcBorders>
              <w:top w:val="single" w:sz="4" w:space="0" w:color="auto"/>
              <w:left w:val="single" w:sz="4" w:space="0" w:color="auto"/>
              <w:bottom w:val="single" w:sz="4" w:space="0" w:color="auto"/>
              <w:right w:val="single" w:sz="4" w:space="0" w:color="auto"/>
            </w:tcBorders>
          </w:tcPr>
          <w:p w:rsidR="00973734" w:rsidRPr="00894F4E" w:rsidRDefault="00973734" w:rsidP="00EF4FC8">
            <w:pPr>
              <w:rPr>
                <w:sz w:val="24"/>
              </w:rPr>
            </w:pPr>
          </w:p>
          <w:p w:rsidR="00973734" w:rsidRPr="00894F4E" w:rsidRDefault="00973734" w:rsidP="00EF4FC8">
            <w:pPr>
              <w:rPr>
                <w:sz w:val="24"/>
              </w:rPr>
            </w:pPr>
            <w:r w:rsidRPr="00894F4E">
              <w:rPr>
                <w:rFonts w:ascii="宋体" w:hAnsi="宋体" w:hint="eastAsia"/>
                <w:bCs/>
                <w:color w:val="000000"/>
                <w:sz w:val="24"/>
              </w:rPr>
              <w:t>机构</w:t>
            </w:r>
          </w:p>
        </w:tc>
        <w:tc>
          <w:tcPr>
            <w:tcW w:w="991"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2017/7/1-2017/9/30</w:t>
            </w:r>
          </w:p>
        </w:tc>
        <w:tc>
          <w:tcPr>
            <w:tcW w:w="851"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500,044,000.00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500,044,000.00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72.08%</w:t>
            </w:r>
          </w:p>
        </w:tc>
      </w:tr>
      <w:tr w:rsidR="00973734" w:rsidRPr="00973734" w:rsidTr="00EF4FC8">
        <w:tc>
          <w:tcPr>
            <w:tcW w:w="9212" w:type="dxa"/>
            <w:vMerge/>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left"/>
              <w:rPr>
                <w:sz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2017/7/1/-2017/9/30</w:t>
            </w:r>
          </w:p>
        </w:tc>
        <w:tc>
          <w:tcPr>
            <w:tcW w:w="851"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193,609,874.15</w:t>
            </w:r>
          </w:p>
        </w:tc>
        <w:tc>
          <w:tcPr>
            <w:tcW w:w="850"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193,609,874.15</w:t>
            </w:r>
          </w:p>
        </w:tc>
        <w:tc>
          <w:tcPr>
            <w:tcW w:w="1130" w:type="dxa"/>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jc w:val="center"/>
              <w:rPr>
                <w:sz w:val="24"/>
              </w:rPr>
            </w:pPr>
            <w:r w:rsidRPr="00894F4E">
              <w:rPr>
                <w:rFonts w:ascii="宋体" w:hAnsi="宋体"/>
                <w:color w:val="000000"/>
                <w:sz w:val="24"/>
              </w:rPr>
              <w:t>27.91%</w:t>
            </w:r>
          </w:p>
        </w:tc>
      </w:tr>
      <w:tr w:rsidR="00973734" w:rsidRPr="00973734" w:rsidTr="00EF4FC8">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autoSpaceDE w:val="0"/>
              <w:autoSpaceDN w:val="0"/>
              <w:adjustRightInd w:val="0"/>
              <w:jc w:val="center"/>
              <w:rPr>
                <w:rFonts w:ascii="宋体" w:hAnsi="宋体"/>
                <w:sz w:val="24"/>
              </w:rPr>
            </w:pPr>
            <w:r w:rsidRPr="00894F4E">
              <w:rPr>
                <w:rFonts w:ascii="宋体" w:hAnsi="宋体" w:hint="eastAsia"/>
                <w:color w:val="000000"/>
                <w:sz w:val="24"/>
              </w:rPr>
              <w:t>产品特有风险</w:t>
            </w:r>
          </w:p>
        </w:tc>
      </w:tr>
      <w:tr w:rsidR="00973734" w:rsidRPr="00973734" w:rsidTr="00EF4FC8">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973734" w:rsidRPr="00894F4E" w:rsidRDefault="00973734" w:rsidP="00EF4FC8">
            <w:pPr>
              <w:autoSpaceDE w:val="0"/>
              <w:autoSpaceDN w:val="0"/>
              <w:adjustRightInd w:val="0"/>
              <w:jc w:val="left"/>
              <w:rPr>
                <w:rFonts w:ascii="宋体" w:hAnsi="宋体"/>
                <w:sz w:val="24"/>
              </w:rPr>
            </w:pPr>
            <w:r w:rsidRPr="00894F4E">
              <w:rPr>
                <w:rFonts w:ascii="宋体" w:hAnsi="宋体" w:hint="eastAsia"/>
                <w:sz w:val="24"/>
              </w:rPr>
              <w:t>本基金本报告期内出现单一投资者持有基金份额比例超过基金总份额</w:t>
            </w:r>
            <w:r w:rsidRPr="00894F4E">
              <w:rPr>
                <w:rFonts w:ascii="宋体" w:hAnsi="宋体"/>
                <w:sz w:val="24"/>
              </w:rPr>
              <w:t>20%的情况。如该类投资者集中赎回，可能会对本基金带来流动性冲击，从而影响基金的投资运作和收益水平。基金管理人将加强流动性管理，防范相关风险，保护持有人利益。</w:t>
            </w:r>
          </w:p>
        </w:tc>
      </w:tr>
    </w:tbl>
    <w:p w:rsidR="00973734" w:rsidRPr="00973734" w:rsidRDefault="00973734" w:rsidP="00973734">
      <w:pPr>
        <w:autoSpaceDE w:val="0"/>
        <w:autoSpaceDN w:val="0"/>
        <w:adjustRightInd w:val="0"/>
        <w:spacing w:line="360" w:lineRule="auto"/>
        <w:jc w:val="left"/>
        <w:rPr>
          <w:rFonts w:ascii="宋体" w:hAnsi="宋体"/>
          <w:b/>
          <w:bCs/>
          <w:color w:val="000000"/>
          <w:kern w:val="0"/>
          <w:szCs w:val="21"/>
        </w:rPr>
      </w:pPr>
    </w:p>
    <w:p w:rsidR="00175E3A" w:rsidRPr="007032A6" w:rsidRDefault="009238DB" w:rsidP="000957D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41068D" w:rsidRDefault="000957D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B9" w:rsidRDefault="00F509B9">
      <w:r>
        <w:separator/>
      </w:r>
    </w:p>
  </w:endnote>
  <w:endnote w:type="continuationSeparator" w:id="0">
    <w:p w:rsidR="00F509B9" w:rsidRDefault="00F5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E3" w:rsidRPr="001D0DB0" w:rsidRDefault="002014E3"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B6F1C">
      <w:rPr>
        <w:noProof/>
        <w:kern w:val="0"/>
        <w:szCs w:val="21"/>
      </w:rPr>
      <w:t>11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B6F1C">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E3" w:rsidRDefault="002014E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14E3" w:rsidRDefault="002014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B9" w:rsidRDefault="00F509B9">
      <w:r>
        <w:separator/>
      </w:r>
    </w:p>
  </w:footnote>
  <w:footnote w:type="continuationSeparator" w:id="0">
    <w:p w:rsidR="00F509B9" w:rsidRDefault="00F50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4E3" w:rsidRPr="002567DB" w:rsidRDefault="00FB6F1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7DB"/>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A6D00"/>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14E3"/>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68D"/>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2EB4"/>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CCD"/>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4F4E"/>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734"/>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09B9"/>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6F1C"/>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FEF89A8-EA72-4606-85E9-81F41A81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088">
      <w:bodyDiv w:val="1"/>
      <w:marLeft w:val="0"/>
      <w:marRight w:val="0"/>
      <w:marTop w:val="0"/>
      <w:marBottom w:val="0"/>
      <w:divBdr>
        <w:top w:val="none" w:sz="0" w:space="0" w:color="auto"/>
        <w:left w:val="none" w:sz="0" w:space="0" w:color="auto"/>
        <w:bottom w:val="none" w:sz="0" w:space="0" w:color="auto"/>
        <w:right w:val="none" w:sz="0" w:space="0" w:color="auto"/>
      </w:divBdr>
    </w:div>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4924-E6B5-4B61-951D-66390E4E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202</TotalTime>
  <Pages>15</Pages>
  <Words>1235</Words>
  <Characters>7046</Characters>
  <Application>Microsoft Office Word</Application>
  <DocSecurity>0</DocSecurity>
  <Lines>58</Lines>
  <Paragraphs>16</Paragraphs>
  <ScaleCrop>false</ScaleCrop>
  <Company>TRT. Ltd. Co.</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375</cp:revision>
  <cp:lastPrinted>2007-07-19T00:46:00Z</cp:lastPrinted>
  <dcterms:created xsi:type="dcterms:W3CDTF">2014-01-17T06:19:00Z</dcterms:created>
  <dcterms:modified xsi:type="dcterms:W3CDTF">2017-10-24T02:20:00Z</dcterms:modified>
</cp:coreProperties>
</file>