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bookmarkStart w:id="0" w:name="_GoBack"/>
      <w:bookmarkEnd w:id="0"/>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交银施罗德丰硕收益债券型证券投资基金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2017</w:t>
      </w:r>
      <w:r w:rsidRPr="00087F8A">
        <w:rPr>
          <w:rFonts w:eastAsiaTheme="minorEastAsia"/>
          <w:b/>
          <w:sz w:val="36"/>
          <w:szCs w:val="36"/>
        </w:rPr>
        <w:t>年第</w:t>
      </w:r>
      <w:r w:rsidRPr="00087F8A">
        <w:rPr>
          <w:rFonts w:eastAsiaTheme="minorEastAsia"/>
          <w:b/>
          <w:sz w:val="36"/>
          <w:szCs w:val="36"/>
        </w:rPr>
        <w:t>3</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2017</w:t>
      </w:r>
      <w:r w:rsidRPr="00087F8A">
        <w:rPr>
          <w:rFonts w:eastAsiaTheme="minorEastAsia"/>
          <w:b/>
          <w:sz w:val="36"/>
          <w:szCs w:val="36"/>
        </w:rPr>
        <w:t>年</w:t>
      </w:r>
      <w:r w:rsidRPr="00087F8A">
        <w:rPr>
          <w:rFonts w:eastAsiaTheme="minorEastAsia"/>
          <w:b/>
          <w:sz w:val="36"/>
          <w:szCs w:val="36"/>
        </w:rPr>
        <w:t>9</w:t>
      </w:r>
      <w:r w:rsidRPr="00087F8A">
        <w:rPr>
          <w:rFonts w:eastAsiaTheme="minorEastAsia"/>
          <w:b/>
          <w:sz w:val="36"/>
          <w:szCs w:val="36"/>
        </w:rPr>
        <w:t>月</w:t>
      </w:r>
      <w:r w:rsidRPr="00087F8A">
        <w:rPr>
          <w:rFonts w:eastAsiaTheme="minorEastAsia"/>
          <w:b/>
          <w:sz w:val="36"/>
          <w:szCs w:val="36"/>
        </w:rPr>
        <w:t>30</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二〇一七年十月二十五日</w:t>
      </w:r>
    </w:p>
    <w:p w:rsidR="00220542" w:rsidRPr="00405493" w:rsidRDefault="00220542" w:rsidP="0099335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6B618A" w:rsidRDefault="00E96BA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B618A" w:rsidRDefault="00E96BA5">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B618A" w:rsidRDefault="00E96BA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B618A" w:rsidRDefault="00E96BA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B618A" w:rsidRDefault="00E96BA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7</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9335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交银丰硕收益债券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519758</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519758</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w:t>
            </w:r>
            <w:r w:rsidRPr="00405493">
              <w:rPr>
                <w:rFonts w:eastAsiaTheme="minorEastAsia"/>
                <w:color w:val="000000"/>
                <w:kern w:val="0"/>
                <w:sz w:val="24"/>
              </w:rPr>
              <w:t>,</w:t>
            </w:r>
            <w:r w:rsidRPr="00405493">
              <w:rPr>
                <w:rFonts w:eastAsiaTheme="minorEastAsia"/>
                <w:color w:val="000000"/>
                <w:kern w:val="0"/>
                <w:sz w:val="24"/>
              </w:rPr>
              <w:t>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11</w:t>
            </w:r>
            <w:r w:rsidRPr="00405493">
              <w:rPr>
                <w:rFonts w:eastAsiaTheme="minorEastAsia"/>
                <w:color w:val="000000"/>
                <w:kern w:val="0"/>
                <w:sz w:val="24"/>
              </w:rPr>
              <w:t>月</w:t>
            </w:r>
            <w:r w:rsidRPr="00405493">
              <w:rPr>
                <w:rFonts w:eastAsiaTheme="minorEastAsia"/>
                <w:color w:val="000000"/>
                <w:kern w:val="0"/>
                <w:sz w:val="24"/>
              </w:rPr>
              <w:t>9</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438,630,665.79</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在有效控制风险的前提下</w:t>
            </w:r>
            <w:r w:rsidRPr="00405493">
              <w:rPr>
                <w:rFonts w:eastAsiaTheme="minorEastAsia"/>
                <w:color w:val="000000"/>
                <w:kern w:val="0"/>
                <w:sz w:val="24"/>
              </w:rPr>
              <w:t>,</w:t>
            </w:r>
            <w:r w:rsidRPr="00405493">
              <w:rPr>
                <w:rFonts w:eastAsiaTheme="minorEastAsia"/>
                <w:color w:val="000000"/>
                <w:kern w:val="0"/>
                <w:sz w:val="24"/>
              </w:rPr>
              <w:t>力求获得高于业绩基准的投资收益。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关系和收益率水平等，自下而上精选投资标的。</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r w:rsidRPr="00405493">
              <w:rPr>
                <w:rFonts w:eastAsiaTheme="minorEastAsia"/>
                <w:color w:val="000000"/>
                <w:kern w:val="0"/>
                <w:sz w:val="24"/>
              </w:rPr>
              <w:t>+1.25%</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注：本基金在基金合同生效之日起两年（含两年）的期间内封闭式运作（按照基金合同的约定提前转换基金运作方式的除外）。封闭期内，基金投资者不能申购、赎回本基金基金份额，即</w:t>
      </w:r>
      <w:r w:rsidRPr="00405493">
        <w:rPr>
          <w:rFonts w:eastAsiaTheme="minorEastAsia"/>
          <w:color w:val="000000"/>
          <w:sz w:val="24"/>
        </w:rPr>
        <w:t>C</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9335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E96BA5" w:rsidRPr="00405493" w:rsidTr="00E96BA5">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7</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w:t>
            </w:r>
            <w:r w:rsidRPr="00405493">
              <w:rPr>
                <w:rFonts w:eastAsiaTheme="minorEastAsia"/>
                <w:color w:val="000000"/>
                <w:sz w:val="24"/>
              </w:rPr>
              <w:t>)</w:t>
            </w:r>
          </w:p>
        </w:tc>
      </w:tr>
      <w:tr w:rsidR="00E96BA5" w:rsidRPr="00405493" w:rsidTr="00E96BA5">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-2,288,296.78</w:t>
            </w:r>
          </w:p>
        </w:tc>
      </w:tr>
      <w:tr w:rsidR="00E96BA5" w:rsidRPr="00405493" w:rsidTr="00E96BA5">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3,874,013.37</w:t>
            </w:r>
          </w:p>
        </w:tc>
      </w:tr>
      <w:tr w:rsidR="00E96BA5" w:rsidRPr="00405493" w:rsidTr="00E96BA5">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0.0088</w:t>
            </w:r>
          </w:p>
        </w:tc>
      </w:tr>
      <w:tr w:rsidR="00E96BA5" w:rsidRPr="00405493" w:rsidTr="00E96BA5">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437,553,123.20</w:t>
            </w:r>
          </w:p>
        </w:tc>
      </w:tr>
      <w:tr w:rsidR="00E96BA5" w:rsidRPr="00405493" w:rsidTr="00E96BA5">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0.998</w:t>
            </w:r>
          </w:p>
        </w:tc>
      </w:tr>
    </w:tbl>
    <w:p w:rsidR="006B618A" w:rsidRDefault="00E96BA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r w:rsidRPr="00405493">
        <w:rPr>
          <w:rFonts w:eastAsiaTheme="minorEastAsia"/>
          <w:color w:val="000000"/>
          <w:sz w:val="24"/>
        </w:rPr>
        <w:t xml:space="preserve">   </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b/>
            <w:color w:val="000000"/>
            <w:kern w:val="0"/>
            <w:sz w:val="24"/>
          </w:rPr>
          <w:t>3.2.1</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6B618A">
        <w:trPr>
          <w:jc w:val="center"/>
        </w:trPr>
        <w:tc>
          <w:tcPr>
            <w:tcW w:w="1448" w:type="dxa"/>
            <w:vAlign w:val="center"/>
          </w:tcPr>
          <w:p w:rsidR="006B618A" w:rsidRDefault="00E96BA5">
            <w:pPr>
              <w:jc w:val="left"/>
            </w:pPr>
            <w:r>
              <w:rPr>
                <w:rFonts w:eastAsiaTheme="minorEastAsia"/>
                <w:color w:val="000000"/>
                <w:sz w:val="24"/>
              </w:rPr>
              <w:lastRenderedPageBreak/>
              <w:t>过去三个月</w:t>
            </w:r>
          </w:p>
        </w:tc>
        <w:tc>
          <w:tcPr>
            <w:tcW w:w="1134" w:type="dxa"/>
            <w:vAlign w:val="center"/>
          </w:tcPr>
          <w:p w:rsidR="006B618A" w:rsidRDefault="00E96BA5">
            <w:pPr>
              <w:jc w:val="center"/>
            </w:pPr>
            <w:r>
              <w:rPr>
                <w:rFonts w:eastAsiaTheme="minorEastAsia"/>
                <w:color w:val="000000"/>
                <w:sz w:val="24"/>
              </w:rPr>
              <w:t>0.91%</w:t>
            </w:r>
          </w:p>
        </w:tc>
        <w:tc>
          <w:tcPr>
            <w:tcW w:w="1206" w:type="dxa"/>
            <w:vAlign w:val="center"/>
          </w:tcPr>
          <w:p w:rsidR="006B618A" w:rsidRDefault="00E96BA5">
            <w:pPr>
              <w:jc w:val="center"/>
            </w:pPr>
            <w:r>
              <w:rPr>
                <w:rFonts w:eastAsiaTheme="minorEastAsia"/>
                <w:color w:val="000000"/>
                <w:sz w:val="24"/>
              </w:rPr>
              <w:t>0.05%</w:t>
            </w:r>
          </w:p>
        </w:tc>
        <w:tc>
          <w:tcPr>
            <w:tcW w:w="1227" w:type="dxa"/>
            <w:vAlign w:val="center"/>
          </w:tcPr>
          <w:p w:rsidR="006B618A" w:rsidRDefault="00E96BA5">
            <w:pPr>
              <w:jc w:val="center"/>
            </w:pPr>
            <w:r>
              <w:rPr>
                <w:rFonts w:eastAsiaTheme="minorEastAsia"/>
                <w:color w:val="000000"/>
                <w:sz w:val="24"/>
              </w:rPr>
              <w:t>0.86%</w:t>
            </w:r>
          </w:p>
        </w:tc>
        <w:tc>
          <w:tcPr>
            <w:tcW w:w="1234" w:type="dxa"/>
            <w:vAlign w:val="center"/>
          </w:tcPr>
          <w:p w:rsidR="006B618A" w:rsidRDefault="00E96BA5">
            <w:pPr>
              <w:jc w:val="center"/>
            </w:pPr>
            <w:r>
              <w:rPr>
                <w:rFonts w:eastAsiaTheme="minorEastAsia"/>
                <w:color w:val="000000"/>
                <w:sz w:val="24"/>
              </w:rPr>
              <w:t>0.01%</w:t>
            </w:r>
          </w:p>
        </w:tc>
        <w:tc>
          <w:tcPr>
            <w:tcW w:w="1246" w:type="dxa"/>
            <w:vAlign w:val="center"/>
          </w:tcPr>
          <w:p w:rsidR="006B618A" w:rsidRDefault="00E96BA5">
            <w:pPr>
              <w:jc w:val="center"/>
            </w:pPr>
            <w:r>
              <w:rPr>
                <w:rFonts w:eastAsiaTheme="minorEastAsia"/>
                <w:color w:val="000000"/>
                <w:sz w:val="24"/>
              </w:rPr>
              <w:t>0.05%</w:t>
            </w:r>
          </w:p>
        </w:tc>
        <w:tc>
          <w:tcPr>
            <w:tcW w:w="1373" w:type="dxa"/>
            <w:vAlign w:val="center"/>
          </w:tcPr>
          <w:p w:rsidR="006B618A" w:rsidRDefault="00E96BA5">
            <w:pPr>
              <w:jc w:val="center"/>
            </w:pPr>
            <w:r>
              <w:rPr>
                <w:rFonts w:eastAsiaTheme="minorEastAsia"/>
                <w:color w:val="000000"/>
                <w:sz w:val="24"/>
              </w:rPr>
              <w:t>0.04%</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交银施罗德丰硕收益债券型证券投资基金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9</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2017</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9</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30</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9335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6B618A">
        <w:trPr>
          <w:jc w:val="center"/>
        </w:trPr>
        <w:tc>
          <w:tcPr>
            <w:tcW w:w="846" w:type="dxa"/>
            <w:vAlign w:val="center"/>
          </w:tcPr>
          <w:p w:rsidR="006B618A" w:rsidRDefault="00E96BA5">
            <w:pPr>
              <w:jc w:val="center"/>
            </w:pPr>
            <w:r>
              <w:rPr>
                <w:rFonts w:eastAsiaTheme="minorEastAsia"/>
                <w:color w:val="000000"/>
                <w:sz w:val="24"/>
              </w:rPr>
              <w:t>于海颖</w:t>
            </w:r>
          </w:p>
        </w:tc>
        <w:tc>
          <w:tcPr>
            <w:tcW w:w="845" w:type="dxa"/>
            <w:vAlign w:val="center"/>
          </w:tcPr>
          <w:p w:rsidR="006B618A" w:rsidRDefault="00E96BA5">
            <w:pPr>
              <w:jc w:val="center"/>
            </w:pPr>
            <w:r>
              <w:rPr>
                <w:rFonts w:eastAsiaTheme="minorEastAsia"/>
                <w:color w:val="000000"/>
                <w:sz w:val="24"/>
              </w:rPr>
              <w:t>交银增利债券、交银纯债债券发起、</w:t>
            </w:r>
            <w:r>
              <w:rPr>
                <w:rFonts w:eastAsiaTheme="minorEastAsia"/>
                <w:color w:val="000000"/>
                <w:sz w:val="24"/>
              </w:rPr>
              <w:lastRenderedPageBreak/>
              <w:t>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549" w:type="dxa"/>
            <w:vAlign w:val="center"/>
          </w:tcPr>
          <w:p w:rsidR="006B618A" w:rsidRDefault="00E96BA5">
            <w:pPr>
              <w:jc w:val="center"/>
            </w:pPr>
            <w:r>
              <w:rPr>
                <w:rFonts w:eastAsiaTheme="minorEastAsia"/>
                <w:color w:val="000000"/>
                <w:sz w:val="24"/>
              </w:rPr>
              <w:lastRenderedPageBreak/>
              <w:t>2017-06-10</w:t>
            </w:r>
          </w:p>
        </w:tc>
        <w:tc>
          <w:tcPr>
            <w:tcW w:w="1548" w:type="dxa"/>
            <w:vAlign w:val="center"/>
          </w:tcPr>
          <w:p w:rsidR="006B618A" w:rsidRDefault="00E96BA5">
            <w:pPr>
              <w:jc w:val="center"/>
            </w:pPr>
            <w:r>
              <w:rPr>
                <w:rFonts w:eastAsiaTheme="minorEastAsia"/>
                <w:color w:val="000000"/>
                <w:sz w:val="24"/>
              </w:rPr>
              <w:t>-</w:t>
            </w:r>
          </w:p>
        </w:tc>
        <w:tc>
          <w:tcPr>
            <w:tcW w:w="1407" w:type="dxa"/>
            <w:vAlign w:val="center"/>
          </w:tcPr>
          <w:p w:rsidR="006B618A" w:rsidRDefault="00E96BA5">
            <w:pPr>
              <w:jc w:val="center"/>
            </w:pPr>
            <w:r>
              <w:rPr>
                <w:rFonts w:eastAsiaTheme="minorEastAsia"/>
                <w:color w:val="000000"/>
                <w:sz w:val="24"/>
              </w:rPr>
              <w:t>11</w:t>
            </w:r>
            <w:r>
              <w:rPr>
                <w:rFonts w:eastAsiaTheme="minorEastAsia"/>
                <w:color w:val="000000"/>
                <w:sz w:val="24"/>
              </w:rPr>
              <w:t>年</w:t>
            </w:r>
          </w:p>
        </w:tc>
        <w:tc>
          <w:tcPr>
            <w:tcW w:w="2673" w:type="dxa"/>
            <w:vAlign w:val="center"/>
          </w:tcPr>
          <w:p w:rsidR="006B618A" w:rsidRDefault="00E96BA5">
            <w:r>
              <w:rPr>
                <w:rFonts w:eastAsiaTheme="minorEastAsia"/>
                <w:color w:val="000000"/>
                <w:sz w:val="24"/>
              </w:rPr>
              <w:t>于海颖女士，天津大学数量经济学硕士、经济学学士。历任北方国际信托投资股份有限公司固定收益研究员，光大保德信基金管理有限公司交易员、基金经理助</w:t>
            </w:r>
            <w:r>
              <w:rPr>
                <w:rFonts w:eastAsiaTheme="minorEastAsia"/>
                <w:color w:val="000000"/>
                <w:sz w:val="24"/>
              </w:rPr>
              <w:lastRenderedPageBreak/>
              <w:t>理、基金经理，银华基金管理有限公司基金经理，五矿证券有限公司固定收益事业部投资管理部总经理。其中</w:t>
            </w:r>
            <w:r>
              <w:rPr>
                <w:rFonts w:eastAsiaTheme="minorEastAsia"/>
                <w:color w:val="000000"/>
                <w:sz w:val="24"/>
              </w:rPr>
              <w:t>2007</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9</w:t>
            </w:r>
            <w:r>
              <w:rPr>
                <w:rFonts w:eastAsiaTheme="minorEastAsia"/>
                <w:color w:val="000000"/>
                <w:sz w:val="24"/>
              </w:rPr>
              <w:t>日至</w:t>
            </w:r>
            <w:r>
              <w:rPr>
                <w:rFonts w:eastAsiaTheme="minorEastAsia"/>
                <w:color w:val="000000"/>
                <w:sz w:val="24"/>
              </w:rPr>
              <w:t>2010</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30</w:t>
            </w:r>
            <w:r>
              <w:rPr>
                <w:rFonts w:eastAsiaTheme="minorEastAsia"/>
                <w:color w:val="000000"/>
                <w:sz w:val="24"/>
              </w:rPr>
              <w:t>日任光大保德信货币市场基金基金经理，</w:t>
            </w:r>
            <w:r>
              <w:rPr>
                <w:rFonts w:eastAsiaTheme="minorEastAsia"/>
                <w:color w:val="000000"/>
                <w:sz w:val="24"/>
              </w:rPr>
              <w:t>2008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29</w:t>
            </w:r>
            <w:r>
              <w:rPr>
                <w:rFonts w:eastAsiaTheme="minorEastAsia"/>
                <w:color w:val="000000"/>
                <w:sz w:val="24"/>
              </w:rPr>
              <w:t>日至</w:t>
            </w:r>
            <w:r>
              <w:rPr>
                <w:rFonts w:eastAsiaTheme="minorEastAsia"/>
                <w:color w:val="000000"/>
                <w:sz w:val="24"/>
              </w:rPr>
              <w:t>2010</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30</w:t>
            </w:r>
            <w:r>
              <w:rPr>
                <w:rFonts w:eastAsiaTheme="minorEastAsia"/>
                <w:color w:val="000000"/>
                <w:sz w:val="24"/>
              </w:rPr>
              <w:t>日任光大保德信增利收益债券型证券投资基金基金经理，</w:t>
            </w:r>
            <w:r>
              <w:rPr>
                <w:rFonts w:eastAsiaTheme="minorEastAsia"/>
                <w:color w:val="000000"/>
                <w:sz w:val="24"/>
              </w:rPr>
              <w:t>2011</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28</w:t>
            </w:r>
            <w:r>
              <w:rPr>
                <w:rFonts w:eastAsiaTheme="minorEastAsia"/>
                <w:color w:val="000000"/>
                <w:sz w:val="24"/>
              </w:rPr>
              <w:t>日至</w:t>
            </w:r>
            <w:r>
              <w:rPr>
                <w:rFonts w:eastAsiaTheme="minorEastAsia"/>
                <w:color w:val="000000"/>
                <w:sz w:val="24"/>
              </w:rPr>
              <w:t>2013</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16</w:t>
            </w:r>
            <w:r>
              <w:rPr>
                <w:rFonts w:eastAsiaTheme="minorEastAsia"/>
                <w:color w:val="000000"/>
                <w:sz w:val="24"/>
              </w:rPr>
              <w:t>日任银华永祥保本混合型证券投资基金基金经理，</w:t>
            </w:r>
            <w:r>
              <w:rPr>
                <w:rFonts w:eastAsiaTheme="minorEastAsia"/>
                <w:color w:val="000000"/>
                <w:sz w:val="24"/>
              </w:rPr>
              <w:t>2011</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24</w:t>
            </w:r>
            <w:r>
              <w:rPr>
                <w:rFonts w:eastAsiaTheme="minorEastAsia"/>
                <w:color w:val="000000"/>
                <w:sz w:val="24"/>
              </w:rPr>
              <w:t>日任银华货币市场证券投资基金基金经理，</w:t>
            </w:r>
            <w:r>
              <w:rPr>
                <w:rFonts w:eastAsiaTheme="minorEastAsia"/>
                <w:color w:val="000000"/>
                <w:sz w:val="24"/>
              </w:rPr>
              <w:t>2012</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9</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7</w:t>
            </w:r>
            <w:r>
              <w:rPr>
                <w:rFonts w:eastAsiaTheme="minorEastAsia"/>
                <w:color w:val="000000"/>
                <w:sz w:val="24"/>
              </w:rPr>
              <w:t>日任银华纯债信用主题债券型证券投资基金（</w:t>
            </w:r>
            <w:r>
              <w:rPr>
                <w:rFonts w:eastAsiaTheme="minorEastAsia"/>
                <w:color w:val="000000"/>
                <w:sz w:val="24"/>
              </w:rPr>
              <w:t>LOF</w:t>
            </w:r>
            <w:r>
              <w:rPr>
                <w:rFonts w:eastAsiaTheme="minorEastAsia"/>
                <w:color w:val="000000"/>
                <w:sz w:val="24"/>
              </w:rPr>
              <w:t>）基金经理，</w:t>
            </w:r>
            <w:r>
              <w:rPr>
                <w:rFonts w:eastAsiaTheme="minorEastAsia"/>
                <w:color w:val="000000"/>
                <w:sz w:val="24"/>
              </w:rPr>
              <w:t>2013</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24</w:t>
            </w:r>
            <w:r>
              <w:rPr>
                <w:rFonts w:eastAsiaTheme="minorEastAsia"/>
                <w:color w:val="000000"/>
                <w:sz w:val="24"/>
              </w:rPr>
              <w:t>日任银华交易型货币市场基金基金经理，</w:t>
            </w:r>
            <w:r>
              <w:rPr>
                <w:rFonts w:eastAsiaTheme="minorEastAsia"/>
                <w:color w:val="000000"/>
                <w:sz w:val="24"/>
              </w:rPr>
              <w:t>2013</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7</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7</w:t>
            </w:r>
            <w:r>
              <w:rPr>
                <w:rFonts w:eastAsiaTheme="minorEastAsia"/>
                <w:color w:val="000000"/>
                <w:sz w:val="24"/>
              </w:rPr>
              <w:t>日任银华信用四季红债券型证券投资基金基金经理，</w:t>
            </w:r>
            <w:r>
              <w:rPr>
                <w:rFonts w:eastAsiaTheme="minorEastAsia"/>
                <w:color w:val="000000"/>
                <w:sz w:val="24"/>
              </w:rPr>
              <w:t>2013</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18</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7</w:t>
            </w:r>
            <w:r>
              <w:rPr>
                <w:rFonts w:eastAsiaTheme="minorEastAsia"/>
                <w:color w:val="000000"/>
                <w:sz w:val="24"/>
              </w:rPr>
              <w:t>日任银华信用季季红债券型证券投资基金基金经理，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5</w:t>
            </w:r>
            <w:r>
              <w:rPr>
                <w:rFonts w:eastAsiaTheme="minorEastAsia"/>
                <w:color w:val="000000"/>
                <w:sz w:val="24"/>
              </w:rPr>
              <w:t>月</w:t>
            </w:r>
            <w:r>
              <w:rPr>
                <w:rFonts w:eastAsiaTheme="minorEastAsia"/>
                <w:color w:val="000000"/>
                <w:sz w:val="24"/>
              </w:rPr>
              <w:t>8</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7</w:t>
            </w:r>
            <w:r>
              <w:rPr>
                <w:rFonts w:eastAsiaTheme="minorEastAsia"/>
                <w:color w:val="000000"/>
                <w:sz w:val="24"/>
              </w:rPr>
              <w:t>日任银华信用债券型证券投资基金</w:t>
            </w:r>
            <w:r>
              <w:rPr>
                <w:rFonts w:eastAsiaTheme="minorEastAsia"/>
                <w:color w:val="000000"/>
                <w:sz w:val="24"/>
              </w:rPr>
              <w:t>(LOF)</w:t>
            </w:r>
            <w:r>
              <w:rPr>
                <w:rFonts w:eastAsiaTheme="minorEastAsia"/>
                <w:color w:val="000000"/>
                <w:sz w:val="24"/>
              </w:rPr>
              <w:t>基金经理。</w:t>
            </w:r>
            <w:r>
              <w:rPr>
                <w:rFonts w:eastAsiaTheme="minorEastAsia"/>
                <w:color w:val="000000"/>
                <w:sz w:val="24"/>
              </w:rPr>
              <w:t>2016</w:t>
            </w:r>
            <w:r>
              <w:rPr>
                <w:rFonts w:eastAsiaTheme="minorEastAsia"/>
                <w:color w:val="000000"/>
                <w:sz w:val="24"/>
              </w:rPr>
              <w:t>年加入交银施罗德基金管理有限公司。</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lastRenderedPageBreak/>
        <w:t>注：基金经理（或基金经理小组）期后变动（如有）敬请关注基金管理人发布的相关公</w:t>
      </w:r>
      <w:r w:rsidRPr="00405493">
        <w:rPr>
          <w:rFonts w:eastAsiaTheme="minorEastAsia"/>
          <w:color w:val="000000"/>
          <w:sz w:val="24"/>
        </w:rPr>
        <w:lastRenderedPageBreak/>
        <w:t>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sz w:val="24"/>
          </w:rPr>
          <w:t>4.3.1</w:t>
        </w:r>
      </w:smartTag>
      <w:r w:rsidRPr="00405493">
        <w:rPr>
          <w:sz w:val="24"/>
        </w:rPr>
        <w:t>公平交易制度的执行情况</w:t>
      </w:r>
    </w:p>
    <w:p w:rsidR="006B618A" w:rsidRDefault="00E96BA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B618A" w:rsidRDefault="00E96BA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6B618A" w:rsidRDefault="00E96BA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Pr="00405493">
        <w:rPr>
          <w:b/>
          <w:color w:val="000000"/>
          <w:kern w:val="0"/>
          <w:sz w:val="24"/>
        </w:rPr>
        <w:t>报告期内基金的投资策略和运作分析</w:t>
      </w:r>
    </w:p>
    <w:p w:rsidR="006B618A" w:rsidRDefault="00E96BA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报告期内，供给侧改革继续推进、环保限产趋严带来了工业品价格的剧烈波动，引发了市场对经济增长预期和通胀预期的变化。货币政策维持中性，在超储率位于低位的情况下，伴随着缴准、缴税等时点资金面不时出现紧张局面，非银机构融资成本上升。美元指数大幅走低，人民币升值明显，但外汇占款依然维持流出状态。在国内外多重因素的影响下，报告期内债券市场收益率震荡走高。</w:t>
      </w:r>
    </w:p>
    <w:p w:rsidR="006B618A" w:rsidRDefault="00E96BA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lastRenderedPageBreak/>
        <w:t>报告期内，组合的债券配置继续按照期限匹配的策略，控制组合融资成本，提升组合的静态收益水平，获取稳定的息差收益。考虑到本基金将于四季度封闭期到期，本组合择机置换了部分期限匹配且收益较好的高等级存单。</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四季度，经济基本面对债市形成一定支撑，上半年需求较强的房地产、基建和出口均显出一定的疲态，我们预计这些因素将带动名义增速逐步下行，但是监管政策仍未落地、通胀预期升温、海外货币政策紧缩等因素对债券市场仍然存在制约，我们判断债券收益率或将震荡下行。组合操作上，我们或将维持目前的债券久期配置，并将根据组合的个券流动性和期限情况逐步进行置换操作。</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日，本基金份额净值为</w:t>
      </w:r>
      <w:r w:rsidRPr="00405493">
        <w:rPr>
          <w:rFonts w:eastAsiaTheme="minorEastAsia"/>
          <w:color w:val="000000"/>
          <w:sz w:val="24"/>
        </w:rPr>
        <w:t>0.998</w:t>
      </w:r>
      <w:r w:rsidRPr="00405493">
        <w:rPr>
          <w:rFonts w:eastAsiaTheme="minorEastAsia"/>
          <w:color w:val="000000"/>
          <w:sz w:val="24"/>
        </w:rPr>
        <w:t>元，本报告期份额净值增长率为</w:t>
      </w:r>
      <w:r w:rsidRPr="00405493">
        <w:rPr>
          <w:rFonts w:eastAsiaTheme="minorEastAsia"/>
          <w:color w:val="000000"/>
          <w:sz w:val="24"/>
        </w:rPr>
        <w:t>0.91%</w:t>
      </w:r>
      <w:r w:rsidRPr="00405493">
        <w:rPr>
          <w:rFonts w:eastAsiaTheme="minorEastAsia"/>
          <w:color w:val="000000"/>
          <w:sz w:val="24"/>
        </w:rPr>
        <w:t>，同期业绩比较基准增长率为</w:t>
      </w:r>
      <w:r w:rsidRPr="00405493">
        <w:rPr>
          <w:rFonts w:eastAsiaTheme="minorEastAsia"/>
          <w:color w:val="000000"/>
          <w:sz w:val="24"/>
        </w:rPr>
        <w:t>0.86%</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9335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587,321,400.00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97.30</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554,212,000.00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91.81</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33,109,400.00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5.48</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2,533,024.88</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0.42</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13,789,725.11</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2.28</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603,644,149.99</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B47078" w:rsidRPr="00B47078" w:rsidRDefault="00B47078" w:rsidP="00B47078">
      <w:pPr>
        <w:autoSpaceDE w:val="0"/>
        <w:autoSpaceDN w:val="0"/>
        <w:adjustRightInd w:val="0"/>
        <w:spacing w:before="29" w:line="288" w:lineRule="auto"/>
        <w:jc w:val="left"/>
        <w:rPr>
          <w:rFonts w:eastAsiaTheme="minorEastAsia"/>
          <w:b/>
          <w:color w:val="000000"/>
          <w:kern w:val="0"/>
          <w:sz w:val="24"/>
        </w:rPr>
      </w:pPr>
      <w:r w:rsidRPr="00B47078">
        <w:rPr>
          <w:rFonts w:eastAsiaTheme="minorEastAsia" w:hint="eastAsia"/>
          <w:b/>
          <w:color w:val="000000"/>
          <w:kern w:val="0"/>
          <w:sz w:val="24"/>
        </w:rPr>
        <w:t>5.2.1</w:t>
      </w:r>
      <w:r w:rsidRPr="00B47078">
        <w:rPr>
          <w:rFonts w:eastAsiaTheme="minorEastAsia" w:hint="eastAsia"/>
          <w:b/>
          <w:color w:val="000000"/>
          <w:kern w:val="0"/>
          <w:sz w:val="24"/>
        </w:rPr>
        <w:t>报告期末按行业分类的境内股票投资组合</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904B29" w:rsidRPr="00904B29" w:rsidRDefault="00904B29" w:rsidP="00904B29">
      <w:pPr>
        <w:autoSpaceDE w:val="0"/>
        <w:autoSpaceDN w:val="0"/>
        <w:adjustRightInd w:val="0"/>
        <w:spacing w:before="29" w:line="288" w:lineRule="auto"/>
        <w:jc w:val="left"/>
        <w:rPr>
          <w:rFonts w:eastAsiaTheme="minorEastAsia"/>
          <w:b/>
          <w:color w:val="000000"/>
          <w:kern w:val="0"/>
          <w:sz w:val="24"/>
        </w:rPr>
      </w:pPr>
      <w:r w:rsidRPr="00904B29">
        <w:rPr>
          <w:rFonts w:eastAsiaTheme="minorEastAsia" w:hint="eastAsia"/>
          <w:b/>
          <w:color w:val="000000"/>
          <w:kern w:val="0"/>
          <w:sz w:val="24"/>
        </w:rPr>
        <w:t>5.</w:t>
      </w:r>
      <w:r w:rsidRPr="00904B29">
        <w:rPr>
          <w:rFonts w:eastAsiaTheme="minorEastAsia"/>
          <w:b/>
          <w:color w:val="000000"/>
          <w:kern w:val="0"/>
          <w:sz w:val="24"/>
        </w:rPr>
        <w:t>2</w:t>
      </w:r>
      <w:r w:rsidRPr="00904B29">
        <w:rPr>
          <w:rFonts w:eastAsiaTheme="minorEastAsia" w:hint="eastAsia"/>
          <w:b/>
          <w:color w:val="000000"/>
          <w:kern w:val="0"/>
          <w:sz w:val="24"/>
        </w:rPr>
        <w:t>.2</w:t>
      </w:r>
      <w:r w:rsidRPr="00904B29">
        <w:rPr>
          <w:rFonts w:eastAsiaTheme="minorEastAsia" w:hint="eastAsia"/>
          <w:b/>
          <w:color w:val="000000"/>
          <w:kern w:val="0"/>
          <w:sz w:val="24"/>
        </w:rPr>
        <w:t>报告期末按行业分类的</w:t>
      </w:r>
      <w:r w:rsidR="00993352">
        <w:rPr>
          <w:rFonts w:eastAsiaTheme="minorEastAsia" w:hint="eastAsia"/>
          <w:b/>
          <w:color w:val="000000"/>
          <w:kern w:val="0"/>
          <w:sz w:val="24"/>
        </w:rPr>
        <w:t>港股通</w:t>
      </w:r>
      <w:r w:rsidRPr="00904B29">
        <w:rPr>
          <w:rFonts w:eastAsiaTheme="minorEastAsia" w:hint="eastAsia"/>
          <w:b/>
          <w:color w:val="000000"/>
          <w:kern w:val="0"/>
          <w:sz w:val="24"/>
        </w:rPr>
        <w:t>投资股票投资组合</w:t>
      </w:r>
    </w:p>
    <w:p w:rsidR="00904B29" w:rsidRDefault="00904B29" w:rsidP="00904B29">
      <w:pPr>
        <w:spacing w:before="29" w:line="360" w:lineRule="auto"/>
        <w:ind w:left="17"/>
        <w:rPr>
          <w:color w:val="000000"/>
          <w:sz w:val="24"/>
        </w:rPr>
      </w:pPr>
      <w:r w:rsidRPr="00FF0BBF">
        <w:rPr>
          <w:color w:val="000000"/>
          <w:sz w:val="24"/>
        </w:rPr>
        <w:t>本基金本报告期末未持有通过港股通投资的股票。</w:t>
      </w:r>
    </w:p>
    <w:p w:rsidR="00220542" w:rsidRPr="00904B29"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140,778,000.00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32.17</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20,371,000.00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4.66</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393,063,000.00</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89.83</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554,212,000.00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126.66</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6B618A">
        <w:trPr>
          <w:jc w:val="center"/>
        </w:trPr>
        <w:tc>
          <w:tcPr>
            <w:tcW w:w="1302" w:type="dxa"/>
            <w:vAlign w:val="center"/>
          </w:tcPr>
          <w:p w:rsidR="006B618A" w:rsidRDefault="00E96BA5">
            <w:pPr>
              <w:jc w:val="center"/>
            </w:pPr>
            <w:r>
              <w:rPr>
                <w:rFonts w:eastAsiaTheme="minorEastAsia"/>
                <w:color w:val="000000"/>
                <w:sz w:val="24"/>
              </w:rPr>
              <w:t>1</w:t>
            </w:r>
          </w:p>
        </w:tc>
        <w:tc>
          <w:tcPr>
            <w:tcW w:w="1362" w:type="dxa"/>
            <w:vAlign w:val="center"/>
          </w:tcPr>
          <w:p w:rsidR="006B618A" w:rsidRDefault="00E96BA5">
            <w:pPr>
              <w:jc w:val="center"/>
            </w:pPr>
            <w:r>
              <w:rPr>
                <w:rFonts w:eastAsiaTheme="minorEastAsia"/>
                <w:color w:val="000000"/>
                <w:sz w:val="24"/>
              </w:rPr>
              <w:t>111720167</w:t>
            </w:r>
          </w:p>
        </w:tc>
        <w:tc>
          <w:tcPr>
            <w:tcW w:w="1652" w:type="dxa"/>
            <w:vAlign w:val="center"/>
          </w:tcPr>
          <w:p w:rsidR="006B618A" w:rsidRDefault="00E96BA5">
            <w:pPr>
              <w:jc w:val="center"/>
            </w:pPr>
            <w:r>
              <w:rPr>
                <w:rFonts w:eastAsiaTheme="minorEastAsia"/>
                <w:color w:val="000000"/>
                <w:sz w:val="24"/>
              </w:rPr>
              <w:t>17</w:t>
            </w:r>
            <w:r>
              <w:rPr>
                <w:rFonts w:eastAsiaTheme="minorEastAsia"/>
                <w:color w:val="000000"/>
                <w:sz w:val="24"/>
              </w:rPr>
              <w:t>广发银行</w:t>
            </w:r>
            <w:r>
              <w:rPr>
                <w:rFonts w:eastAsiaTheme="minorEastAsia"/>
                <w:color w:val="000000"/>
                <w:sz w:val="24"/>
              </w:rPr>
              <w:t>CD167</w:t>
            </w:r>
          </w:p>
        </w:tc>
        <w:tc>
          <w:tcPr>
            <w:tcW w:w="1417" w:type="dxa"/>
            <w:vAlign w:val="center"/>
          </w:tcPr>
          <w:p w:rsidR="006B618A" w:rsidRDefault="00E96BA5">
            <w:pPr>
              <w:jc w:val="right"/>
            </w:pPr>
            <w:r>
              <w:rPr>
                <w:rFonts w:eastAsiaTheme="minorEastAsia"/>
                <w:color w:val="000000"/>
                <w:sz w:val="24"/>
              </w:rPr>
              <w:t>700,000</w:t>
            </w:r>
          </w:p>
        </w:tc>
        <w:tc>
          <w:tcPr>
            <w:tcW w:w="1701" w:type="dxa"/>
            <w:vAlign w:val="center"/>
          </w:tcPr>
          <w:p w:rsidR="006B618A" w:rsidRDefault="00E96BA5">
            <w:pPr>
              <w:jc w:val="right"/>
            </w:pPr>
            <w:r>
              <w:rPr>
                <w:rFonts w:eastAsiaTheme="minorEastAsia"/>
                <w:color w:val="000000"/>
                <w:sz w:val="24"/>
              </w:rPr>
              <w:t>69,230,000.00</w:t>
            </w:r>
          </w:p>
        </w:tc>
        <w:tc>
          <w:tcPr>
            <w:tcW w:w="1434" w:type="dxa"/>
            <w:vAlign w:val="center"/>
          </w:tcPr>
          <w:p w:rsidR="006B618A" w:rsidRDefault="00E96BA5">
            <w:pPr>
              <w:jc w:val="right"/>
            </w:pPr>
            <w:r>
              <w:rPr>
                <w:rFonts w:eastAsiaTheme="minorEastAsia"/>
                <w:color w:val="000000"/>
                <w:sz w:val="24"/>
              </w:rPr>
              <w:t>15.82</w:t>
            </w:r>
          </w:p>
        </w:tc>
      </w:tr>
      <w:tr w:rsidR="006B618A">
        <w:trPr>
          <w:jc w:val="center"/>
        </w:trPr>
        <w:tc>
          <w:tcPr>
            <w:tcW w:w="1302" w:type="dxa"/>
            <w:vAlign w:val="center"/>
          </w:tcPr>
          <w:p w:rsidR="006B618A" w:rsidRDefault="00E96BA5">
            <w:pPr>
              <w:jc w:val="center"/>
            </w:pPr>
            <w:r>
              <w:rPr>
                <w:rFonts w:eastAsiaTheme="minorEastAsia"/>
                <w:color w:val="000000"/>
                <w:sz w:val="24"/>
              </w:rPr>
              <w:t>2</w:t>
            </w:r>
          </w:p>
        </w:tc>
        <w:tc>
          <w:tcPr>
            <w:tcW w:w="1362" w:type="dxa"/>
            <w:vAlign w:val="center"/>
          </w:tcPr>
          <w:p w:rsidR="006B618A" w:rsidRDefault="00E96BA5">
            <w:pPr>
              <w:jc w:val="center"/>
            </w:pPr>
            <w:r>
              <w:rPr>
                <w:rFonts w:eastAsiaTheme="minorEastAsia"/>
                <w:color w:val="000000"/>
                <w:sz w:val="24"/>
              </w:rPr>
              <w:t>111710400</w:t>
            </w:r>
          </w:p>
        </w:tc>
        <w:tc>
          <w:tcPr>
            <w:tcW w:w="1652" w:type="dxa"/>
            <w:vAlign w:val="center"/>
          </w:tcPr>
          <w:p w:rsidR="006B618A" w:rsidRDefault="00E96BA5">
            <w:pPr>
              <w:jc w:val="center"/>
            </w:pPr>
            <w:r>
              <w:rPr>
                <w:rFonts w:eastAsiaTheme="minorEastAsia"/>
                <w:color w:val="000000"/>
                <w:sz w:val="24"/>
              </w:rPr>
              <w:t>17</w:t>
            </w:r>
            <w:r>
              <w:rPr>
                <w:rFonts w:eastAsiaTheme="minorEastAsia"/>
                <w:color w:val="000000"/>
                <w:sz w:val="24"/>
              </w:rPr>
              <w:t>兴业银行</w:t>
            </w:r>
            <w:r>
              <w:rPr>
                <w:rFonts w:eastAsiaTheme="minorEastAsia"/>
                <w:color w:val="000000"/>
                <w:sz w:val="24"/>
              </w:rPr>
              <w:t>CD400</w:t>
            </w:r>
          </w:p>
        </w:tc>
        <w:tc>
          <w:tcPr>
            <w:tcW w:w="1417" w:type="dxa"/>
            <w:vAlign w:val="center"/>
          </w:tcPr>
          <w:p w:rsidR="006B618A" w:rsidRDefault="00E96BA5">
            <w:pPr>
              <w:jc w:val="right"/>
            </w:pPr>
            <w:r>
              <w:rPr>
                <w:rFonts w:eastAsiaTheme="minorEastAsia"/>
                <w:color w:val="000000"/>
                <w:sz w:val="24"/>
              </w:rPr>
              <w:t>500,000</w:t>
            </w:r>
          </w:p>
        </w:tc>
        <w:tc>
          <w:tcPr>
            <w:tcW w:w="1701" w:type="dxa"/>
            <w:vAlign w:val="center"/>
          </w:tcPr>
          <w:p w:rsidR="006B618A" w:rsidRDefault="00E96BA5">
            <w:pPr>
              <w:jc w:val="right"/>
            </w:pPr>
            <w:r>
              <w:rPr>
                <w:rFonts w:eastAsiaTheme="minorEastAsia"/>
                <w:color w:val="000000"/>
                <w:sz w:val="24"/>
              </w:rPr>
              <w:t>49,450,000.00</w:t>
            </w:r>
          </w:p>
        </w:tc>
        <w:tc>
          <w:tcPr>
            <w:tcW w:w="1434" w:type="dxa"/>
            <w:vAlign w:val="center"/>
          </w:tcPr>
          <w:p w:rsidR="006B618A" w:rsidRDefault="00E96BA5">
            <w:pPr>
              <w:jc w:val="right"/>
            </w:pPr>
            <w:r>
              <w:rPr>
                <w:rFonts w:eastAsiaTheme="minorEastAsia"/>
                <w:color w:val="000000"/>
                <w:sz w:val="24"/>
              </w:rPr>
              <w:t>11.30</w:t>
            </w:r>
          </w:p>
        </w:tc>
      </w:tr>
      <w:tr w:rsidR="006B618A">
        <w:trPr>
          <w:jc w:val="center"/>
        </w:trPr>
        <w:tc>
          <w:tcPr>
            <w:tcW w:w="1302" w:type="dxa"/>
            <w:vAlign w:val="center"/>
          </w:tcPr>
          <w:p w:rsidR="006B618A" w:rsidRDefault="00E96BA5">
            <w:pPr>
              <w:jc w:val="center"/>
            </w:pPr>
            <w:r>
              <w:rPr>
                <w:rFonts w:eastAsiaTheme="minorEastAsia"/>
                <w:color w:val="000000"/>
                <w:sz w:val="24"/>
              </w:rPr>
              <w:t>3</w:t>
            </w:r>
          </w:p>
        </w:tc>
        <w:tc>
          <w:tcPr>
            <w:tcW w:w="1362" w:type="dxa"/>
            <w:vAlign w:val="center"/>
          </w:tcPr>
          <w:p w:rsidR="006B618A" w:rsidRDefault="00E96BA5">
            <w:pPr>
              <w:jc w:val="center"/>
            </w:pPr>
            <w:r>
              <w:rPr>
                <w:rFonts w:eastAsiaTheme="minorEastAsia"/>
                <w:color w:val="000000"/>
                <w:sz w:val="24"/>
              </w:rPr>
              <w:t>111796025</w:t>
            </w:r>
          </w:p>
        </w:tc>
        <w:tc>
          <w:tcPr>
            <w:tcW w:w="1652" w:type="dxa"/>
            <w:vAlign w:val="center"/>
          </w:tcPr>
          <w:p w:rsidR="006B618A" w:rsidRDefault="00E96BA5">
            <w:pPr>
              <w:jc w:val="center"/>
            </w:pPr>
            <w:r>
              <w:rPr>
                <w:rFonts w:eastAsiaTheme="minorEastAsia"/>
                <w:color w:val="000000"/>
                <w:sz w:val="24"/>
              </w:rPr>
              <w:t>17</w:t>
            </w:r>
            <w:r>
              <w:rPr>
                <w:rFonts w:eastAsiaTheme="minorEastAsia"/>
                <w:color w:val="000000"/>
                <w:sz w:val="24"/>
              </w:rPr>
              <w:t>包商银行</w:t>
            </w:r>
            <w:r>
              <w:rPr>
                <w:rFonts w:eastAsiaTheme="minorEastAsia"/>
                <w:color w:val="000000"/>
                <w:sz w:val="24"/>
              </w:rPr>
              <w:lastRenderedPageBreak/>
              <w:t>CD052</w:t>
            </w:r>
          </w:p>
        </w:tc>
        <w:tc>
          <w:tcPr>
            <w:tcW w:w="1417" w:type="dxa"/>
            <w:vAlign w:val="center"/>
          </w:tcPr>
          <w:p w:rsidR="006B618A" w:rsidRDefault="00E96BA5">
            <w:pPr>
              <w:jc w:val="right"/>
            </w:pPr>
            <w:r>
              <w:rPr>
                <w:rFonts w:eastAsiaTheme="minorEastAsia"/>
                <w:color w:val="000000"/>
                <w:sz w:val="24"/>
              </w:rPr>
              <w:lastRenderedPageBreak/>
              <w:t>500,000</w:t>
            </w:r>
          </w:p>
        </w:tc>
        <w:tc>
          <w:tcPr>
            <w:tcW w:w="1701" w:type="dxa"/>
            <w:vAlign w:val="center"/>
          </w:tcPr>
          <w:p w:rsidR="006B618A" w:rsidRDefault="00E96BA5">
            <w:pPr>
              <w:jc w:val="right"/>
            </w:pPr>
            <w:r>
              <w:rPr>
                <w:rFonts w:eastAsiaTheme="minorEastAsia"/>
                <w:color w:val="000000"/>
                <w:sz w:val="24"/>
              </w:rPr>
              <w:t>48,855,000.00</w:t>
            </w:r>
          </w:p>
        </w:tc>
        <w:tc>
          <w:tcPr>
            <w:tcW w:w="1434" w:type="dxa"/>
            <w:vAlign w:val="center"/>
          </w:tcPr>
          <w:p w:rsidR="006B618A" w:rsidRDefault="00E96BA5">
            <w:pPr>
              <w:jc w:val="right"/>
            </w:pPr>
            <w:r>
              <w:rPr>
                <w:rFonts w:eastAsiaTheme="minorEastAsia"/>
                <w:color w:val="000000"/>
                <w:sz w:val="24"/>
              </w:rPr>
              <w:t>11.17</w:t>
            </w:r>
          </w:p>
        </w:tc>
      </w:tr>
      <w:tr w:rsidR="006B618A">
        <w:trPr>
          <w:jc w:val="center"/>
        </w:trPr>
        <w:tc>
          <w:tcPr>
            <w:tcW w:w="1302" w:type="dxa"/>
            <w:vAlign w:val="center"/>
          </w:tcPr>
          <w:p w:rsidR="006B618A" w:rsidRDefault="00E96BA5">
            <w:pPr>
              <w:jc w:val="center"/>
            </w:pPr>
            <w:r>
              <w:rPr>
                <w:rFonts w:eastAsiaTheme="minorEastAsia"/>
                <w:color w:val="000000"/>
                <w:sz w:val="24"/>
              </w:rPr>
              <w:t>4</w:t>
            </w:r>
          </w:p>
        </w:tc>
        <w:tc>
          <w:tcPr>
            <w:tcW w:w="1362" w:type="dxa"/>
            <w:vAlign w:val="center"/>
          </w:tcPr>
          <w:p w:rsidR="006B618A" w:rsidRDefault="00E96BA5">
            <w:pPr>
              <w:jc w:val="center"/>
            </w:pPr>
            <w:r>
              <w:rPr>
                <w:rFonts w:eastAsiaTheme="minorEastAsia"/>
                <w:color w:val="000000"/>
                <w:sz w:val="24"/>
              </w:rPr>
              <w:t>011771013</w:t>
            </w:r>
          </w:p>
        </w:tc>
        <w:tc>
          <w:tcPr>
            <w:tcW w:w="1652" w:type="dxa"/>
            <w:vAlign w:val="center"/>
          </w:tcPr>
          <w:p w:rsidR="006B618A" w:rsidRDefault="00E96BA5">
            <w:pPr>
              <w:jc w:val="center"/>
            </w:pPr>
            <w:r>
              <w:rPr>
                <w:rFonts w:eastAsiaTheme="minorEastAsia"/>
                <w:color w:val="000000"/>
                <w:sz w:val="24"/>
              </w:rPr>
              <w:t>17</w:t>
            </w:r>
            <w:r>
              <w:rPr>
                <w:rFonts w:eastAsiaTheme="minorEastAsia"/>
                <w:color w:val="000000"/>
                <w:sz w:val="24"/>
              </w:rPr>
              <w:t>中材国际</w:t>
            </w:r>
            <w:r>
              <w:rPr>
                <w:rFonts w:eastAsiaTheme="minorEastAsia"/>
                <w:color w:val="000000"/>
                <w:sz w:val="24"/>
              </w:rPr>
              <w:t>SCP001</w:t>
            </w:r>
          </w:p>
        </w:tc>
        <w:tc>
          <w:tcPr>
            <w:tcW w:w="1417" w:type="dxa"/>
            <w:vAlign w:val="center"/>
          </w:tcPr>
          <w:p w:rsidR="006B618A" w:rsidRDefault="00E96BA5">
            <w:pPr>
              <w:jc w:val="right"/>
            </w:pPr>
            <w:r>
              <w:rPr>
                <w:rFonts w:eastAsiaTheme="minorEastAsia"/>
                <w:color w:val="000000"/>
                <w:sz w:val="24"/>
              </w:rPr>
              <w:t>400,000</w:t>
            </w:r>
          </w:p>
        </w:tc>
        <w:tc>
          <w:tcPr>
            <w:tcW w:w="1701" w:type="dxa"/>
            <w:vAlign w:val="center"/>
          </w:tcPr>
          <w:p w:rsidR="006B618A" w:rsidRDefault="00E96BA5">
            <w:pPr>
              <w:jc w:val="right"/>
            </w:pPr>
            <w:r>
              <w:rPr>
                <w:rFonts w:eastAsiaTheme="minorEastAsia"/>
                <w:color w:val="000000"/>
                <w:sz w:val="24"/>
              </w:rPr>
              <w:t>40,272,000.00</w:t>
            </w:r>
          </w:p>
        </w:tc>
        <w:tc>
          <w:tcPr>
            <w:tcW w:w="1434" w:type="dxa"/>
            <w:vAlign w:val="center"/>
          </w:tcPr>
          <w:p w:rsidR="006B618A" w:rsidRDefault="00E96BA5">
            <w:pPr>
              <w:jc w:val="right"/>
            </w:pPr>
            <w:r>
              <w:rPr>
                <w:rFonts w:eastAsiaTheme="minorEastAsia"/>
                <w:color w:val="000000"/>
                <w:sz w:val="24"/>
              </w:rPr>
              <w:t>9.20</w:t>
            </w:r>
          </w:p>
        </w:tc>
      </w:tr>
      <w:tr w:rsidR="006B618A">
        <w:trPr>
          <w:jc w:val="center"/>
        </w:trPr>
        <w:tc>
          <w:tcPr>
            <w:tcW w:w="1302" w:type="dxa"/>
            <w:vAlign w:val="center"/>
          </w:tcPr>
          <w:p w:rsidR="006B618A" w:rsidRDefault="00E96BA5">
            <w:pPr>
              <w:jc w:val="center"/>
            </w:pPr>
            <w:r>
              <w:rPr>
                <w:rFonts w:eastAsiaTheme="minorEastAsia"/>
                <w:color w:val="000000"/>
                <w:sz w:val="24"/>
              </w:rPr>
              <w:t>5</w:t>
            </w:r>
          </w:p>
        </w:tc>
        <w:tc>
          <w:tcPr>
            <w:tcW w:w="1362" w:type="dxa"/>
            <w:vAlign w:val="center"/>
          </w:tcPr>
          <w:p w:rsidR="006B618A" w:rsidRDefault="00E96BA5">
            <w:pPr>
              <w:jc w:val="center"/>
            </w:pPr>
            <w:r>
              <w:rPr>
                <w:rFonts w:eastAsiaTheme="minorEastAsia"/>
                <w:color w:val="000000"/>
                <w:sz w:val="24"/>
              </w:rPr>
              <w:t>011767007</w:t>
            </w:r>
          </w:p>
        </w:tc>
        <w:tc>
          <w:tcPr>
            <w:tcW w:w="1652" w:type="dxa"/>
            <w:vAlign w:val="center"/>
          </w:tcPr>
          <w:p w:rsidR="006B618A" w:rsidRDefault="00E96BA5">
            <w:pPr>
              <w:jc w:val="center"/>
            </w:pPr>
            <w:r>
              <w:rPr>
                <w:rFonts w:eastAsiaTheme="minorEastAsia"/>
                <w:color w:val="000000"/>
                <w:sz w:val="24"/>
              </w:rPr>
              <w:t>17</w:t>
            </w:r>
            <w:r>
              <w:rPr>
                <w:rFonts w:eastAsiaTheme="minorEastAsia"/>
                <w:color w:val="000000"/>
                <w:sz w:val="24"/>
              </w:rPr>
              <w:t>首钢</w:t>
            </w:r>
            <w:r>
              <w:rPr>
                <w:rFonts w:eastAsiaTheme="minorEastAsia"/>
                <w:color w:val="000000"/>
                <w:sz w:val="24"/>
              </w:rPr>
              <w:t>SCP006</w:t>
            </w:r>
          </w:p>
        </w:tc>
        <w:tc>
          <w:tcPr>
            <w:tcW w:w="1417" w:type="dxa"/>
            <w:vAlign w:val="center"/>
          </w:tcPr>
          <w:p w:rsidR="006B618A" w:rsidRDefault="00E96BA5">
            <w:pPr>
              <w:jc w:val="right"/>
            </w:pPr>
            <w:r>
              <w:rPr>
                <w:rFonts w:eastAsiaTheme="minorEastAsia"/>
                <w:color w:val="000000"/>
                <w:sz w:val="24"/>
              </w:rPr>
              <w:t>400,000</w:t>
            </w:r>
          </w:p>
        </w:tc>
        <w:tc>
          <w:tcPr>
            <w:tcW w:w="1701" w:type="dxa"/>
            <w:vAlign w:val="center"/>
          </w:tcPr>
          <w:p w:rsidR="006B618A" w:rsidRDefault="00E96BA5">
            <w:pPr>
              <w:jc w:val="right"/>
            </w:pPr>
            <w:r>
              <w:rPr>
                <w:rFonts w:eastAsiaTheme="minorEastAsia"/>
                <w:color w:val="000000"/>
                <w:sz w:val="24"/>
              </w:rPr>
              <w:t>40,204,000.00</w:t>
            </w:r>
          </w:p>
        </w:tc>
        <w:tc>
          <w:tcPr>
            <w:tcW w:w="1434" w:type="dxa"/>
            <w:vAlign w:val="center"/>
          </w:tcPr>
          <w:p w:rsidR="006B618A" w:rsidRDefault="00E96BA5">
            <w:pPr>
              <w:jc w:val="right"/>
            </w:pPr>
            <w:r>
              <w:rPr>
                <w:rFonts w:eastAsiaTheme="minorEastAsia"/>
                <w:color w:val="000000"/>
                <w:sz w:val="24"/>
              </w:rPr>
              <w:t>9.19</w:t>
            </w:r>
          </w:p>
        </w:tc>
      </w:tr>
      <w:tr w:rsidR="00E96BA5">
        <w:trPr>
          <w:jc w:val="center"/>
        </w:trPr>
        <w:tc>
          <w:tcPr>
            <w:tcW w:w="1302" w:type="dxa"/>
            <w:vAlign w:val="center"/>
          </w:tcPr>
          <w:p w:rsidR="00E96BA5" w:rsidRDefault="00E96BA5" w:rsidP="00E96BA5">
            <w:pPr>
              <w:jc w:val="center"/>
              <w:rPr>
                <w:rFonts w:eastAsiaTheme="minorEastAsia"/>
                <w:color w:val="000000"/>
                <w:sz w:val="24"/>
              </w:rPr>
            </w:pPr>
            <w:r>
              <w:rPr>
                <w:rFonts w:eastAsiaTheme="minorEastAsia"/>
                <w:color w:val="000000"/>
                <w:sz w:val="24"/>
              </w:rPr>
              <w:t>5</w:t>
            </w:r>
          </w:p>
        </w:tc>
        <w:tc>
          <w:tcPr>
            <w:tcW w:w="1362" w:type="dxa"/>
            <w:vAlign w:val="center"/>
          </w:tcPr>
          <w:p w:rsidR="00E96BA5" w:rsidRDefault="00E96BA5" w:rsidP="00E96BA5">
            <w:pPr>
              <w:jc w:val="center"/>
              <w:rPr>
                <w:rFonts w:eastAsiaTheme="minorEastAsia"/>
                <w:color w:val="000000"/>
                <w:sz w:val="24"/>
              </w:rPr>
            </w:pPr>
            <w:r>
              <w:rPr>
                <w:rFonts w:ascii="Tahoma" w:hAnsi="Tahoma" w:cs="Tahoma"/>
                <w:color w:val="000000"/>
                <w:sz w:val="20"/>
                <w:szCs w:val="20"/>
                <w:shd w:val="clear" w:color="auto" w:fill="F8F8F8"/>
              </w:rPr>
              <w:t>041761004</w:t>
            </w:r>
          </w:p>
        </w:tc>
        <w:tc>
          <w:tcPr>
            <w:tcW w:w="1652" w:type="dxa"/>
            <w:vAlign w:val="center"/>
          </w:tcPr>
          <w:p w:rsidR="00E96BA5" w:rsidRDefault="00E96BA5" w:rsidP="00E96BA5">
            <w:pPr>
              <w:jc w:val="center"/>
              <w:rPr>
                <w:rFonts w:eastAsiaTheme="minorEastAsia"/>
                <w:color w:val="000000"/>
                <w:sz w:val="24"/>
              </w:rPr>
            </w:pPr>
            <w:r>
              <w:rPr>
                <w:rFonts w:eastAsiaTheme="minorEastAsia" w:hint="eastAsia"/>
                <w:color w:val="000000"/>
                <w:sz w:val="24"/>
              </w:rPr>
              <w:t>17</w:t>
            </w:r>
            <w:r>
              <w:rPr>
                <w:rFonts w:eastAsiaTheme="minorEastAsia" w:hint="eastAsia"/>
                <w:color w:val="000000"/>
                <w:sz w:val="24"/>
              </w:rPr>
              <w:t>晋经建</w:t>
            </w:r>
            <w:r>
              <w:rPr>
                <w:rFonts w:eastAsiaTheme="minorEastAsia"/>
                <w:color w:val="000000"/>
                <w:sz w:val="24"/>
              </w:rPr>
              <w:t>CP001</w:t>
            </w:r>
          </w:p>
        </w:tc>
        <w:tc>
          <w:tcPr>
            <w:tcW w:w="1417" w:type="dxa"/>
            <w:vAlign w:val="center"/>
          </w:tcPr>
          <w:p w:rsidR="00E96BA5" w:rsidRDefault="00E96BA5" w:rsidP="00E96BA5">
            <w:pPr>
              <w:jc w:val="right"/>
              <w:rPr>
                <w:rFonts w:eastAsiaTheme="minorEastAsia"/>
                <w:color w:val="000000"/>
                <w:sz w:val="24"/>
              </w:rPr>
            </w:pPr>
            <w:r>
              <w:rPr>
                <w:rFonts w:eastAsiaTheme="minorEastAsia" w:hint="eastAsia"/>
                <w:color w:val="000000"/>
                <w:sz w:val="24"/>
              </w:rPr>
              <w:t>4</w:t>
            </w:r>
            <w:r>
              <w:rPr>
                <w:rFonts w:eastAsiaTheme="minorEastAsia"/>
                <w:color w:val="000000"/>
                <w:sz w:val="24"/>
              </w:rPr>
              <w:t>00,000</w:t>
            </w:r>
          </w:p>
        </w:tc>
        <w:tc>
          <w:tcPr>
            <w:tcW w:w="1701" w:type="dxa"/>
            <w:vAlign w:val="center"/>
          </w:tcPr>
          <w:p w:rsidR="00E96BA5" w:rsidRDefault="00E96BA5" w:rsidP="00E96BA5">
            <w:pPr>
              <w:jc w:val="right"/>
            </w:pPr>
            <w:r>
              <w:rPr>
                <w:rFonts w:eastAsiaTheme="minorEastAsia"/>
                <w:color w:val="000000"/>
                <w:sz w:val="24"/>
              </w:rPr>
              <w:t>40,204,000.00</w:t>
            </w:r>
          </w:p>
        </w:tc>
        <w:tc>
          <w:tcPr>
            <w:tcW w:w="1434" w:type="dxa"/>
            <w:vAlign w:val="center"/>
          </w:tcPr>
          <w:p w:rsidR="00E96BA5" w:rsidRDefault="00E96BA5" w:rsidP="00E96BA5">
            <w:pPr>
              <w:jc w:val="right"/>
            </w:pPr>
            <w:r>
              <w:rPr>
                <w:rFonts w:eastAsiaTheme="minorEastAsia"/>
                <w:color w:val="000000"/>
                <w:sz w:val="24"/>
              </w:rPr>
              <w:t>9.19</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86"/>
        <w:gridCol w:w="1332"/>
        <w:gridCol w:w="1313"/>
        <w:gridCol w:w="1571"/>
        <w:gridCol w:w="1670"/>
        <w:gridCol w:w="1696"/>
      </w:tblGrid>
      <w:tr w:rsidR="009215BE" w:rsidRPr="00405493" w:rsidTr="007066A0">
        <w:trPr>
          <w:jc w:val="center"/>
        </w:trPr>
        <w:tc>
          <w:tcPr>
            <w:tcW w:w="123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28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证券代码</w:t>
            </w:r>
          </w:p>
        </w:tc>
        <w:tc>
          <w:tcPr>
            <w:tcW w:w="1263"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证券名称</w:t>
            </w:r>
          </w:p>
        </w:tc>
        <w:tc>
          <w:tcPr>
            <w:tcW w:w="151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3C2E0F" w:rsidRPr="00405493">
              <w:rPr>
                <w:color w:val="000000"/>
                <w:sz w:val="24"/>
              </w:rPr>
              <w:t>（份）</w:t>
            </w:r>
          </w:p>
        </w:tc>
        <w:tc>
          <w:tcPr>
            <w:tcW w:w="160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63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D43E3E" w:rsidRPr="00405493">
              <w:rPr>
                <w:color w:val="000000"/>
                <w:sz w:val="24"/>
              </w:rPr>
              <w:t>（％）</w:t>
            </w:r>
          </w:p>
        </w:tc>
      </w:tr>
      <w:tr w:rsidR="006B618A">
        <w:trPr>
          <w:jc w:val="center"/>
        </w:trPr>
        <w:tc>
          <w:tcPr>
            <w:tcW w:w="1286" w:type="dxa"/>
            <w:vAlign w:val="center"/>
          </w:tcPr>
          <w:p w:rsidR="006B618A" w:rsidRDefault="00E96BA5">
            <w:pPr>
              <w:jc w:val="center"/>
            </w:pPr>
            <w:r>
              <w:rPr>
                <w:rFonts w:eastAsiaTheme="minorEastAsia"/>
                <w:color w:val="000000"/>
                <w:sz w:val="24"/>
              </w:rPr>
              <w:t>1</w:t>
            </w:r>
          </w:p>
        </w:tc>
        <w:tc>
          <w:tcPr>
            <w:tcW w:w="1332" w:type="dxa"/>
            <w:vAlign w:val="center"/>
          </w:tcPr>
          <w:p w:rsidR="006B618A" w:rsidRDefault="00E96BA5">
            <w:pPr>
              <w:jc w:val="center"/>
            </w:pPr>
            <w:r>
              <w:rPr>
                <w:rFonts w:eastAsiaTheme="minorEastAsia"/>
                <w:color w:val="000000"/>
                <w:sz w:val="24"/>
              </w:rPr>
              <w:t>142148</w:t>
            </w:r>
          </w:p>
        </w:tc>
        <w:tc>
          <w:tcPr>
            <w:tcW w:w="1313" w:type="dxa"/>
            <w:vAlign w:val="center"/>
          </w:tcPr>
          <w:p w:rsidR="006B618A" w:rsidRDefault="00E96BA5">
            <w:pPr>
              <w:jc w:val="center"/>
            </w:pPr>
            <w:r>
              <w:rPr>
                <w:rFonts w:eastAsiaTheme="minorEastAsia"/>
                <w:color w:val="000000"/>
                <w:sz w:val="24"/>
              </w:rPr>
              <w:t>16</w:t>
            </w:r>
            <w:r>
              <w:rPr>
                <w:rFonts w:eastAsiaTheme="minorEastAsia"/>
                <w:color w:val="000000"/>
                <w:sz w:val="24"/>
              </w:rPr>
              <w:t>福碧桂园</w:t>
            </w:r>
            <w:r>
              <w:rPr>
                <w:rFonts w:eastAsiaTheme="minorEastAsia"/>
                <w:color w:val="000000"/>
                <w:sz w:val="24"/>
              </w:rPr>
              <w:t>A2</w:t>
            </w:r>
          </w:p>
        </w:tc>
        <w:tc>
          <w:tcPr>
            <w:tcW w:w="1571" w:type="dxa"/>
            <w:vAlign w:val="center"/>
          </w:tcPr>
          <w:p w:rsidR="006B618A" w:rsidRDefault="00E96BA5">
            <w:pPr>
              <w:jc w:val="right"/>
            </w:pPr>
            <w:r>
              <w:rPr>
                <w:rFonts w:eastAsiaTheme="minorEastAsia"/>
                <w:color w:val="000000"/>
                <w:sz w:val="24"/>
              </w:rPr>
              <w:t>200,000</w:t>
            </w:r>
          </w:p>
        </w:tc>
        <w:tc>
          <w:tcPr>
            <w:tcW w:w="1670" w:type="dxa"/>
            <w:vAlign w:val="center"/>
          </w:tcPr>
          <w:p w:rsidR="006B618A" w:rsidRDefault="00E96BA5">
            <w:pPr>
              <w:jc w:val="right"/>
            </w:pPr>
            <w:r>
              <w:rPr>
                <w:rFonts w:eastAsiaTheme="minorEastAsia"/>
                <w:color w:val="000000"/>
                <w:sz w:val="24"/>
              </w:rPr>
              <w:t>20,000,000.00</w:t>
            </w:r>
          </w:p>
        </w:tc>
        <w:tc>
          <w:tcPr>
            <w:tcW w:w="1696" w:type="dxa"/>
            <w:vAlign w:val="center"/>
          </w:tcPr>
          <w:p w:rsidR="006B618A" w:rsidRDefault="00E96BA5">
            <w:pPr>
              <w:jc w:val="right"/>
            </w:pPr>
            <w:r>
              <w:rPr>
                <w:rFonts w:eastAsiaTheme="minorEastAsia"/>
                <w:color w:val="000000"/>
                <w:sz w:val="24"/>
              </w:rPr>
              <w:t>4.57</w:t>
            </w:r>
          </w:p>
        </w:tc>
      </w:tr>
      <w:tr w:rsidR="006B618A">
        <w:trPr>
          <w:jc w:val="center"/>
        </w:trPr>
        <w:tc>
          <w:tcPr>
            <w:tcW w:w="1286" w:type="dxa"/>
            <w:vAlign w:val="center"/>
          </w:tcPr>
          <w:p w:rsidR="006B618A" w:rsidRDefault="00E96BA5">
            <w:pPr>
              <w:jc w:val="center"/>
            </w:pPr>
            <w:r>
              <w:rPr>
                <w:rFonts w:eastAsiaTheme="minorEastAsia"/>
                <w:color w:val="000000"/>
                <w:sz w:val="24"/>
              </w:rPr>
              <w:t>2</w:t>
            </w:r>
          </w:p>
        </w:tc>
        <w:tc>
          <w:tcPr>
            <w:tcW w:w="1332" w:type="dxa"/>
            <w:vAlign w:val="center"/>
          </w:tcPr>
          <w:p w:rsidR="006B618A" w:rsidRDefault="00E96BA5">
            <w:pPr>
              <w:jc w:val="center"/>
            </w:pPr>
            <w:r>
              <w:rPr>
                <w:rFonts w:eastAsiaTheme="minorEastAsia"/>
                <w:color w:val="000000"/>
                <w:sz w:val="24"/>
              </w:rPr>
              <w:t>131684</w:t>
            </w:r>
          </w:p>
        </w:tc>
        <w:tc>
          <w:tcPr>
            <w:tcW w:w="1313" w:type="dxa"/>
            <w:vAlign w:val="center"/>
          </w:tcPr>
          <w:p w:rsidR="006B618A" w:rsidRDefault="00E96BA5">
            <w:pPr>
              <w:jc w:val="center"/>
            </w:pPr>
            <w:r>
              <w:rPr>
                <w:rFonts w:eastAsiaTheme="minorEastAsia"/>
                <w:color w:val="000000"/>
                <w:sz w:val="24"/>
              </w:rPr>
              <w:t>汇金</w:t>
            </w:r>
            <w:r>
              <w:rPr>
                <w:rFonts w:eastAsiaTheme="minorEastAsia"/>
                <w:color w:val="000000"/>
                <w:sz w:val="24"/>
              </w:rPr>
              <w:t>1B</w:t>
            </w:r>
          </w:p>
        </w:tc>
        <w:tc>
          <w:tcPr>
            <w:tcW w:w="1571" w:type="dxa"/>
            <w:vAlign w:val="center"/>
          </w:tcPr>
          <w:p w:rsidR="006B618A" w:rsidRDefault="00E96BA5">
            <w:pPr>
              <w:jc w:val="right"/>
            </w:pPr>
            <w:r>
              <w:rPr>
                <w:rFonts w:eastAsiaTheme="minorEastAsia"/>
                <w:color w:val="000000"/>
                <w:sz w:val="24"/>
              </w:rPr>
              <w:t>180,000</w:t>
            </w:r>
          </w:p>
        </w:tc>
        <w:tc>
          <w:tcPr>
            <w:tcW w:w="1670" w:type="dxa"/>
            <w:vAlign w:val="center"/>
          </w:tcPr>
          <w:p w:rsidR="006B618A" w:rsidRDefault="00E96BA5">
            <w:pPr>
              <w:jc w:val="right"/>
            </w:pPr>
            <w:r>
              <w:rPr>
                <w:rFonts w:eastAsiaTheme="minorEastAsia"/>
                <w:color w:val="000000"/>
                <w:sz w:val="24"/>
              </w:rPr>
              <w:t>13,109,400.00</w:t>
            </w:r>
          </w:p>
        </w:tc>
        <w:tc>
          <w:tcPr>
            <w:tcW w:w="1696" w:type="dxa"/>
            <w:vAlign w:val="center"/>
          </w:tcPr>
          <w:p w:rsidR="006B618A" w:rsidRDefault="00E96BA5">
            <w:pPr>
              <w:jc w:val="right"/>
            </w:pPr>
            <w:r>
              <w:rPr>
                <w:rFonts w:eastAsiaTheme="minorEastAsia"/>
                <w:color w:val="000000"/>
                <w:sz w:val="24"/>
              </w:rPr>
              <w:t>3.00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23,657.88</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4,931,319.60</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lastRenderedPageBreak/>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8,834,747.63</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13,789,725.11</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9335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Pr="00405493"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9335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220542" w:rsidRPr="00405493">
        <w:rPr>
          <w:b/>
          <w:color w:val="000000"/>
          <w:sz w:val="24"/>
        </w:rPr>
        <w:t>备查文件目录</w:t>
      </w:r>
    </w:p>
    <w:p w:rsidR="006B618A" w:rsidRDefault="00E96BA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、中国证监会准予交银施罗德丰硕收益债券型证券投资基金募集注册的文件；</w:t>
      </w:r>
      <w:r>
        <w:rPr>
          <w:rFonts w:eastAsiaTheme="minorEastAsia"/>
          <w:color w:val="000000"/>
          <w:sz w:val="24"/>
        </w:rPr>
        <w:t xml:space="preserve"> </w:t>
      </w:r>
    </w:p>
    <w:p w:rsidR="006B618A" w:rsidRDefault="00E96BA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、《交银施罗德丰硕收益债券型证券投资基金基金合同》；</w:t>
      </w:r>
    </w:p>
    <w:p w:rsidR="006B618A" w:rsidRDefault="00E96BA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、《交银施罗德丰硕收益债券型证券投资基金招募说明书》；</w:t>
      </w:r>
      <w:r>
        <w:rPr>
          <w:rFonts w:eastAsiaTheme="minorEastAsia"/>
          <w:color w:val="000000"/>
          <w:sz w:val="24"/>
        </w:rPr>
        <w:t xml:space="preserve"> </w:t>
      </w:r>
    </w:p>
    <w:p w:rsidR="006B618A" w:rsidRDefault="00E96BA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、《交银施罗德丰硕收益债券型证券投资基金托管协议》；</w:t>
      </w:r>
      <w:r>
        <w:rPr>
          <w:rFonts w:eastAsiaTheme="minorEastAsia"/>
          <w:color w:val="000000"/>
          <w:sz w:val="24"/>
        </w:rPr>
        <w:t xml:space="preserve"> </w:t>
      </w:r>
    </w:p>
    <w:p w:rsidR="006B618A" w:rsidRDefault="00E96BA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6B618A" w:rsidRDefault="00E96BA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6B618A" w:rsidRDefault="00E96BA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lastRenderedPageBreak/>
        <w:t>7</w:t>
      </w:r>
      <w:r>
        <w:rPr>
          <w:rFonts w:eastAsiaTheme="minorEastAsia"/>
          <w:color w:val="000000"/>
          <w:sz w:val="24"/>
        </w:rPr>
        <w:t>、关于申请募集注册交银施罗德丰硕收益债券型证券投资基金的法律意见书；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、报告期内交银施罗德丰硕收益债券型证券投资基金在指定报刊上各项公告的原稿。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220542" w:rsidRPr="00405493">
        <w:rPr>
          <w:b/>
          <w:color w:val="000000"/>
          <w:sz w:val="24"/>
        </w:rPr>
        <w:t>查阅方式</w:t>
      </w:r>
    </w:p>
    <w:p w:rsidR="006B618A" w:rsidRDefault="00E96BA5">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0B6" w:rsidRDefault="000A60B6">
      <w:r>
        <w:separator/>
      </w:r>
    </w:p>
  </w:endnote>
  <w:endnote w:type="continuationSeparator" w:id="0">
    <w:p w:rsidR="000A60B6" w:rsidRDefault="000A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CC7660">
      <w:rPr>
        <w:kern w:val="0"/>
        <w:szCs w:val="21"/>
      </w:rPr>
      <w:fldChar w:fldCharType="begin"/>
    </w:r>
    <w:r>
      <w:rPr>
        <w:kern w:val="0"/>
        <w:szCs w:val="21"/>
      </w:rPr>
      <w:instrText xml:space="preserve"> PAGE </w:instrText>
    </w:r>
    <w:r w:rsidR="00CC7660">
      <w:rPr>
        <w:kern w:val="0"/>
        <w:szCs w:val="21"/>
      </w:rPr>
      <w:fldChar w:fldCharType="separate"/>
    </w:r>
    <w:r w:rsidR="00B004EC">
      <w:rPr>
        <w:noProof/>
        <w:kern w:val="0"/>
        <w:szCs w:val="21"/>
      </w:rPr>
      <w:t>2</w:t>
    </w:r>
    <w:r w:rsidR="00CC7660">
      <w:rPr>
        <w:kern w:val="0"/>
        <w:szCs w:val="21"/>
      </w:rPr>
      <w:fldChar w:fldCharType="end"/>
    </w:r>
    <w:r>
      <w:rPr>
        <w:rFonts w:hint="eastAsia"/>
        <w:kern w:val="0"/>
        <w:szCs w:val="21"/>
      </w:rPr>
      <w:t>页共</w:t>
    </w:r>
    <w:r w:rsidR="00CC7660">
      <w:rPr>
        <w:kern w:val="0"/>
        <w:szCs w:val="21"/>
      </w:rPr>
      <w:fldChar w:fldCharType="begin"/>
    </w:r>
    <w:r>
      <w:rPr>
        <w:kern w:val="0"/>
        <w:szCs w:val="21"/>
      </w:rPr>
      <w:instrText xml:space="preserve"> NUMPAGES </w:instrText>
    </w:r>
    <w:r w:rsidR="00CC7660">
      <w:rPr>
        <w:kern w:val="0"/>
        <w:szCs w:val="21"/>
      </w:rPr>
      <w:fldChar w:fldCharType="separate"/>
    </w:r>
    <w:r w:rsidR="00B004EC">
      <w:rPr>
        <w:noProof/>
        <w:kern w:val="0"/>
        <w:szCs w:val="21"/>
      </w:rPr>
      <w:t>11</w:t>
    </w:r>
    <w:r w:rsidR="00CC766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CC7660">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0B6" w:rsidRDefault="000A60B6">
      <w:r>
        <w:separator/>
      </w:r>
    </w:p>
  </w:footnote>
  <w:footnote w:type="continuationSeparator" w:id="0">
    <w:p w:rsidR="000A60B6" w:rsidRDefault="000A6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0B6"/>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07EE4"/>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618A"/>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352"/>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BEA"/>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539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5BF"/>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2704"/>
    <w:rsid w:val="00AF6EC1"/>
    <w:rsid w:val="00B00331"/>
    <w:rsid w:val="00B004EC"/>
    <w:rsid w:val="00B00FEF"/>
    <w:rsid w:val="00B013C5"/>
    <w:rsid w:val="00B01441"/>
    <w:rsid w:val="00B01A80"/>
    <w:rsid w:val="00B04665"/>
    <w:rsid w:val="00B04F26"/>
    <w:rsid w:val="00B05273"/>
    <w:rsid w:val="00B05291"/>
    <w:rsid w:val="00B067F7"/>
    <w:rsid w:val="00B06B72"/>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078"/>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C7660"/>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990"/>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6BA5"/>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00EB"/>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1960001-384A-4F33-A0A7-7D15155B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733967418">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11</Pages>
  <Words>962</Words>
  <Characters>5490</Characters>
  <Application>Microsoft Office Word</Application>
  <DocSecurity>0</DocSecurity>
  <Lines>45</Lines>
  <Paragraphs>12</Paragraphs>
  <ScaleCrop>false</ScaleCrop>
  <Company>TRT. Ltd. Co.</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398</cp:revision>
  <cp:lastPrinted>2007-07-19T00:46:00Z</cp:lastPrinted>
  <dcterms:created xsi:type="dcterms:W3CDTF">2014-01-20T05:40:00Z</dcterms:created>
  <dcterms:modified xsi:type="dcterms:W3CDTF">2017-10-23T07:24:00Z</dcterms:modified>
</cp:coreProperties>
</file>