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C2368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F3608" w:rsidRDefault="00C2368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2368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839,736,473.90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2368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23680" w:rsidRPr="00414345" w:rsidTr="00C2368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23680" w:rsidRPr="00414345" w:rsidTr="00C236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15,343,903.04</w:t>
            </w:r>
          </w:p>
        </w:tc>
      </w:tr>
      <w:tr w:rsidR="00C23680" w:rsidRPr="00414345" w:rsidTr="00C236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92,251,512.37</w:t>
            </w:r>
          </w:p>
        </w:tc>
      </w:tr>
      <w:tr w:rsidR="00C23680" w:rsidRPr="00414345" w:rsidTr="00C236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0.0983</w:t>
            </w:r>
          </w:p>
        </w:tc>
      </w:tr>
      <w:tr w:rsidR="00C23680" w:rsidRPr="00414345" w:rsidTr="00C236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933,369,453.39</w:t>
            </w:r>
          </w:p>
        </w:tc>
      </w:tr>
      <w:tr w:rsidR="00C23680" w:rsidRPr="00414345" w:rsidTr="00C2368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1.112</w:t>
            </w:r>
          </w:p>
        </w:tc>
      </w:tr>
    </w:tbl>
    <w:p w:rsidR="005F3608" w:rsidRDefault="00C2368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F3608">
        <w:trPr>
          <w:jc w:val="center"/>
        </w:trPr>
        <w:tc>
          <w:tcPr>
            <w:tcW w:w="1701" w:type="dxa"/>
            <w:vAlign w:val="center"/>
          </w:tcPr>
          <w:p w:rsidR="005F3608" w:rsidRDefault="00C23680">
            <w:pPr>
              <w:jc w:val="left"/>
            </w:pPr>
            <w:r>
              <w:rPr>
                <w:color w:val="000000"/>
                <w:sz w:val="24"/>
                <w:szCs w:val="24"/>
              </w:rPr>
              <w:t>过去三个月</w:t>
            </w:r>
          </w:p>
        </w:tc>
        <w:tc>
          <w:tcPr>
            <w:tcW w:w="1045" w:type="dxa"/>
            <w:vAlign w:val="center"/>
          </w:tcPr>
          <w:p w:rsidR="005F3608" w:rsidRDefault="00C23680">
            <w:pPr>
              <w:jc w:val="center"/>
            </w:pPr>
            <w:r>
              <w:rPr>
                <w:color w:val="000000"/>
                <w:sz w:val="24"/>
                <w:szCs w:val="24"/>
              </w:rPr>
              <w:t>9.45%</w:t>
            </w:r>
          </w:p>
        </w:tc>
        <w:tc>
          <w:tcPr>
            <w:tcW w:w="1344" w:type="dxa"/>
            <w:vAlign w:val="center"/>
          </w:tcPr>
          <w:p w:rsidR="005F3608" w:rsidRDefault="00C23680">
            <w:pPr>
              <w:jc w:val="center"/>
            </w:pPr>
            <w:r>
              <w:rPr>
                <w:color w:val="000000"/>
                <w:sz w:val="24"/>
                <w:szCs w:val="24"/>
              </w:rPr>
              <w:t>0.79%</w:t>
            </w:r>
          </w:p>
        </w:tc>
        <w:tc>
          <w:tcPr>
            <w:tcW w:w="1194" w:type="dxa"/>
            <w:vAlign w:val="center"/>
          </w:tcPr>
          <w:p w:rsidR="005F3608" w:rsidRDefault="00C23680">
            <w:pPr>
              <w:jc w:val="center"/>
            </w:pPr>
            <w:r>
              <w:rPr>
                <w:color w:val="000000"/>
                <w:sz w:val="24"/>
                <w:szCs w:val="24"/>
              </w:rPr>
              <w:t>3.04%</w:t>
            </w:r>
          </w:p>
        </w:tc>
        <w:tc>
          <w:tcPr>
            <w:tcW w:w="1492" w:type="dxa"/>
            <w:vAlign w:val="center"/>
          </w:tcPr>
          <w:p w:rsidR="005F3608" w:rsidRDefault="00C23680">
            <w:pPr>
              <w:jc w:val="center"/>
            </w:pPr>
            <w:r>
              <w:rPr>
                <w:color w:val="000000"/>
                <w:sz w:val="24"/>
                <w:szCs w:val="24"/>
              </w:rPr>
              <w:t>0.35%</w:t>
            </w:r>
          </w:p>
        </w:tc>
        <w:tc>
          <w:tcPr>
            <w:tcW w:w="1194" w:type="dxa"/>
            <w:vAlign w:val="center"/>
          </w:tcPr>
          <w:p w:rsidR="005F3608" w:rsidRDefault="00C23680">
            <w:pPr>
              <w:jc w:val="center"/>
            </w:pPr>
            <w:r>
              <w:rPr>
                <w:color w:val="000000"/>
                <w:sz w:val="24"/>
                <w:szCs w:val="24"/>
              </w:rPr>
              <w:t>6.41%</w:t>
            </w:r>
          </w:p>
        </w:tc>
        <w:tc>
          <w:tcPr>
            <w:tcW w:w="898" w:type="dxa"/>
            <w:vAlign w:val="center"/>
          </w:tcPr>
          <w:p w:rsidR="005F3608" w:rsidRDefault="00C23680">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2368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F3608">
        <w:trPr>
          <w:jc w:val="center"/>
        </w:trPr>
        <w:tc>
          <w:tcPr>
            <w:tcW w:w="846" w:type="dxa"/>
            <w:vAlign w:val="center"/>
          </w:tcPr>
          <w:p w:rsidR="005F3608" w:rsidRDefault="00C23680">
            <w:pPr>
              <w:jc w:val="center"/>
            </w:pPr>
            <w:r>
              <w:rPr>
                <w:color w:val="000000"/>
                <w:sz w:val="24"/>
                <w:szCs w:val="24"/>
              </w:rPr>
              <w:t>沈楠</w:t>
            </w:r>
          </w:p>
        </w:tc>
        <w:tc>
          <w:tcPr>
            <w:tcW w:w="845" w:type="dxa"/>
            <w:vAlign w:val="center"/>
          </w:tcPr>
          <w:p w:rsidR="005F3608" w:rsidRDefault="00C23680">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5F3608" w:rsidRDefault="00C23680">
            <w:pPr>
              <w:jc w:val="center"/>
            </w:pPr>
            <w:r>
              <w:rPr>
                <w:color w:val="000000"/>
                <w:sz w:val="24"/>
                <w:szCs w:val="24"/>
              </w:rPr>
              <w:lastRenderedPageBreak/>
              <w:t>2015-06-10</w:t>
            </w:r>
          </w:p>
        </w:tc>
        <w:tc>
          <w:tcPr>
            <w:tcW w:w="1548" w:type="dxa"/>
            <w:vAlign w:val="center"/>
          </w:tcPr>
          <w:p w:rsidR="005F3608" w:rsidRDefault="00C23680">
            <w:pPr>
              <w:jc w:val="center"/>
            </w:pPr>
            <w:r>
              <w:rPr>
                <w:color w:val="000000"/>
                <w:sz w:val="24"/>
                <w:szCs w:val="24"/>
              </w:rPr>
              <w:t>-</w:t>
            </w:r>
          </w:p>
        </w:tc>
        <w:tc>
          <w:tcPr>
            <w:tcW w:w="1407" w:type="dxa"/>
            <w:vAlign w:val="center"/>
          </w:tcPr>
          <w:p w:rsidR="005F3608" w:rsidRDefault="00C23680">
            <w:pPr>
              <w:jc w:val="center"/>
            </w:pPr>
            <w:r>
              <w:rPr>
                <w:color w:val="000000"/>
                <w:sz w:val="24"/>
                <w:szCs w:val="24"/>
              </w:rPr>
              <w:t>8</w:t>
            </w:r>
            <w:r>
              <w:rPr>
                <w:color w:val="000000"/>
                <w:sz w:val="24"/>
                <w:szCs w:val="24"/>
              </w:rPr>
              <w:t>年</w:t>
            </w:r>
          </w:p>
        </w:tc>
        <w:tc>
          <w:tcPr>
            <w:tcW w:w="2673" w:type="dxa"/>
            <w:vAlign w:val="center"/>
          </w:tcPr>
          <w:p w:rsidR="005F3608" w:rsidRDefault="00C23680">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F3608" w:rsidRDefault="00C2368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F3608" w:rsidRDefault="00C2368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F3608" w:rsidRDefault="00C2368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F3608" w:rsidRDefault="00C23680">
      <w:pPr>
        <w:spacing w:before="29" w:line="288" w:lineRule="auto"/>
        <w:ind w:firstLineChars="200" w:firstLine="480"/>
        <w:rPr>
          <w:color w:val="000000"/>
          <w:sz w:val="24"/>
          <w:szCs w:val="24"/>
        </w:rPr>
      </w:pPr>
      <w:r>
        <w:rPr>
          <w:color w:val="000000"/>
          <w:sz w:val="24"/>
          <w:szCs w:val="24"/>
        </w:rPr>
        <w:lastRenderedPageBreak/>
        <w:t>2017</w:t>
      </w:r>
      <w:r>
        <w:rPr>
          <w:color w:val="000000"/>
          <w:sz w:val="24"/>
          <w:szCs w:val="24"/>
        </w:rPr>
        <w:t>年三季度，国内经济保持相对强势，人民币升值明显，整体全球主要经济体都呈现积极增长并带动外需走强的态势。市场焦点主要集中在供给侧改革的超预期以及地产行业的趋弱。我们认为两者对供需的影响相互胶着，并在前期导致阶段性供给偏紧，因此给周期性行业带来较大的投资机会。未来国内利率水平四季度可能难以持续上行，这或将对</w:t>
      </w:r>
      <w:r>
        <w:rPr>
          <w:color w:val="000000"/>
          <w:sz w:val="24"/>
          <w:szCs w:val="24"/>
        </w:rPr>
        <w:t>A</w:t>
      </w:r>
      <w:r>
        <w:rPr>
          <w:color w:val="000000"/>
          <w:sz w:val="24"/>
          <w:szCs w:val="24"/>
        </w:rPr>
        <w:t>股市场产生一定正面作用，并可能推动消费以及成长类行业呈现较为明显的结构性行情。</w:t>
      </w:r>
    </w:p>
    <w:p w:rsidR="005F3608" w:rsidRDefault="00C23680">
      <w:pPr>
        <w:spacing w:before="29" w:line="288" w:lineRule="auto"/>
        <w:ind w:firstLineChars="200" w:firstLine="480"/>
        <w:rPr>
          <w:color w:val="000000"/>
          <w:sz w:val="24"/>
          <w:szCs w:val="24"/>
        </w:rPr>
      </w:pPr>
      <w:r>
        <w:rPr>
          <w:color w:val="000000"/>
          <w:sz w:val="24"/>
          <w:szCs w:val="24"/>
        </w:rPr>
        <w:t>国企改革在部分地区，如山东、山西、天津等地仍在大力推进，央企整合也有条不紊地继续进行。我们预期十九大前，整体改革政策将以稳定为主，不会有太大的实质性突破。但我们也认为目前市场对改革的预期仍然较低，未来随着各地陆续推出相关改革方案，国企改革投资大有可为。</w:t>
      </w:r>
    </w:p>
    <w:p w:rsidR="005F3608" w:rsidRDefault="00C23680">
      <w:pPr>
        <w:spacing w:before="29" w:line="288" w:lineRule="auto"/>
        <w:ind w:firstLineChars="200" w:firstLine="480"/>
        <w:rPr>
          <w:color w:val="000000"/>
          <w:sz w:val="24"/>
          <w:szCs w:val="24"/>
        </w:rPr>
      </w:pPr>
      <w:r>
        <w:rPr>
          <w:color w:val="000000"/>
          <w:sz w:val="24"/>
          <w:szCs w:val="24"/>
        </w:rPr>
        <w:t>三季度，本基金重点配置了供给侧改革中的电解铝板块、部分央企改革的受益品种，并取得了部分超额收益。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重点区域的改革试点值得重点关注，部分央企通过债转股、混改和员工持股的形式积极推动治理结构及报表改善，未来将是核心看点。考虑到四季度利率或将难以持续上行，我们对整体市场保持积极的看法。本基金仍将综合判断潜在的改革试点突破口，把握最新政策动向受益的国有企业，尤其是在管理上积极进取、机制完善、加大转型决心的上市国企。</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1.112</w:t>
      </w:r>
      <w:r w:rsidRPr="00414345">
        <w:rPr>
          <w:color w:val="000000"/>
          <w:sz w:val="24"/>
          <w:szCs w:val="24"/>
        </w:rPr>
        <w:t>元，本报告期份额净值增长率为</w:t>
      </w:r>
      <w:r w:rsidRPr="00414345">
        <w:rPr>
          <w:color w:val="000000"/>
          <w:sz w:val="24"/>
          <w:szCs w:val="24"/>
        </w:rPr>
        <w:t>9.45%</w:t>
      </w:r>
      <w:r w:rsidRPr="00414345">
        <w:rPr>
          <w:color w:val="000000"/>
          <w:sz w:val="24"/>
          <w:szCs w:val="24"/>
        </w:rPr>
        <w:t>，同期业绩比较基准增长率为</w:t>
      </w:r>
      <w:r w:rsidRPr="00414345">
        <w:rPr>
          <w:color w:val="000000"/>
          <w:sz w:val="24"/>
          <w:szCs w:val="24"/>
        </w:rPr>
        <w:t>3.04%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C2368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724,484,521.24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724,484,521.24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49,835,000.00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49,835,000.00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81,615,562.42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91,073,541.01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12,703,198.36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959,711,823.03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51,123,629.00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7,959,793.60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383,132,720.40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28,878,128.44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15,531,498.42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50,642,720.09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31,673,368.70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5,819,885.34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31,509,458.12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42,477,576.20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51,691,252.04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38,750.40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23,846,440.00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44,000.50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724,484,521.24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77.62</w:t>
            </w:r>
          </w:p>
        </w:tc>
      </w:tr>
    </w:tbl>
    <w:p w:rsidR="004D2E5B" w:rsidRDefault="004D2E5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F3608">
        <w:trPr>
          <w:jc w:val="center"/>
        </w:trPr>
        <w:tc>
          <w:tcPr>
            <w:tcW w:w="855" w:type="dxa"/>
            <w:vAlign w:val="center"/>
          </w:tcPr>
          <w:p w:rsidR="005F3608" w:rsidRDefault="00C23680">
            <w:pPr>
              <w:jc w:val="center"/>
            </w:pPr>
            <w:r>
              <w:rPr>
                <w:color w:val="000000"/>
                <w:sz w:val="24"/>
                <w:szCs w:val="24"/>
              </w:rPr>
              <w:t>1</w:t>
            </w:r>
          </w:p>
        </w:tc>
        <w:tc>
          <w:tcPr>
            <w:tcW w:w="1334" w:type="dxa"/>
            <w:vAlign w:val="center"/>
          </w:tcPr>
          <w:p w:rsidR="005F3608" w:rsidRDefault="00C23680">
            <w:pPr>
              <w:jc w:val="center"/>
            </w:pPr>
            <w:r>
              <w:rPr>
                <w:color w:val="000000"/>
                <w:sz w:val="24"/>
                <w:szCs w:val="24"/>
              </w:rPr>
              <w:t>600500</w:t>
            </w:r>
          </w:p>
        </w:tc>
        <w:tc>
          <w:tcPr>
            <w:tcW w:w="1777" w:type="dxa"/>
            <w:vAlign w:val="center"/>
          </w:tcPr>
          <w:p w:rsidR="005F3608" w:rsidRDefault="00C23680">
            <w:pPr>
              <w:jc w:val="center"/>
            </w:pPr>
            <w:r>
              <w:rPr>
                <w:color w:val="000000"/>
                <w:sz w:val="24"/>
                <w:szCs w:val="24"/>
              </w:rPr>
              <w:t>中化国际</w:t>
            </w:r>
          </w:p>
        </w:tc>
        <w:tc>
          <w:tcPr>
            <w:tcW w:w="1334" w:type="dxa"/>
            <w:vAlign w:val="center"/>
          </w:tcPr>
          <w:p w:rsidR="005F3608" w:rsidRDefault="00C23680">
            <w:pPr>
              <w:jc w:val="right"/>
            </w:pPr>
            <w:r>
              <w:rPr>
                <w:color w:val="000000"/>
                <w:sz w:val="24"/>
                <w:szCs w:val="24"/>
              </w:rPr>
              <w:t>4,045,712</w:t>
            </w:r>
          </w:p>
        </w:tc>
        <w:tc>
          <w:tcPr>
            <w:tcW w:w="1924" w:type="dxa"/>
            <w:vAlign w:val="center"/>
          </w:tcPr>
          <w:p w:rsidR="005F3608" w:rsidRDefault="00C23680">
            <w:pPr>
              <w:jc w:val="right"/>
            </w:pPr>
            <w:r>
              <w:rPr>
                <w:color w:val="000000"/>
                <w:sz w:val="24"/>
                <w:szCs w:val="24"/>
              </w:rPr>
              <w:t>41,509,005.12</w:t>
            </w:r>
          </w:p>
        </w:tc>
        <w:tc>
          <w:tcPr>
            <w:tcW w:w="1644" w:type="dxa"/>
            <w:vAlign w:val="center"/>
          </w:tcPr>
          <w:p w:rsidR="005F3608" w:rsidRDefault="00C23680">
            <w:pPr>
              <w:jc w:val="right"/>
            </w:pPr>
            <w:r>
              <w:rPr>
                <w:color w:val="000000"/>
                <w:sz w:val="24"/>
                <w:szCs w:val="24"/>
              </w:rPr>
              <w:t>4.45</w:t>
            </w:r>
          </w:p>
        </w:tc>
      </w:tr>
      <w:tr w:rsidR="005F3608">
        <w:trPr>
          <w:jc w:val="center"/>
        </w:trPr>
        <w:tc>
          <w:tcPr>
            <w:tcW w:w="855" w:type="dxa"/>
            <w:vAlign w:val="center"/>
          </w:tcPr>
          <w:p w:rsidR="005F3608" w:rsidRDefault="00C23680">
            <w:pPr>
              <w:jc w:val="center"/>
            </w:pPr>
            <w:r>
              <w:rPr>
                <w:color w:val="000000"/>
                <w:sz w:val="24"/>
                <w:szCs w:val="24"/>
              </w:rPr>
              <w:t>2</w:t>
            </w:r>
          </w:p>
        </w:tc>
        <w:tc>
          <w:tcPr>
            <w:tcW w:w="1334" w:type="dxa"/>
            <w:vAlign w:val="center"/>
          </w:tcPr>
          <w:p w:rsidR="005F3608" w:rsidRDefault="00C23680">
            <w:pPr>
              <w:jc w:val="center"/>
            </w:pPr>
            <w:r>
              <w:rPr>
                <w:color w:val="000000"/>
                <w:sz w:val="24"/>
                <w:szCs w:val="24"/>
              </w:rPr>
              <w:t>601600</w:t>
            </w:r>
          </w:p>
        </w:tc>
        <w:tc>
          <w:tcPr>
            <w:tcW w:w="1777" w:type="dxa"/>
            <w:vAlign w:val="center"/>
          </w:tcPr>
          <w:p w:rsidR="005F3608" w:rsidRDefault="00C23680">
            <w:pPr>
              <w:jc w:val="center"/>
            </w:pPr>
            <w:r>
              <w:rPr>
                <w:color w:val="000000"/>
                <w:sz w:val="24"/>
                <w:szCs w:val="24"/>
              </w:rPr>
              <w:t>中国铝业</w:t>
            </w:r>
          </w:p>
        </w:tc>
        <w:tc>
          <w:tcPr>
            <w:tcW w:w="1334" w:type="dxa"/>
            <w:vAlign w:val="center"/>
          </w:tcPr>
          <w:p w:rsidR="005F3608" w:rsidRDefault="00C23680">
            <w:pPr>
              <w:jc w:val="right"/>
            </w:pPr>
            <w:r>
              <w:rPr>
                <w:color w:val="000000"/>
                <w:sz w:val="24"/>
                <w:szCs w:val="24"/>
              </w:rPr>
              <w:t>4,600,000</w:t>
            </w:r>
          </w:p>
        </w:tc>
        <w:tc>
          <w:tcPr>
            <w:tcW w:w="1924" w:type="dxa"/>
            <w:vAlign w:val="center"/>
          </w:tcPr>
          <w:p w:rsidR="005F3608" w:rsidRDefault="00C23680">
            <w:pPr>
              <w:jc w:val="right"/>
            </w:pPr>
            <w:r>
              <w:rPr>
                <w:color w:val="000000"/>
                <w:sz w:val="24"/>
                <w:szCs w:val="24"/>
              </w:rPr>
              <w:t>34,822,000.00</w:t>
            </w:r>
          </w:p>
        </w:tc>
        <w:tc>
          <w:tcPr>
            <w:tcW w:w="1644" w:type="dxa"/>
            <w:vAlign w:val="center"/>
          </w:tcPr>
          <w:p w:rsidR="005F3608" w:rsidRDefault="00C23680">
            <w:pPr>
              <w:jc w:val="right"/>
            </w:pPr>
            <w:r>
              <w:rPr>
                <w:color w:val="000000"/>
                <w:sz w:val="24"/>
                <w:szCs w:val="24"/>
              </w:rPr>
              <w:t>3.73</w:t>
            </w:r>
          </w:p>
        </w:tc>
      </w:tr>
      <w:tr w:rsidR="005F3608">
        <w:trPr>
          <w:jc w:val="center"/>
        </w:trPr>
        <w:tc>
          <w:tcPr>
            <w:tcW w:w="855" w:type="dxa"/>
            <w:vAlign w:val="center"/>
          </w:tcPr>
          <w:p w:rsidR="005F3608" w:rsidRDefault="00C23680">
            <w:pPr>
              <w:jc w:val="center"/>
            </w:pPr>
            <w:r>
              <w:rPr>
                <w:color w:val="000000"/>
                <w:sz w:val="24"/>
                <w:szCs w:val="24"/>
              </w:rPr>
              <w:t>3</w:t>
            </w:r>
          </w:p>
        </w:tc>
        <w:tc>
          <w:tcPr>
            <w:tcW w:w="1334" w:type="dxa"/>
            <w:vAlign w:val="center"/>
          </w:tcPr>
          <w:p w:rsidR="005F3608" w:rsidRDefault="00C23680">
            <w:pPr>
              <w:jc w:val="center"/>
            </w:pPr>
            <w:r>
              <w:rPr>
                <w:color w:val="000000"/>
                <w:sz w:val="24"/>
                <w:szCs w:val="24"/>
              </w:rPr>
              <w:t>000031</w:t>
            </w:r>
          </w:p>
        </w:tc>
        <w:tc>
          <w:tcPr>
            <w:tcW w:w="1777" w:type="dxa"/>
            <w:vAlign w:val="center"/>
          </w:tcPr>
          <w:p w:rsidR="005F3608" w:rsidRDefault="00C23680">
            <w:pPr>
              <w:jc w:val="center"/>
            </w:pPr>
            <w:r>
              <w:rPr>
                <w:color w:val="000000"/>
                <w:sz w:val="24"/>
                <w:szCs w:val="24"/>
              </w:rPr>
              <w:t>中粮地产</w:t>
            </w:r>
          </w:p>
        </w:tc>
        <w:tc>
          <w:tcPr>
            <w:tcW w:w="1334" w:type="dxa"/>
            <w:vAlign w:val="center"/>
          </w:tcPr>
          <w:p w:rsidR="005F3608" w:rsidRDefault="00C23680">
            <w:pPr>
              <w:jc w:val="right"/>
            </w:pPr>
            <w:r>
              <w:rPr>
                <w:color w:val="000000"/>
                <w:sz w:val="24"/>
                <w:szCs w:val="24"/>
              </w:rPr>
              <w:t>3,750,800</w:t>
            </w:r>
          </w:p>
        </w:tc>
        <w:tc>
          <w:tcPr>
            <w:tcW w:w="1924" w:type="dxa"/>
            <w:vAlign w:val="center"/>
          </w:tcPr>
          <w:p w:rsidR="005F3608" w:rsidRDefault="00C23680">
            <w:pPr>
              <w:jc w:val="right"/>
            </w:pPr>
            <w:r>
              <w:rPr>
                <w:color w:val="000000"/>
                <w:sz w:val="24"/>
                <w:szCs w:val="24"/>
              </w:rPr>
              <w:t>30,644,036.00</w:t>
            </w:r>
          </w:p>
        </w:tc>
        <w:tc>
          <w:tcPr>
            <w:tcW w:w="1644" w:type="dxa"/>
            <w:vAlign w:val="center"/>
          </w:tcPr>
          <w:p w:rsidR="005F3608" w:rsidRDefault="00C23680">
            <w:pPr>
              <w:jc w:val="right"/>
            </w:pPr>
            <w:r>
              <w:rPr>
                <w:color w:val="000000"/>
                <w:sz w:val="24"/>
                <w:szCs w:val="24"/>
              </w:rPr>
              <w:t>3.28</w:t>
            </w:r>
          </w:p>
        </w:tc>
      </w:tr>
      <w:tr w:rsidR="005F3608">
        <w:trPr>
          <w:jc w:val="center"/>
        </w:trPr>
        <w:tc>
          <w:tcPr>
            <w:tcW w:w="855" w:type="dxa"/>
            <w:vAlign w:val="center"/>
          </w:tcPr>
          <w:p w:rsidR="005F3608" w:rsidRDefault="00C23680">
            <w:pPr>
              <w:jc w:val="center"/>
            </w:pPr>
            <w:r>
              <w:rPr>
                <w:color w:val="000000"/>
                <w:sz w:val="24"/>
                <w:szCs w:val="24"/>
              </w:rPr>
              <w:t>4</w:t>
            </w:r>
          </w:p>
        </w:tc>
        <w:tc>
          <w:tcPr>
            <w:tcW w:w="1334" w:type="dxa"/>
            <w:vAlign w:val="center"/>
          </w:tcPr>
          <w:p w:rsidR="005F3608" w:rsidRDefault="00C23680">
            <w:pPr>
              <w:jc w:val="center"/>
            </w:pPr>
            <w:r>
              <w:rPr>
                <w:color w:val="000000"/>
                <w:sz w:val="24"/>
                <w:szCs w:val="24"/>
              </w:rPr>
              <w:t>600310</w:t>
            </w:r>
          </w:p>
        </w:tc>
        <w:tc>
          <w:tcPr>
            <w:tcW w:w="1777" w:type="dxa"/>
            <w:vAlign w:val="center"/>
          </w:tcPr>
          <w:p w:rsidR="005F3608" w:rsidRDefault="00C23680">
            <w:pPr>
              <w:jc w:val="center"/>
            </w:pPr>
            <w:r>
              <w:rPr>
                <w:color w:val="000000"/>
                <w:sz w:val="24"/>
                <w:szCs w:val="24"/>
              </w:rPr>
              <w:t>桂东电力</w:t>
            </w:r>
          </w:p>
        </w:tc>
        <w:tc>
          <w:tcPr>
            <w:tcW w:w="1334" w:type="dxa"/>
            <w:vAlign w:val="center"/>
          </w:tcPr>
          <w:p w:rsidR="005F3608" w:rsidRDefault="00C23680">
            <w:pPr>
              <w:jc w:val="right"/>
            </w:pPr>
            <w:r>
              <w:rPr>
                <w:color w:val="000000"/>
                <w:sz w:val="24"/>
                <w:szCs w:val="24"/>
              </w:rPr>
              <w:t>4,337,900</w:t>
            </w:r>
          </w:p>
        </w:tc>
        <w:tc>
          <w:tcPr>
            <w:tcW w:w="1924" w:type="dxa"/>
            <w:vAlign w:val="center"/>
          </w:tcPr>
          <w:p w:rsidR="005F3608" w:rsidRDefault="00C23680">
            <w:pPr>
              <w:jc w:val="right"/>
            </w:pPr>
            <w:r>
              <w:rPr>
                <w:color w:val="000000"/>
                <w:sz w:val="24"/>
                <w:szCs w:val="24"/>
              </w:rPr>
              <w:t>28,847,035.00</w:t>
            </w:r>
          </w:p>
        </w:tc>
        <w:tc>
          <w:tcPr>
            <w:tcW w:w="1644" w:type="dxa"/>
            <w:vAlign w:val="center"/>
          </w:tcPr>
          <w:p w:rsidR="005F3608" w:rsidRDefault="00C23680">
            <w:pPr>
              <w:jc w:val="right"/>
            </w:pPr>
            <w:r>
              <w:rPr>
                <w:color w:val="000000"/>
                <w:sz w:val="24"/>
                <w:szCs w:val="24"/>
              </w:rPr>
              <w:t>3.09</w:t>
            </w:r>
          </w:p>
        </w:tc>
      </w:tr>
      <w:tr w:rsidR="005F3608">
        <w:trPr>
          <w:jc w:val="center"/>
        </w:trPr>
        <w:tc>
          <w:tcPr>
            <w:tcW w:w="855" w:type="dxa"/>
            <w:vAlign w:val="center"/>
          </w:tcPr>
          <w:p w:rsidR="005F3608" w:rsidRDefault="00C23680">
            <w:pPr>
              <w:jc w:val="center"/>
            </w:pPr>
            <w:r>
              <w:rPr>
                <w:color w:val="000000"/>
                <w:sz w:val="24"/>
                <w:szCs w:val="24"/>
              </w:rPr>
              <w:t>5</w:t>
            </w:r>
          </w:p>
        </w:tc>
        <w:tc>
          <w:tcPr>
            <w:tcW w:w="1334" w:type="dxa"/>
            <w:vAlign w:val="center"/>
          </w:tcPr>
          <w:p w:rsidR="005F3608" w:rsidRDefault="00C23680">
            <w:pPr>
              <w:jc w:val="center"/>
            </w:pPr>
            <w:r>
              <w:rPr>
                <w:color w:val="000000"/>
                <w:sz w:val="24"/>
                <w:szCs w:val="24"/>
              </w:rPr>
              <w:t>002053</w:t>
            </w:r>
          </w:p>
        </w:tc>
        <w:tc>
          <w:tcPr>
            <w:tcW w:w="1777" w:type="dxa"/>
            <w:vAlign w:val="center"/>
          </w:tcPr>
          <w:p w:rsidR="005F3608" w:rsidRDefault="00C23680">
            <w:pPr>
              <w:jc w:val="center"/>
            </w:pPr>
            <w:r>
              <w:rPr>
                <w:color w:val="000000"/>
                <w:sz w:val="24"/>
                <w:szCs w:val="24"/>
              </w:rPr>
              <w:t>云南能投</w:t>
            </w:r>
          </w:p>
        </w:tc>
        <w:tc>
          <w:tcPr>
            <w:tcW w:w="1334" w:type="dxa"/>
            <w:vAlign w:val="center"/>
          </w:tcPr>
          <w:p w:rsidR="005F3608" w:rsidRDefault="00C23680">
            <w:pPr>
              <w:jc w:val="right"/>
            </w:pPr>
            <w:r>
              <w:rPr>
                <w:color w:val="000000"/>
                <w:sz w:val="24"/>
                <w:szCs w:val="24"/>
              </w:rPr>
              <w:t>1,607,900</w:t>
            </w:r>
          </w:p>
        </w:tc>
        <w:tc>
          <w:tcPr>
            <w:tcW w:w="1924" w:type="dxa"/>
            <w:vAlign w:val="center"/>
          </w:tcPr>
          <w:p w:rsidR="005F3608" w:rsidRDefault="00C23680">
            <w:pPr>
              <w:jc w:val="right"/>
            </w:pPr>
            <w:r>
              <w:rPr>
                <w:color w:val="000000"/>
                <w:sz w:val="24"/>
                <w:szCs w:val="24"/>
              </w:rPr>
              <w:t>24,906,371.00</w:t>
            </w:r>
          </w:p>
        </w:tc>
        <w:tc>
          <w:tcPr>
            <w:tcW w:w="1644" w:type="dxa"/>
            <w:vAlign w:val="center"/>
          </w:tcPr>
          <w:p w:rsidR="005F3608" w:rsidRDefault="00C23680">
            <w:pPr>
              <w:jc w:val="right"/>
            </w:pPr>
            <w:r>
              <w:rPr>
                <w:color w:val="000000"/>
                <w:sz w:val="24"/>
                <w:szCs w:val="24"/>
              </w:rPr>
              <w:t>2.67</w:t>
            </w:r>
          </w:p>
        </w:tc>
      </w:tr>
      <w:tr w:rsidR="005F3608">
        <w:trPr>
          <w:jc w:val="center"/>
        </w:trPr>
        <w:tc>
          <w:tcPr>
            <w:tcW w:w="855" w:type="dxa"/>
            <w:vAlign w:val="center"/>
          </w:tcPr>
          <w:p w:rsidR="005F3608" w:rsidRDefault="00C23680">
            <w:pPr>
              <w:jc w:val="center"/>
            </w:pPr>
            <w:r>
              <w:rPr>
                <w:color w:val="000000"/>
                <w:sz w:val="24"/>
                <w:szCs w:val="24"/>
              </w:rPr>
              <w:t>6</w:t>
            </w:r>
          </w:p>
        </w:tc>
        <w:tc>
          <w:tcPr>
            <w:tcW w:w="1334" w:type="dxa"/>
            <w:vAlign w:val="center"/>
          </w:tcPr>
          <w:p w:rsidR="005F3608" w:rsidRDefault="00C23680">
            <w:pPr>
              <w:jc w:val="center"/>
            </w:pPr>
            <w:r>
              <w:rPr>
                <w:color w:val="000000"/>
                <w:sz w:val="24"/>
                <w:szCs w:val="24"/>
              </w:rPr>
              <w:t>601009</w:t>
            </w:r>
          </w:p>
        </w:tc>
        <w:tc>
          <w:tcPr>
            <w:tcW w:w="1777" w:type="dxa"/>
            <w:vAlign w:val="center"/>
          </w:tcPr>
          <w:p w:rsidR="005F3608" w:rsidRDefault="00C23680">
            <w:pPr>
              <w:jc w:val="center"/>
            </w:pPr>
            <w:r>
              <w:rPr>
                <w:color w:val="000000"/>
                <w:sz w:val="24"/>
                <w:szCs w:val="24"/>
              </w:rPr>
              <w:t>南京银行</w:t>
            </w:r>
          </w:p>
        </w:tc>
        <w:tc>
          <w:tcPr>
            <w:tcW w:w="1334" w:type="dxa"/>
            <w:vAlign w:val="center"/>
          </w:tcPr>
          <w:p w:rsidR="005F3608" w:rsidRDefault="00C23680">
            <w:pPr>
              <w:jc w:val="right"/>
            </w:pPr>
            <w:r>
              <w:rPr>
                <w:color w:val="000000"/>
                <w:sz w:val="24"/>
                <w:szCs w:val="24"/>
              </w:rPr>
              <w:t>2,892,820</w:t>
            </w:r>
          </w:p>
        </w:tc>
        <w:tc>
          <w:tcPr>
            <w:tcW w:w="1924" w:type="dxa"/>
            <w:vAlign w:val="center"/>
          </w:tcPr>
          <w:p w:rsidR="005F3608" w:rsidRDefault="00C23680">
            <w:pPr>
              <w:jc w:val="right"/>
            </w:pPr>
            <w:r>
              <w:rPr>
                <w:color w:val="000000"/>
                <w:sz w:val="24"/>
                <w:szCs w:val="24"/>
              </w:rPr>
              <w:t>22,882,206.20</w:t>
            </w:r>
          </w:p>
        </w:tc>
        <w:tc>
          <w:tcPr>
            <w:tcW w:w="1644" w:type="dxa"/>
            <w:vAlign w:val="center"/>
          </w:tcPr>
          <w:p w:rsidR="005F3608" w:rsidRDefault="00C23680">
            <w:pPr>
              <w:jc w:val="right"/>
            </w:pPr>
            <w:r>
              <w:rPr>
                <w:color w:val="000000"/>
                <w:sz w:val="24"/>
                <w:szCs w:val="24"/>
              </w:rPr>
              <w:t>2.45</w:t>
            </w:r>
          </w:p>
        </w:tc>
      </w:tr>
      <w:tr w:rsidR="005F3608">
        <w:trPr>
          <w:jc w:val="center"/>
        </w:trPr>
        <w:tc>
          <w:tcPr>
            <w:tcW w:w="855" w:type="dxa"/>
            <w:vAlign w:val="center"/>
          </w:tcPr>
          <w:p w:rsidR="005F3608" w:rsidRDefault="00C23680">
            <w:pPr>
              <w:jc w:val="center"/>
            </w:pPr>
            <w:r>
              <w:rPr>
                <w:color w:val="000000"/>
                <w:sz w:val="24"/>
                <w:szCs w:val="24"/>
              </w:rPr>
              <w:t>7</w:t>
            </w:r>
          </w:p>
        </w:tc>
        <w:tc>
          <w:tcPr>
            <w:tcW w:w="1334" w:type="dxa"/>
            <w:vAlign w:val="center"/>
          </w:tcPr>
          <w:p w:rsidR="005F3608" w:rsidRDefault="00C23680">
            <w:pPr>
              <w:jc w:val="center"/>
            </w:pPr>
            <w:r>
              <w:rPr>
                <w:color w:val="000000"/>
                <w:sz w:val="24"/>
                <w:szCs w:val="24"/>
              </w:rPr>
              <w:t>002396</w:t>
            </w:r>
          </w:p>
        </w:tc>
        <w:tc>
          <w:tcPr>
            <w:tcW w:w="1777" w:type="dxa"/>
            <w:vAlign w:val="center"/>
          </w:tcPr>
          <w:p w:rsidR="005F3608" w:rsidRDefault="00C23680">
            <w:pPr>
              <w:jc w:val="center"/>
            </w:pPr>
            <w:r>
              <w:rPr>
                <w:color w:val="000000"/>
                <w:sz w:val="24"/>
                <w:szCs w:val="24"/>
              </w:rPr>
              <w:t>星网锐捷</w:t>
            </w:r>
          </w:p>
        </w:tc>
        <w:tc>
          <w:tcPr>
            <w:tcW w:w="1334" w:type="dxa"/>
            <w:vAlign w:val="center"/>
          </w:tcPr>
          <w:p w:rsidR="005F3608" w:rsidRDefault="00C23680">
            <w:pPr>
              <w:jc w:val="right"/>
            </w:pPr>
            <w:r>
              <w:rPr>
                <w:color w:val="000000"/>
                <w:sz w:val="24"/>
                <w:szCs w:val="24"/>
              </w:rPr>
              <w:t>1,099,979</w:t>
            </w:r>
          </w:p>
        </w:tc>
        <w:tc>
          <w:tcPr>
            <w:tcW w:w="1924" w:type="dxa"/>
            <w:vAlign w:val="center"/>
          </w:tcPr>
          <w:p w:rsidR="005F3608" w:rsidRDefault="00C23680">
            <w:pPr>
              <w:jc w:val="right"/>
            </w:pPr>
            <w:r>
              <w:rPr>
                <w:color w:val="000000"/>
                <w:sz w:val="24"/>
                <w:szCs w:val="24"/>
              </w:rPr>
              <w:t>22,659,567.40</w:t>
            </w:r>
          </w:p>
        </w:tc>
        <w:tc>
          <w:tcPr>
            <w:tcW w:w="1644" w:type="dxa"/>
            <w:vAlign w:val="center"/>
          </w:tcPr>
          <w:p w:rsidR="005F3608" w:rsidRDefault="00C23680">
            <w:pPr>
              <w:jc w:val="right"/>
            </w:pPr>
            <w:r>
              <w:rPr>
                <w:color w:val="000000"/>
                <w:sz w:val="24"/>
                <w:szCs w:val="24"/>
              </w:rPr>
              <w:t>2.43</w:t>
            </w:r>
          </w:p>
        </w:tc>
      </w:tr>
      <w:tr w:rsidR="005F3608">
        <w:trPr>
          <w:jc w:val="center"/>
        </w:trPr>
        <w:tc>
          <w:tcPr>
            <w:tcW w:w="855" w:type="dxa"/>
            <w:vAlign w:val="center"/>
          </w:tcPr>
          <w:p w:rsidR="005F3608" w:rsidRDefault="00C23680">
            <w:pPr>
              <w:jc w:val="center"/>
            </w:pPr>
            <w:r>
              <w:rPr>
                <w:color w:val="000000"/>
                <w:sz w:val="24"/>
                <w:szCs w:val="24"/>
              </w:rPr>
              <w:t>8</w:t>
            </w:r>
          </w:p>
        </w:tc>
        <w:tc>
          <w:tcPr>
            <w:tcW w:w="1334" w:type="dxa"/>
            <w:vAlign w:val="center"/>
          </w:tcPr>
          <w:p w:rsidR="005F3608" w:rsidRDefault="00C23680">
            <w:pPr>
              <w:jc w:val="center"/>
            </w:pPr>
            <w:r>
              <w:rPr>
                <w:color w:val="000000"/>
                <w:sz w:val="24"/>
                <w:szCs w:val="24"/>
              </w:rPr>
              <w:t>002465</w:t>
            </w:r>
          </w:p>
        </w:tc>
        <w:tc>
          <w:tcPr>
            <w:tcW w:w="1777" w:type="dxa"/>
            <w:vAlign w:val="center"/>
          </w:tcPr>
          <w:p w:rsidR="005F3608" w:rsidRDefault="00C23680">
            <w:pPr>
              <w:jc w:val="center"/>
            </w:pPr>
            <w:r>
              <w:rPr>
                <w:color w:val="000000"/>
                <w:sz w:val="24"/>
                <w:szCs w:val="24"/>
              </w:rPr>
              <w:t>海格通信</w:t>
            </w:r>
          </w:p>
        </w:tc>
        <w:tc>
          <w:tcPr>
            <w:tcW w:w="1334" w:type="dxa"/>
            <w:vAlign w:val="center"/>
          </w:tcPr>
          <w:p w:rsidR="005F3608" w:rsidRDefault="00C23680">
            <w:pPr>
              <w:jc w:val="right"/>
            </w:pPr>
            <w:r>
              <w:rPr>
                <w:color w:val="000000"/>
                <w:sz w:val="24"/>
                <w:szCs w:val="24"/>
              </w:rPr>
              <w:t>1,800,000</w:t>
            </w:r>
          </w:p>
        </w:tc>
        <w:tc>
          <w:tcPr>
            <w:tcW w:w="1924" w:type="dxa"/>
            <w:vAlign w:val="center"/>
          </w:tcPr>
          <w:p w:rsidR="005F3608" w:rsidRDefault="00C23680">
            <w:pPr>
              <w:jc w:val="right"/>
            </w:pPr>
            <w:r>
              <w:rPr>
                <w:color w:val="000000"/>
                <w:sz w:val="24"/>
                <w:szCs w:val="24"/>
              </w:rPr>
              <w:t>20,862,000.00</w:t>
            </w:r>
          </w:p>
        </w:tc>
        <w:tc>
          <w:tcPr>
            <w:tcW w:w="1644" w:type="dxa"/>
            <w:vAlign w:val="center"/>
          </w:tcPr>
          <w:p w:rsidR="005F3608" w:rsidRDefault="00C23680">
            <w:pPr>
              <w:jc w:val="right"/>
            </w:pPr>
            <w:r>
              <w:rPr>
                <w:color w:val="000000"/>
                <w:sz w:val="24"/>
                <w:szCs w:val="24"/>
              </w:rPr>
              <w:t>2.24</w:t>
            </w:r>
          </w:p>
        </w:tc>
      </w:tr>
      <w:tr w:rsidR="005F3608">
        <w:trPr>
          <w:jc w:val="center"/>
        </w:trPr>
        <w:tc>
          <w:tcPr>
            <w:tcW w:w="855" w:type="dxa"/>
            <w:vAlign w:val="center"/>
          </w:tcPr>
          <w:p w:rsidR="005F3608" w:rsidRDefault="00C23680">
            <w:pPr>
              <w:jc w:val="center"/>
            </w:pPr>
            <w:r>
              <w:rPr>
                <w:color w:val="000000"/>
                <w:sz w:val="24"/>
                <w:szCs w:val="24"/>
              </w:rPr>
              <w:t>9</w:t>
            </w:r>
          </w:p>
        </w:tc>
        <w:tc>
          <w:tcPr>
            <w:tcW w:w="1334" w:type="dxa"/>
            <w:vAlign w:val="center"/>
          </w:tcPr>
          <w:p w:rsidR="005F3608" w:rsidRDefault="00C23680">
            <w:pPr>
              <w:jc w:val="center"/>
            </w:pPr>
            <w:r>
              <w:rPr>
                <w:color w:val="000000"/>
                <w:sz w:val="24"/>
                <w:szCs w:val="24"/>
              </w:rPr>
              <w:t>002041</w:t>
            </w:r>
          </w:p>
        </w:tc>
        <w:tc>
          <w:tcPr>
            <w:tcW w:w="1777" w:type="dxa"/>
            <w:vAlign w:val="center"/>
          </w:tcPr>
          <w:p w:rsidR="005F3608" w:rsidRDefault="00C23680">
            <w:pPr>
              <w:jc w:val="center"/>
            </w:pPr>
            <w:r>
              <w:rPr>
                <w:color w:val="000000"/>
                <w:sz w:val="24"/>
                <w:szCs w:val="24"/>
              </w:rPr>
              <w:t>登海种业</w:t>
            </w:r>
          </w:p>
        </w:tc>
        <w:tc>
          <w:tcPr>
            <w:tcW w:w="1334" w:type="dxa"/>
            <w:vAlign w:val="center"/>
          </w:tcPr>
          <w:p w:rsidR="005F3608" w:rsidRDefault="00C23680">
            <w:pPr>
              <w:jc w:val="right"/>
            </w:pPr>
            <w:r>
              <w:rPr>
                <w:color w:val="000000"/>
                <w:sz w:val="24"/>
                <w:szCs w:val="24"/>
              </w:rPr>
              <w:t>1,392,056</w:t>
            </w:r>
          </w:p>
        </w:tc>
        <w:tc>
          <w:tcPr>
            <w:tcW w:w="1924" w:type="dxa"/>
            <w:vAlign w:val="center"/>
          </w:tcPr>
          <w:p w:rsidR="005F3608" w:rsidRDefault="00C23680">
            <w:pPr>
              <w:jc w:val="right"/>
            </w:pPr>
            <w:r>
              <w:rPr>
                <w:color w:val="000000"/>
                <w:sz w:val="24"/>
                <w:szCs w:val="24"/>
              </w:rPr>
              <w:t>20,184,812.00</w:t>
            </w:r>
          </w:p>
        </w:tc>
        <w:tc>
          <w:tcPr>
            <w:tcW w:w="1644" w:type="dxa"/>
            <w:vAlign w:val="center"/>
          </w:tcPr>
          <w:p w:rsidR="005F3608" w:rsidRDefault="00C23680">
            <w:pPr>
              <w:jc w:val="right"/>
            </w:pPr>
            <w:r>
              <w:rPr>
                <w:color w:val="000000"/>
                <w:sz w:val="24"/>
                <w:szCs w:val="24"/>
              </w:rPr>
              <w:t>2.16</w:t>
            </w:r>
          </w:p>
        </w:tc>
      </w:tr>
      <w:tr w:rsidR="005F3608">
        <w:trPr>
          <w:jc w:val="center"/>
        </w:trPr>
        <w:tc>
          <w:tcPr>
            <w:tcW w:w="855" w:type="dxa"/>
            <w:vAlign w:val="center"/>
          </w:tcPr>
          <w:p w:rsidR="005F3608" w:rsidRDefault="00C23680">
            <w:pPr>
              <w:jc w:val="center"/>
            </w:pPr>
            <w:r>
              <w:rPr>
                <w:color w:val="000000"/>
                <w:sz w:val="24"/>
                <w:szCs w:val="24"/>
              </w:rPr>
              <w:t>10</w:t>
            </w:r>
          </w:p>
        </w:tc>
        <w:tc>
          <w:tcPr>
            <w:tcW w:w="1334" w:type="dxa"/>
            <w:vAlign w:val="center"/>
          </w:tcPr>
          <w:p w:rsidR="005F3608" w:rsidRDefault="00C23680">
            <w:pPr>
              <w:jc w:val="center"/>
            </w:pPr>
            <w:r>
              <w:rPr>
                <w:color w:val="000000"/>
                <w:sz w:val="24"/>
                <w:szCs w:val="24"/>
              </w:rPr>
              <w:t>000998</w:t>
            </w:r>
          </w:p>
        </w:tc>
        <w:tc>
          <w:tcPr>
            <w:tcW w:w="1777" w:type="dxa"/>
            <w:vAlign w:val="center"/>
          </w:tcPr>
          <w:p w:rsidR="005F3608" w:rsidRDefault="00C23680">
            <w:pPr>
              <w:jc w:val="center"/>
            </w:pPr>
            <w:r>
              <w:rPr>
                <w:color w:val="000000"/>
                <w:sz w:val="24"/>
                <w:szCs w:val="24"/>
              </w:rPr>
              <w:t>隆平高科</w:t>
            </w:r>
          </w:p>
        </w:tc>
        <w:tc>
          <w:tcPr>
            <w:tcW w:w="1334" w:type="dxa"/>
            <w:vAlign w:val="center"/>
          </w:tcPr>
          <w:p w:rsidR="005F3608" w:rsidRDefault="00C23680">
            <w:pPr>
              <w:jc w:val="right"/>
            </w:pPr>
            <w:r>
              <w:rPr>
                <w:color w:val="000000"/>
                <w:sz w:val="24"/>
                <w:szCs w:val="24"/>
              </w:rPr>
              <w:t>700,000</w:t>
            </w:r>
          </w:p>
        </w:tc>
        <w:tc>
          <w:tcPr>
            <w:tcW w:w="1924" w:type="dxa"/>
            <w:vAlign w:val="center"/>
          </w:tcPr>
          <w:p w:rsidR="005F3608" w:rsidRDefault="00C23680">
            <w:pPr>
              <w:jc w:val="right"/>
            </w:pPr>
            <w:r>
              <w:rPr>
                <w:color w:val="000000"/>
                <w:sz w:val="24"/>
                <w:szCs w:val="24"/>
              </w:rPr>
              <w:t>18,200,000.00</w:t>
            </w:r>
          </w:p>
        </w:tc>
        <w:tc>
          <w:tcPr>
            <w:tcW w:w="1644" w:type="dxa"/>
            <w:vAlign w:val="center"/>
          </w:tcPr>
          <w:p w:rsidR="005F3608" w:rsidRDefault="00C23680">
            <w:pPr>
              <w:jc w:val="right"/>
            </w:pPr>
            <w:r>
              <w:rPr>
                <w:color w:val="000000"/>
                <w:sz w:val="24"/>
                <w:szCs w:val="24"/>
              </w:rPr>
              <w:t>1.95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F3608">
        <w:trPr>
          <w:jc w:val="center"/>
        </w:trPr>
        <w:tc>
          <w:tcPr>
            <w:tcW w:w="850" w:type="dxa"/>
            <w:vAlign w:val="center"/>
          </w:tcPr>
          <w:p w:rsidR="005F3608" w:rsidRDefault="00C23680">
            <w:pPr>
              <w:jc w:val="center"/>
            </w:pPr>
            <w:r>
              <w:rPr>
                <w:color w:val="000000"/>
                <w:sz w:val="24"/>
                <w:szCs w:val="24"/>
              </w:rPr>
              <w:t>1</w:t>
            </w:r>
          </w:p>
        </w:tc>
        <w:tc>
          <w:tcPr>
            <w:tcW w:w="1475" w:type="dxa"/>
            <w:vAlign w:val="center"/>
          </w:tcPr>
          <w:p w:rsidR="005F3608" w:rsidRDefault="00C23680">
            <w:pPr>
              <w:jc w:val="center"/>
            </w:pPr>
            <w:r>
              <w:rPr>
                <w:color w:val="000000"/>
                <w:sz w:val="24"/>
                <w:szCs w:val="24"/>
              </w:rPr>
              <w:t>170410</w:t>
            </w:r>
          </w:p>
        </w:tc>
        <w:tc>
          <w:tcPr>
            <w:tcW w:w="1769" w:type="dxa"/>
            <w:vAlign w:val="center"/>
          </w:tcPr>
          <w:p w:rsidR="005F3608" w:rsidRDefault="00C23680">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5F3608" w:rsidRDefault="00C23680">
            <w:pPr>
              <w:jc w:val="right"/>
            </w:pPr>
            <w:r>
              <w:rPr>
                <w:color w:val="000000"/>
                <w:sz w:val="24"/>
                <w:szCs w:val="24"/>
              </w:rPr>
              <w:t>500,000</w:t>
            </w:r>
          </w:p>
        </w:tc>
        <w:tc>
          <w:tcPr>
            <w:tcW w:w="2150" w:type="dxa"/>
            <w:vAlign w:val="center"/>
          </w:tcPr>
          <w:p w:rsidR="005F3608" w:rsidRDefault="00C23680">
            <w:pPr>
              <w:jc w:val="right"/>
            </w:pPr>
            <w:r>
              <w:rPr>
                <w:color w:val="000000"/>
                <w:sz w:val="24"/>
                <w:szCs w:val="24"/>
              </w:rPr>
              <w:t>49,835,000.00</w:t>
            </w:r>
          </w:p>
        </w:tc>
        <w:tc>
          <w:tcPr>
            <w:tcW w:w="1237" w:type="dxa"/>
            <w:vAlign w:val="center"/>
          </w:tcPr>
          <w:p w:rsidR="005F3608" w:rsidRDefault="00C23680">
            <w:pPr>
              <w:jc w:val="right"/>
            </w:pPr>
            <w:r>
              <w:rPr>
                <w:color w:val="000000"/>
                <w:sz w:val="24"/>
                <w:szCs w:val="24"/>
              </w:rPr>
              <w:t>5.34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A96A94"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.9.1</w:t>
      </w:r>
      <w:r w:rsidR="00A96A94" w:rsidRPr="00414345">
        <w:rPr>
          <w:b/>
          <w:bCs/>
          <w:color w:val="000000"/>
          <w:kern w:val="0"/>
          <w:sz w:val="24"/>
          <w:szCs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640ACC">
        <w:trPr>
          <w:trHeight w:val="105"/>
          <w:jc w:val="center"/>
        </w:trPr>
        <w:tc>
          <w:tcPr>
            <w:tcW w:w="1478"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80"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73"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5F3608">
        <w:trPr>
          <w:jc w:val="center"/>
        </w:trPr>
        <w:tc>
          <w:tcPr>
            <w:tcW w:w="1478" w:type="dxa"/>
            <w:vAlign w:val="center"/>
          </w:tcPr>
          <w:p w:rsidR="005F3608" w:rsidRDefault="00C23680">
            <w:pPr>
              <w:jc w:val="center"/>
            </w:pPr>
            <w:r>
              <w:t>IH1712</w:t>
            </w:r>
          </w:p>
        </w:tc>
        <w:tc>
          <w:tcPr>
            <w:tcW w:w="1479" w:type="dxa"/>
            <w:vAlign w:val="center"/>
          </w:tcPr>
          <w:p w:rsidR="005F3608" w:rsidRDefault="00C23680">
            <w:pPr>
              <w:jc w:val="left"/>
            </w:pPr>
            <w:r>
              <w:t>IH1712</w:t>
            </w:r>
          </w:p>
        </w:tc>
        <w:tc>
          <w:tcPr>
            <w:tcW w:w="1479" w:type="dxa"/>
            <w:vAlign w:val="center"/>
          </w:tcPr>
          <w:p w:rsidR="005F3608" w:rsidRDefault="00C23680">
            <w:pPr>
              <w:jc w:val="right"/>
            </w:pPr>
            <w:r>
              <w:t>18.00</w:t>
            </w:r>
          </w:p>
        </w:tc>
        <w:tc>
          <w:tcPr>
            <w:tcW w:w="1479" w:type="dxa"/>
            <w:vAlign w:val="center"/>
          </w:tcPr>
          <w:p w:rsidR="005F3608" w:rsidRDefault="00C23680">
            <w:pPr>
              <w:jc w:val="right"/>
            </w:pPr>
            <w:r>
              <w:t>-14,589,720.00</w:t>
            </w:r>
          </w:p>
        </w:tc>
        <w:tc>
          <w:tcPr>
            <w:tcW w:w="1480" w:type="dxa"/>
            <w:vAlign w:val="center"/>
          </w:tcPr>
          <w:p w:rsidR="005F3608" w:rsidRDefault="00C23680">
            <w:pPr>
              <w:jc w:val="right"/>
            </w:pPr>
            <w:r>
              <w:t>-30,960.00</w:t>
            </w:r>
          </w:p>
        </w:tc>
        <w:tc>
          <w:tcPr>
            <w:tcW w:w="1473" w:type="dxa"/>
            <w:vAlign w:val="center"/>
          </w:tcPr>
          <w:p w:rsidR="005F3608" w:rsidRDefault="00C23680">
            <w:pPr>
              <w:jc w:val="left"/>
            </w:pPr>
            <w:r>
              <w:t>-</w:t>
            </w:r>
          </w:p>
        </w:tc>
      </w:tr>
      <w:tr w:rsidR="005F3608">
        <w:trPr>
          <w:jc w:val="center"/>
        </w:trPr>
        <w:tc>
          <w:tcPr>
            <w:tcW w:w="1478" w:type="dxa"/>
            <w:vAlign w:val="center"/>
          </w:tcPr>
          <w:p w:rsidR="005F3608" w:rsidRDefault="00C23680">
            <w:pPr>
              <w:jc w:val="center"/>
            </w:pPr>
            <w:r>
              <w:t>IF1712</w:t>
            </w:r>
          </w:p>
        </w:tc>
        <w:tc>
          <w:tcPr>
            <w:tcW w:w="1479" w:type="dxa"/>
            <w:vAlign w:val="center"/>
          </w:tcPr>
          <w:p w:rsidR="005F3608" w:rsidRDefault="00C23680">
            <w:pPr>
              <w:jc w:val="left"/>
            </w:pPr>
            <w:r>
              <w:t>IF1712</w:t>
            </w:r>
          </w:p>
        </w:tc>
        <w:tc>
          <w:tcPr>
            <w:tcW w:w="1479" w:type="dxa"/>
            <w:vAlign w:val="center"/>
          </w:tcPr>
          <w:p w:rsidR="005F3608" w:rsidRDefault="00C23680">
            <w:pPr>
              <w:jc w:val="right"/>
            </w:pPr>
            <w:r>
              <w:t>50.00</w:t>
            </w:r>
          </w:p>
        </w:tc>
        <w:tc>
          <w:tcPr>
            <w:tcW w:w="1479" w:type="dxa"/>
            <w:vAlign w:val="center"/>
          </w:tcPr>
          <w:p w:rsidR="005F3608" w:rsidRDefault="00C23680">
            <w:pPr>
              <w:jc w:val="right"/>
            </w:pPr>
            <w:r>
              <w:t>-57,549,000.00</w:t>
            </w:r>
          </w:p>
        </w:tc>
        <w:tc>
          <w:tcPr>
            <w:tcW w:w="1480" w:type="dxa"/>
            <w:vAlign w:val="center"/>
          </w:tcPr>
          <w:p w:rsidR="005F3608" w:rsidRDefault="00C23680">
            <w:pPr>
              <w:jc w:val="right"/>
            </w:pPr>
            <w:r>
              <w:t>-921,240.00</w:t>
            </w:r>
          </w:p>
        </w:tc>
        <w:tc>
          <w:tcPr>
            <w:tcW w:w="1473" w:type="dxa"/>
            <w:vAlign w:val="center"/>
          </w:tcPr>
          <w:p w:rsidR="005F3608" w:rsidRDefault="00C23680">
            <w:pPr>
              <w:jc w:val="left"/>
            </w:pPr>
            <w:r>
              <w:t>-</w:t>
            </w:r>
          </w:p>
        </w:tc>
      </w:tr>
      <w:tr w:rsidR="00640ACC" w:rsidRPr="00414345" w:rsidTr="00640ACC">
        <w:trPr>
          <w:trHeight w:val="105"/>
          <w:jc w:val="center"/>
        </w:trPr>
        <w:tc>
          <w:tcPr>
            <w:tcW w:w="7395" w:type="dxa"/>
            <w:gridSpan w:val="5"/>
            <w:vAlign w:val="center"/>
          </w:tcPr>
          <w:p w:rsidR="00640ACC" w:rsidRPr="00414345" w:rsidRDefault="00640ACC" w:rsidP="00640AC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Pr="00414345">
              <w:rPr>
                <w:rFonts w:ascii="Times New Roman" w:hAnsi="Times New Roman" w:cs="Times New Roman"/>
              </w:rPr>
              <w:t>(</w:t>
            </w:r>
            <w:r w:rsidRPr="00414345">
              <w:rPr>
                <w:rFonts w:ascii="Times New Roman" w:hAnsi="Times New Roman" w:cs="Times New Roman"/>
              </w:rPr>
              <w:t>元</w:t>
            </w:r>
            <w:r w:rsidRPr="00414345">
              <w:rPr>
                <w:rFonts w:ascii="Times New Roman" w:hAnsi="Times New Roman" w:cs="Times New Roman"/>
              </w:rPr>
              <w:t>)</w:t>
            </w:r>
          </w:p>
        </w:tc>
        <w:tc>
          <w:tcPr>
            <w:tcW w:w="1473" w:type="dxa"/>
            <w:vAlign w:val="center"/>
          </w:tcPr>
          <w:p w:rsidR="00640ACC" w:rsidRPr="00414345" w:rsidRDefault="00640ACC" w:rsidP="00640AC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-952,200.00</w:t>
            </w:r>
          </w:p>
        </w:tc>
      </w:tr>
      <w:tr w:rsidR="00640ACC" w:rsidRPr="00414345" w:rsidTr="00640ACC">
        <w:trPr>
          <w:trHeight w:val="105"/>
          <w:jc w:val="center"/>
        </w:trPr>
        <w:tc>
          <w:tcPr>
            <w:tcW w:w="7395" w:type="dxa"/>
            <w:gridSpan w:val="5"/>
            <w:vAlign w:val="center"/>
          </w:tcPr>
          <w:p w:rsidR="00640ACC" w:rsidRPr="00414345" w:rsidRDefault="00640ACC" w:rsidP="00640AC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Pr="00414345">
              <w:rPr>
                <w:rFonts w:ascii="Times New Roman" w:hAnsi="Times New Roman" w:cs="Times New Roman"/>
              </w:rPr>
              <w:t>(</w:t>
            </w:r>
            <w:r w:rsidRPr="00414345">
              <w:rPr>
                <w:rFonts w:ascii="Times New Roman" w:hAnsi="Times New Roman" w:cs="Times New Roman"/>
              </w:rPr>
              <w:t>元</w:t>
            </w:r>
            <w:r w:rsidRPr="00414345">
              <w:rPr>
                <w:rFonts w:ascii="Times New Roman" w:hAnsi="Times New Roman" w:cs="Times New Roman"/>
              </w:rPr>
              <w:t>)</w:t>
            </w:r>
          </w:p>
        </w:tc>
        <w:tc>
          <w:tcPr>
            <w:tcW w:w="1473" w:type="dxa"/>
            <w:vAlign w:val="center"/>
          </w:tcPr>
          <w:p w:rsidR="00640ACC" w:rsidRPr="00414345" w:rsidRDefault="00640ACC" w:rsidP="00640AC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1,840,160.00</w:t>
            </w:r>
          </w:p>
        </w:tc>
      </w:tr>
      <w:tr w:rsidR="00640ACC" w:rsidRPr="00414345" w:rsidTr="00640ACC">
        <w:trPr>
          <w:trHeight w:val="105"/>
          <w:jc w:val="center"/>
        </w:trPr>
        <w:tc>
          <w:tcPr>
            <w:tcW w:w="7395" w:type="dxa"/>
            <w:gridSpan w:val="5"/>
            <w:vAlign w:val="center"/>
          </w:tcPr>
          <w:p w:rsidR="00640ACC" w:rsidRPr="00414345" w:rsidRDefault="00640ACC" w:rsidP="00640AC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Pr="00414345">
              <w:rPr>
                <w:rFonts w:ascii="Times New Roman" w:hAnsi="Times New Roman" w:cs="Times New Roman"/>
              </w:rPr>
              <w:t>(</w:t>
            </w:r>
            <w:r w:rsidRPr="00414345">
              <w:rPr>
                <w:rFonts w:ascii="Times New Roman" w:hAnsi="Times New Roman" w:cs="Times New Roman"/>
              </w:rPr>
              <w:t>元</w:t>
            </w:r>
            <w:r w:rsidRPr="00414345">
              <w:rPr>
                <w:rFonts w:ascii="Times New Roman" w:hAnsi="Times New Roman" w:cs="Times New Roman"/>
              </w:rPr>
              <w:t>)</w:t>
            </w:r>
          </w:p>
        </w:tc>
        <w:tc>
          <w:tcPr>
            <w:tcW w:w="1473" w:type="dxa"/>
            <w:vAlign w:val="center"/>
          </w:tcPr>
          <w:p w:rsidR="00640ACC" w:rsidRPr="00414345" w:rsidRDefault="00640ACC" w:rsidP="00640AC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-2,148,860.00</w:t>
            </w:r>
          </w:p>
        </w:tc>
      </w:tr>
    </w:tbl>
    <w:p w:rsidR="00AA3A38" w:rsidRPr="00414345" w:rsidRDefault="00AA3A38" w:rsidP="00C15CAC">
      <w:pPr>
        <w:adjustRightInd w:val="0"/>
        <w:snapToGrid w:val="0"/>
        <w:spacing w:before="29" w:line="288" w:lineRule="auto"/>
        <w:rPr>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.9.2</w:t>
      </w:r>
      <w:r w:rsidR="00275745" w:rsidRPr="00414345">
        <w:rPr>
          <w:b/>
          <w:bCs/>
          <w:color w:val="000000"/>
          <w:kern w:val="0"/>
          <w:sz w:val="24"/>
          <w:szCs w:val="24"/>
        </w:rPr>
        <w:t>本基金投资股指期货的投资政策</w:t>
      </w:r>
    </w:p>
    <w:p w:rsidR="005F3608" w:rsidRDefault="00C23680">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w:t>
      </w:r>
      <w:r>
        <w:rPr>
          <w:color w:val="000000"/>
          <w:sz w:val="24"/>
          <w:szCs w:val="24"/>
        </w:rPr>
        <w:lastRenderedPageBreak/>
        <w:t>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12,097,479.33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101,727.57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373,711.29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130,280.17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12,703,198.36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640ACC">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F3608">
        <w:trPr>
          <w:jc w:val="center"/>
        </w:trPr>
        <w:tc>
          <w:tcPr>
            <w:tcW w:w="1129" w:type="dxa"/>
            <w:vAlign w:val="center"/>
          </w:tcPr>
          <w:p w:rsidR="005F3608" w:rsidRDefault="00C23680">
            <w:pPr>
              <w:jc w:val="center"/>
            </w:pPr>
            <w:r>
              <w:rPr>
                <w:color w:val="000000"/>
                <w:sz w:val="24"/>
                <w:szCs w:val="24"/>
              </w:rPr>
              <w:t>1</w:t>
            </w:r>
          </w:p>
        </w:tc>
        <w:tc>
          <w:tcPr>
            <w:tcW w:w="1356" w:type="dxa"/>
            <w:vAlign w:val="center"/>
          </w:tcPr>
          <w:p w:rsidR="005F3608" w:rsidRDefault="00C23680">
            <w:pPr>
              <w:jc w:val="center"/>
            </w:pPr>
            <w:r>
              <w:rPr>
                <w:color w:val="000000"/>
                <w:sz w:val="24"/>
                <w:szCs w:val="24"/>
              </w:rPr>
              <w:t>601600</w:t>
            </w:r>
          </w:p>
        </w:tc>
        <w:tc>
          <w:tcPr>
            <w:tcW w:w="1355" w:type="dxa"/>
            <w:vAlign w:val="center"/>
          </w:tcPr>
          <w:p w:rsidR="005F3608" w:rsidRDefault="00C23680">
            <w:pPr>
              <w:jc w:val="center"/>
            </w:pPr>
            <w:r>
              <w:rPr>
                <w:color w:val="000000"/>
                <w:sz w:val="24"/>
                <w:szCs w:val="24"/>
              </w:rPr>
              <w:t>中国铝业</w:t>
            </w:r>
          </w:p>
        </w:tc>
        <w:tc>
          <w:tcPr>
            <w:tcW w:w="1880" w:type="dxa"/>
            <w:vAlign w:val="center"/>
          </w:tcPr>
          <w:p w:rsidR="005F3608" w:rsidRDefault="00C23680">
            <w:pPr>
              <w:jc w:val="right"/>
            </w:pPr>
            <w:r>
              <w:rPr>
                <w:color w:val="000000"/>
                <w:sz w:val="24"/>
                <w:szCs w:val="24"/>
              </w:rPr>
              <w:t>34,822,000.00</w:t>
            </w:r>
          </w:p>
        </w:tc>
        <w:tc>
          <w:tcPr>
            <w:tcW w:w="1724" w:type="dxa"/>
            <w:vAlign w:val="center"/>
          </w:tcPr>
          <w:p w:rsidR="005F3608" w:rsidRDefault="00C23680">
            <w:pPr>
              <w:jc w:val="right"/>
            </w:pPr>
            <w:r>
              <w:rPr>
                <w:color w:val="000000"/>
                <w:sz w:val="24"/>
                <w:szCs w:val="24"/>
              </w:rPr>
              <w:t>3.73</w:t>
            </w:r>
          </w:p>
        </w:tc>
        <w:tc>
          <w:tcPr>
            <w:tcW w:w="1424" w:type="dxa"/>
            <w:vAlign w:val="center"/>
          </w:tcPr>
          <w:p w:rsidR="005F3608" w:rsidRDefault="00C23680">
            <w:pPr>
              <w:jc w:val="right"/>
            </w:pPr>
            <w:r>
              <w:rPr>
                <w:color w:val="000000"/>
                <w:sz w:val="24"/>
                <w:szCs w:val="24"/>
              </w:rPr>
              <w:t>重大事项</w:t>
            </w:r>
          </w:p>
        </w:tc>
      </w:tr>
      <w:tr w:rsidR="00640ACC">
        <w:trPr>
          <w:jc w:val="center"/>
        </w:trPr>
        <w:tc>
          <w:tcPr>
            <w:tcW w:w="1129" w:type="dxa"/>
            <w:vAlign w:val="center"/>
          </w:tcPr>
          <w:p w:rsidR="00640ACC" w:rsidRDefault="00640ACC" w:rsidP="00640ACC">
            <w:pPr>
              <w:jc w:val="center"/>
              <w:rPr>
                <w:color w:val="000000"/>
                <w:sz w:val="24"/>
                <w:szCs w:val="24"/>
              </w:rPr>
            </w:pPr>
            <w:r>
              <w:rPr>
                <w:rFonts w:hint="eastAsia"/>
                <w:color w:val="000000"/>
                <w:sz w:val="24"/>
                <w:szCs w:val="24"/>
              </w:rPr>
              <w:t>2</w:t>
            </w:r>
          </w:p>
        </w:tc>
        <w:tc>
          <w:tcPr>
            <w:tcW w:w="1356" w:type="dxa"/>
            <w:vAlign w:val="center"/>
          </w:tcPr>
          <w:p w:rsidR="00640ACC" w:rsidRDefault="00640ACC" w:rsidP="00640ACC">
            <w:pPr>
              <w:jc w:val="center"/>
              <w:rPr>
                <w:color w:val="000000"/>
                <w:sz w:val="24"/>
                <w:szCs w:val="24"/>
              </w:rPr>
            </w:pPr>
            <w:r>
              <w:rPr>
                <w:color w:val="000000"/>
                <w:sz w:val="24"/>
                <w:szCs w:val="24"/>
              </w:rPr>
              <w:t>000031</w:t>
            </w:r>
          </w:p>
        </w:tc>
        <w:tc>
          <w:tcPr>
            <w:tcW w:w="1355" w:type="dxa"/>
            <w:vAlign w:val="center"/>
          </w:tcPr>
          <w:p w:rsidR="00640ACC" w:rsidRDefault="00640ACC" w:rsidP="00640ACC">
            <w:pPr>
              <w:jc w:val="center"/>
              <w:rPr>
                <w:color w:val="000000"/>
                <w:sz w:val="24"/>
                <w:szCs w:val="24"/>
              </w:rPr>
            </w:pPr>
            <w:r>
              <w:rPr>
                <w:color w:val="000000"/>
                <w:sz w:val="24"/>
                <w:szCs w:val="24"/>
              </w:rPr>
              <w:t>中粮地产</w:t>
            </w:r>
          </w:p>
        </w:tc>
        <w:tc>
          <w:tcPr>
            <w:tcW w:w="1880" w:type="dxa"/>
            <w:vAlign w:val="center"/>
          </w:tcPr>
          <w:p w:rsidR="00640ACC" w:rsidRDefault="00640ACC" w:rsidP="00640ACC">
            <w:pPr>
              <w:jc w:val="right"/>
              <w:rPr>
                <w:color w:val="000000"/>
                <w:sz w:val="24"/>
                <w:szCs w:val="24"/>
              </w:rPr>
            </w:pPr>
            <w:r>
              <w:rPr>
                <w:color w:val="000000"/>
                <w:sz w:val="24"/>
                <w:szCs w:val="24"/>
              </w:rPr>
              <w:t>30,644,036.00</w:t>
            </w:r>
          </w:p>
        </w:tc>
        <w:tc>
          <w:tcPr>
            <w:tcW w:w="1724" w:type="dxa"/>
            <w:vAlign w:val="center"/>
          </w:tcPr>
          <w:p w:rsidR="00640ACC" w:rsidRDefault="00640ACC" w:rsidP="00640ACC">
            <w:pPr>
              <w:jc w:val="right"/>
              <w:rPr>
                <w:color w:val="000000"/>
                <w:sz w:val="24"/>
                <w:szCs w:val="24"/>
              </w:rPr>
            </w:pPr>
            <w:r>
              <w:rPr>
                <w:color w:val="000000"/>
                <w:sz w:val="24"/>
                <w:szCs w:val="24"/>
              </w:rPr>
              <w:t>3.28</w:t>
            </w:r>
          </w:p>
        </w:tc>
        <w:tc>
          <w:tcPr>
            <w:tcW w:w="1424" w:type="dxa"/>
            <w:vAlign w:val="center"/>
          </w:tcPr>
          <w:p w:rsidR="00640ACC" w:rsidRDefault="00640ACC" w:rsidP="00640ACC">
            <w:pPr>
              <w:jc w:val="right"/>
              <w:rPr>
                <w:color w:val="000000"/>
                <w:sz w:val="24"/>
                <w:szCs w:val="24"/>
              </w:rPr>
            </w:pPr>
            <w:r>
              <w:rPr>
                <w:color w:val="000000"/>
                <w:sz w:val="24"/>
                <w:szCs w:val="24"/>
              </w:rPr>
              <w:t>重大事项</w:t>
            </w:r>
          </w:p>
        </w:tc>
      </w:tr>
      <w:tr w:rsidR="00640ACC">
        <w:trPr>
          <w:jc w:val="center"/>
        </w:trPr>
        <w:tc>
          <w:tcPr>
            <w:tcW w:w="1129" w:type="dxa"/>
            <w:vAlign w:val="center"/>
          </w:tcPr>
          <w:p w:rsidR="00640ACC" w:rsidRDefault="00640ACC" w:rsidP="00640ACC">
            <w:pPr>
              <w:jc w:val="center"/>
            </w:pPr>
            <w:r>
              <w:rPr>
                <w:color w:val="000000"/>
                <w:sz w:val="24"/>
                <w:szCs w:val="24"/>
              </w:rPr>
              <w:t>3</w:t>
            </w:r>
          </w:p>
        </w:tc>
        <w:tc>
          <w:tcPr>
            <w:tcW w:w="1356" w:type="dxa"/>
            <w:vAlign w:val="center"/>
          </w:tcPr>
          <w:p w:rsidR="00640ACC" w:rsidRDefault="00640ACC" w:rsidP="00640ACC">
            <w:pPr>
              <w:jc w:val="center"/>
            </w:pPr>
            <w:r>
              <w:rPr>
                <w:color w:val="000000"/>
                <w:sz w:val="24"/>
                <w:szCs w:val="24"/>
              </w:rPr>
              <w:t>002053</w:t>
            </w:r>
          </w:p>
        </w:tc>
        <w:tc>
          <w:tcPr>
            <w:tcW w:w="1355" w:type="dxa"/>
            <w:vAlign w:val="center"/>
          </w:tcPr>
          <w:p w:rsidR="00640ACC" w:rsidRDefault="00640ACC" w:rsidP="00640ACC">
            <w:pPr>
              <w:jc w:val="center"/>
            </w:pPr>
            <w:r>
              <w:rPr>
                <w:color w:val="000000"/>
                <w:sz w:val="24"/>
                <w:szCs w:val="24"/>
              </w:rPr>
              <w:t>云南能投</w:t>
            </w:r>
          </w:p>
        </w:tc>
        <w:tc>
          <w:tcPr>
            <w:tcW w:w="1880" w:type="dxa"/>
            <w:vAlign w:val="center"/>
          </w:tcPr>
          <w:p w:rsidR="00640ACC" w:rsidRDefault="00640ACC" w:rsidP="00640ACC">
            <w:pPr>
              <w:jc w:val="right"/>
            </w:pPr>
            <w:r>
              <w:rPr>
                <w:color w:val="000000"/>
                <w:sz w:val="24"/>
                <w:szCs w:val="24"/>
              </w:rPr>
              <w:t>24,906,371.00</w:t>
            </w:r>
          </w:p>
        </w:tc>
        <w:tc>
          <w:tcPr>
            <w:tcW w:w="1724" w:type="dxa"/>
            <w:vAlign w:val="center"/>
          </w:tcPr>
          <w:p w:rsidR="00640ACC" w:rsidRDefault="00640ACC" w:rsidP="00640ACC">
            <w:pPr>
              <w:jc w:val="right"/>
            </w:pPr>
            <w:r>
              <w:rPr>
                <w:color w:val="000000"/>
                <w:sz w:val="24"/>
                <w:szCs w:val="24"/>
              </w:rPr>
              <w:t>2.67</w:t>
            </w:r>
          </w:p>
        </w:tc>
        <w:tc>
          <w:tcPr>
            <w:tcW w:w="1424" w:type="dxa"/>
            <w:vAlign w:val="center"/>
          </w:tcPr>
          <w:p w:rsidR="00640ACC" w:rsidRDefault="00640ACC" w:rsidP="00640AC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1,023,188,079.13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13,243,012.62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196,694,617.85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839,736,473.90</w:t>
            </w:r>
          </w:p>
        </w:tc>
      </w:tr>
    </w:tbl>
    <w:p w:rsidR="005F3608" w:rsidRDefault="00C2368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4D2E5B">
        <w:rPr>
          <w:color w:val="000000"/>
          <w:sz w:val="24"/>
          <w:szCs w:val="24"/>
        </w:rPr>
        <w:t xml:space="preserve">   </w:t>
      </w: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2368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C2368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F3608" w:rsidRDefault="00C2368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5F3608" w:rsidRDefault="00C2368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5F3608" w:rsidRDefault="00C2368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F3608" w:rsidRDefault="00C2368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F3608" w:rsidRDefault="00C23680">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F3608" w:rsidRDefault="00C2368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79" w:rsidRDefault="001F7579" w:rsidP="00876D65">
      <w:r>
        <w:separator/>
      </w:r>
    </w:p>
  </w:endnote>
  <w:endnote w:type="continuationSeparator" w:id="0">
    <w:p w:rsidR="001F7579" w:rsidRDefault="001F757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F3608">
      <w:rPr>
        <w:kern w:val="0"/>
        <w:szCs w:val="21"/>
      </w:rPr>
      <w:fldChar w:fldCharType="begin"/>
    </w:r>
    <w:r>
      <w:rPr>
        <w:kern w:val="0"/>
        <w:szCs w:val="21"/>
      </w:rPr>
      <w:instrText xml:space="preserve"> PAGE </w:instrText>
    </w:r>
    <w:r w:rsidR="005F3608">
      <w:rPr>
        <w:kern w:val="0"/>
        <w:szCs w:val="21"/>
      </w:rPr>
      <w:fldChar w:fldCharType="separate"/>
    </w:r>
    <w:r w:rsidR="004D2E5B">
      <w:rPr>
        <w:noProof/>
        <w:kern w:val="0"/>
        <w:szCs w:val="21"/>
      </w:rPr>
      <w:t>12</w:t>
    </w:r>
    <w:r w:rsidR="005F3608">
      <w:rPr>
        <w:kern w:val="0"/>
        <w:szCs w:val="21"/>
      </w:rPr>
      <w:fldChar w:fldCharType="end"/>
    </w:r>
    <w:r>
      <w:rPr>
        <w:rFonts w:hint="eastAsia"/>
        <w:kern w:val="0"/>
        <w:szCs w:val="21"/>
      </w:rPr>
      <w:t>页共</w:t>
    </w:r>
    <w:r w:rsidR="005F3608">
      <w:rPr>
        <w:kern w:val="0"/>
        <w:szCs w:val="21"/>
      </w:rPr>
      <w:fldChar w:fldCharType="begin"/>
    </w:r>
    <w:r>
      <w:rPr>
        <w:kern w:val="0"/>
        <w:szCs w:val="21"/>
      </w:rPr>
      <w:instrText xml:space="preserve"> NUMPAGES </w:instrText>
    </w:r>
    <w:r w:rsidR="005F3608">
      <w:rPr>
        <w:kern w:val="0"/>
        <w:szCs w:val="21"/>
      </w:rPr>
      <w:fldChar w:fldCharType="separate"/>
    </w:r>
    <w:r w:rsidR="004D2E5B">
      <w:rPr>
        <w:noProof/>
        <w:kern w:val="0"/>
        <w:szCs w:val="21"/>
      </w:rPr>
      <w:t>12</w:t>
    </w:r>
    <w:r w:rsidR="005F360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79" w:rsidRDefault="001F7579" w:rsidP="00876D65">
      <w:r>
        <w:separator/>
      </w:r>
    </w:p>
  </w:footnote>
  <w:footnote w:type="continuationSeparator" w:id="0">
    <w:p w:rsidR="001F7579" w:rsidRDefault="001F757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1F7579"/>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2E5B"/>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608"/>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0ACC"/>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3680"/>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D210A-B778-43D4-858E-3A0EB3D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7024-9A19-4E5F-8587-A8BA161E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12</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2017-10-23T06:13:00Z</dcterms:modified>
</cp:coreProperties>
</file>