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交银施罗德丰泽收益债券型证券投资基金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2017年第3季度报告</w:t>
      </w:r>
    </w:p>
    <w:p w:rsidR="009A2283" w:rsidRPr="005858C2" w:rsidRDefault="00577209" w:rsidP="007C14DF">
      <w:pPr>
        <w:spacing w:before="29" w:line="288" w:lineRule="auto"/>
        <w:jc w:val="center"/>
        <w:rPr>
          <w:b/>
          <w:sz w:val="36"/>
          <w:szCs w:val="36"/>
        </w:rPr>
      </w:pPr>
      <w:r w:rsidRPr="005858C2">
        <w:rPr>
          <w:b/>
          <w:sz w:val="36"/>
          <w:szCs w:val="36"/>
        </w:rPr>
        <w:t/>
      </w:r>
      <w:r w:rsidR="00121533" w:rsidRPr="005858C2">
        <w:rPr>
          <w:b/>
          <w:sz w:val="36"/>
          <w:szCs w:val="36"/>
        </w:rPr>
        <w:t>2017年9月30日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基金托管人中信银行股份有限公司根据本基金合同规定，于2017年10月24日复核了本报告中的财务指标、净值表现和投资组合报告等内容，保证复核内容不存在虚假记载、误导性陈述或者重大遗漏。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本报告期自2017年7月1日起至9月30日止。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交银丰泽收益债券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519749</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2015年1月30日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10,259,434.21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在严格控制风险的基础上,力争获取高于业绩比较基准的稳定收益。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 xml:space="preserve">交银丰泽收益债券A </w:t>
            </w:r>
          </w:p>
        </w:tc>
        <w:tc>
          <w:tcPr>
            <w:tcW w:w="3048"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 xml:space="preserve">交银丰泽收益债券C </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r w:rsidRPr="007F52FA">
              <w:rPr>
                <w:color w:val="000000" w:themeColor="text1"/>
                <w:sz w:val="24"/>
              </w:rPr>
              <w:t/>
            </w:r>
            <w:r w:rsidRPr="000E4C40">
              <w:rPr>
                <w:color w:val="000000"/>
                <w:kern w:val="0"/>
                <w:sz w:val="24"/>
              </w:rPr>
              <w:t/>
            </w:r>
            <w:r>
              <w:rPr>
                <w:rFonts w:hint="eastAsia"/>
                <w:color w:val="000000"/>
                <w:kern w:val="0"/>
                <w:sz w:val="24"/>
              </w:rPr>
              <w:t/>
            </w:r>
            <w:r w:rsidRPr="000E4C40">
              <w:rPr>
                <w:sz w:val="24"/>
              </w:rPr>
              <w:t/>
            </w:r>
          </w:p>
        </w:tc>
        <w:tc>
          <w:tcPr>
            <w:tcW w:w="2922" w:type="dxa"/>
            <w:vAlign w:val="center"/>
          </w:tcPr>
          <w:p w:rsidR="00C23B30" w:rsidRPr="000E4C40" w:rsidRDefault="00C23B30" w:rsidP="007F50FB">
            <w:pPr>
              <w:spacing w:before="29" w:line="288" w:lineRule="auto"/>
              <w:jc w:val="left"/>
              <w:rPr>
                <w:sz w:val="24"/>
              </w:rPr>
            </w:pPr>
            <w:r w:rsidRPr="007F52FA">
              <w:rPr>
                <w:color w:val="000000" w:themeColor="text1"/>
                <w:sz w:val="24"/>
              </w:rPr>
              <w:t/>
            </w:r>
            <w:r w:rsidRPr="000E4C40">
              <w:rPr>
                <w:color w:val="000000"/>
                <w:kern w:val="0"/>
                <w:sz w:val="24"/>
              </w:rPr>
              <w:t/>
            </w:r>
            <w:r w:rsidRPr="000E4C40">
              <w:rPr>
                <w:sz w:val="24"/>
              </w:rPr>
              <w:t>519749</w:t>
            </w:r>
          </w:p>
        </w:tc>
        <w:tc>
          <w:tcPr>
            <w:tcW w:w="3048" w:type="dxa"/>
            <w:vAlign w:val="center"/>
          </w:tcPr>
          <w:p w:rsidR="00C23B30" w:rsidRPr="000E4C40" w:rsidRDefault="00261F47" w:rsidP="00A52A9E">
            <w:pPr>
              <w:spacing w:before="29" w:line="288" w:lineRule="auto"/>
              <w:jc w:val="left"/>
              <w:rPr>
                <w:sz w:val="24"/>
              </w:rPr>
            </w:pPr>
            <w:r w:rsidRPr="007F52FA">
              <w:rPr>
                <w:color w:val="000000" w:themeColor="text1"/>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004711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w="2922"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10,259,194.48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239.73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注：本基金自2017年2月6日起转为开放式运作。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(2017年7月1日-2017年9月30日)</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xml:space="preserve">交银丰泽收益债券A </w:t>
            </w: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 xml:space="preserve">交银丰泽收益债券C </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-12,734.50</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-0.08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-7,834.62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-0.0007</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10,380,719.92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240.58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 xml:space="preserve">交银丰泽收益债券A </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-0.10%</w:t>
            </w:r>
          </w:p>
        </w:tc>
        <w:tc>
          <w:tcPr>
            <w:vAlign w:val="center"/>
          </w:tcPr>
          <w:p>
            <w:pPr>
              <w:jc w:val="center"/>
            </w:pPr>
            <w:r>
              <w:rPr>
                <w:color w:val="000000"/>
                <w:sz w:val="24"/>
              </w:rPr>
              <w:t>0.05%</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0.06%</w:t>
            </w:r>
          </w:p>
        </w:tc>
        <w:tc>
          <w:tcPr>
            <w:vAlign w:val="center"/>
          </w:tcPr>
          <w:p>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注：本基金自2017年2月6日起转为开放式运作，本基金的业绩比较基准由“两年期银行定期存款税后收益率+1.25%”变更为“中债综合全价指数”，3.2.2同。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 xml:space="preserve">交银丰泽收益债券C </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0.10%</w:t>
            </w:r>
          </w:p>
        </w:tc>
        <w:tc>
          <w:tcPr>
            <w:vAlign w:val="center"/>
          </w:tcPr>
          <w:p>
            <w:pPr>
              <w:jc w:val="center"/>
            </w:pPr>
            <w:r>
              <w:rPr>
                <w:color w:val="000000"/>
                <w:sz w:val="24"/>
              </w:rPr>
              <w:t>0.04%</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0.26%</w:t>
            </w:r>
          </w:p>
        </w:tc>
        <w:tc>
          <w:tcPr>
            <w:vAlign w:val="center"/>
          </w:tcPr>
          <w:p>
            <w:pPr>
              <w:jc w:val="center"/>
            </w:pPr>
            <w:r>
              <w:rPr>
                <w:color w:val="000000"/>
                <w:sz w:val="24"/>
              </w:rPr>
              <w:t>0.00%</w:t>
            </w:r>
          </w:p>
        </w:tc>
      </w:tr>
    </w:tbl>
    <w:p w:rsidR="009238DB" w:rsidRPr="007F52FA" w:rsidRDefault="00973B57" w:rsidP="007C14DF">
      <w:pPr>
        <w:autoSpaceDE w:val="0"/>
        <w:autoSpaceDN w:val="0"/>
        <w:adjustRightInd w:val="0"/>
        <w:spacing w:before="29" w:line="288" w:lineRule="auto"/>
        <w:jc w:val="left"/>
        <w:rPr>
          <w:color w:val="000000"/>
          <w:sz w:val="24"/>
        </w:rPr>
      </w:pPr>
      <w:r w:rsidRPr="007F52FA">
        <w:rPr>
          <w:color w:val="000000"/>
          <w:sz w:val="24"/>
        </w:rPr>
        <w:t/>
      </w:r>
      <w:r w:rsidR="00FE7FBD" w:rsidRPr="007F52FA">
        <w:rPr>
          <w:color w:val="000000"/>
          <w:sz w:val="24"/>
        </w:rPr>
        <w:t/>
      </w:r>
      <w:r w:rsidRPr="007F52FA">
        <w:rPr>
          <w:color w:val="000000"/>
          <w:sz w:val="24"/>
        </w:rPr>
        <w:t>注：本基金自2017年2月6日起转为开放式运作，本基金的业绩比较基准由“两年期银行定期存款税后收益率+1.25%”变更为“中债综合全价指数”，3.2.2同。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交银施罗德丰泽收益债券型证券投资基金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2015年1月30日</w:t>
      </w:r>
      <w:r w:rsidR="009A045B" w:rsidRPr="007F52FA">
        <w:rPr>
          <w:rFonts w:ascii="Times New Roman" w:hAnsi="Times New Roman"/>
          <w:sz w:val="24"/>
          <w:szCs w:val="24"/>
        </w:rPr>
        <w:t>至</w:t>
      </w:r>
      <w:r w:rsidRPr="007F52FA">
        <w:rPr>
          <w:rFonts w:ascii="Times New Roman" w:hAnsi="Times New Roman"/>
          <w:sz w:val="24"/>
          <w:szCs w:val="24"/>
        </w:rPr>
        <w:t>2017年9月30日</w:t>
      </w:r>
      <w:r w:rsidRPr="007F52FA">
        <w:rPr>
          <w:rFonts w:ascii="Times New Roman" w:hAnsi="Times New Roman"/>
          <w:sz w:val="24"/>
          <w:szCs w:val="24"/>
        </w:rPr>
        <w:t>）</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 xml:space="preserve">交银丰泽收益债券A </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 xml:space="preserve">交银丰泽收益债券C </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注：本基金自2017年5月19日起增加C类份额，投资者提交的申购申请于2017年5月22日被确认并将有效份额登记在册。图示日期为2017年5月22日至2017年9月30日。</w:t>
      </w:r>
    </w:p>
    <w:p w:rsidR="00757FD7" w:rsidRPr="007F52FA" w:rsidRDefault="00757FD7" w:rsidP="007C14DF">
      <w:pPr>
        <w:spacing w:before="29" w:line="288" w:lineRule="auto"/>
        <w:ind w:firstLineChars="200" w:firstLine="480"/>
        <w:rPr>
          <w:color w:val="000000"/>
          <w:sz w:val="24"/>
        </w:rPr>
      </w:pPr>
      <w:r w:rsidRPr="007F52FA">
        <w:rPr>
          <w:color w:val="000000"/>
          <w:sz w:val="24"/>
        </w:rPr>
        <w:t/>
      </w:r>
      <w:r w:rsidR="00FE7FBD" w:rsidRPr="007F52FA">
        <w:rPr>
          <w:color w:val="000000"/>
          <w:sz w:val="24"/>
        </w:rPr>
        <w:t/>
      </w:r>
      <w:r w:rsidRPr="007F52FA">
        <w:rPr>
          <w:color w:val="000000"/>
          <w:sz w:val="24"/>
        </w:rPr>
        <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丰泽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CPI同比，但是非食品项持续高于其季节性周期变化，其中原油、服务类价格上涨是主因。货币政策稳健中性的基调不变，流动性总体紧平衡。</w:t>
      </w:r>
    </w:p>
    <w:p>
      <w:pPr>
        <w:spacing w:before="29" w:line="288" w:lineRule="auto"/>
        <w:ind w:firstLineChars="200" w:firstLine="480"/>
        <w:rPr>
          <w:color w:val="000000"/>
          <w:sz w:val="24"/>
        </w:rPr>
      </w:pPr>
      <w:r>
        <w:rPr>
          <w:color w:val="000000"/>
          <w:sz w:val="24"/>
        </w:rPr>
        <w:t>基金操作方面，本基金主要配置了流动性较好的利率债。</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虽有韧性，但在出口、基建和房地产下行的拖累下，GDP名义增速逐步下行概率较大，市场对于通胀的预期逐渐抬升，后续需密切关注食品价格变化以及PPI向CPI的传导是否顺畅。此前快速增加的理财、同业存单规模已逐步降低增速，这表明金融去杠杆已经颇有成效,但是我们预计去杠杆政策仍将延续，货币政策将会保持不紧不松的状态，流动性压力会始终存在。组合管理方面，本基金预计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2017年9月30日，交银丰泽收益债券A份额净值为1.012元，本报告期份额净值增长率为-0.10%，同期业绩比较基准增长率为-0.16%；交银丰泽收益债券C份额净值为1.004元，本报告期份额净值增长率为0.10%，同期业绩比较基准增长率为-0.16%。</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六十个工作日以上出现基金资产净值低于5000万元、连续二十个工作日以上出现基金份额持有人数量不满200人的情形，截至本报告期末，本基金基金资产净值仍低于5000万元、基金份额持有人数量已高于200人，基金管理人已向中国证券监督管理委员会进行了报告，拟通过终止基金合同的方式解决。</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10,292,800.00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10,292,800.00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
            </w:r>
            <w:r w:rsidRPr="007F52FA">
              <w:rPr>
                <w:rFonts w:eastAsiaTheme="minorEastAsia"/>
                <w:color w:val="000000"/>
                <w:sz w:val="24"/>
              </w:rPr>
              <w:lastRenderedPageBreak/>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116,593.11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
            </w:r>
            <w:r w:rsidRPr="007F52FA">
              <w:rPr>
                <w:color w:val="000000"/>
                <w:sz w:val="24"/>
              </w:rPr>
              <w:lastRenderedPageBreak/>
              <w:t/>
            </w:r>
            <w:r w:rsidR="004170FA" w:rsidRPr="007F52FA">
              <w:rPr>
                <w:color w:val="000000"/>
                <w:sz w:val="24"/>
              </w:rPr>
              <w:t/>
            </w: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lastRenderedPageBreak/>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
            </w:r>
            <w:r w:rsidRPr="007F52FA">
              <w:rPr>
                <w:color w:val="000000"/>
                <w:sz w:val="24"/>
              </w:rPr>
              <w:lastRenderedPageBreak/>
              <w:t>261,997.23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lastRenderedPageBreak/>
              <w:t/>
            </w:r>
            <w:r w:rsidRPr="007F52FA">
              <w:rPr>
                <w:color w:val="000000"/>
                <w:sz w:val="24"/>
              </w:rPr>
              <w:lastRenderedPageBreak/>
              <w:t>2.46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
            </w:r>
            <w:r w:rsidR="004170FA" w:rsidRPr="007F52FA">
              <w:rPr>
                <w:color w:val="000000"/>
                <w:sz w:val="24"/>
              </w:rPr>
              <w:t/>
            </w: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10,671,390.34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10,292,800.00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10,292,800.00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10,292,800.00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99.15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160215</w:t>
            </w:r>
          </w:p>
        </w:tc>
        <w:tc>
          <w:tcPr>
            <w:vAlign w:val="center"/>
          </w:tcPr>
          <w:p>
            <w:pPr>
              <w:jc w:val="center"/>
            </w:pPr>
            <w:r>
              <w:rPr>
                <w:color w:val="000000"/>
                <w:sz w:val="24"/>
              </w:rPr>
              <w:t>16国开15</w:t>
            </w:r>
          </w:p>
        </w:tc>
        <w:tc>
          <w:tcPr>
            <w:vAlign w:val="center"/>
          </w:tcPr>
          <w:p>
            <w:pPr>
              <w:jc w:val="right"/>
            </w:pPr>
            <w:r>
              <w:rPr>
                <w:color w:val="000000"/>
                <w:sz w:val="24"/>
              </w:rPr>
              <w:t>100,000</w:t>
            </w:r>
          </w:p>
        </w:tc>
        <w:tc>
          <w:tcPr>
            <w:vAlign w:val="center"/>
          </w:tcPr>
          <w:p>
            <w:pPr>
              <w:jc w:val="right"/>
            </w:pPr>
            <w:r>
              <w:rPr>
                <w:color w:val="000000"/>
                <w:sz w:val="24"/>
              </w:rPr>
              <w:t>9,694,000.00</w:t>
            </w:r>
          </w:p>
        </w:tc>
        <w:tc>
          <w:tcPr>
            <w:vAlign w:val="center"/>
          </w:tcPr>
          <w:p>
            <w:pPr>
              <w:jc w:val="right"/>
            </w:pPr>
            <w:r>
              <w:rPr>
                <w:color w:val="000000"/>
                <w:sz w:val="24"/>
              </w:rPr>
              <w:t>93.38</w:t>
            </w:r>
          </w:p>
        </w:tc>
      </w:tr>
      <w:tr>
        <w:tc>
          <w:tcPr>
            <w:vAlign w:val="center"/>
          </w:tcPr>
          <w:p>
            <w:pPr>
              <w:jc w:val="center"/>
            </w:pPr>
            <w:r>
              <w:rPr>
                <w:color w:val="000000"/>
                <w:sz w:val="24"/>
              </w:rPr>
              <w:t>2</w:t>
            </w:r>
          </w:p>
        </w:tc>
        <w:tc>
          <w:tcPr>
            <w:vAlign w:val="center"/>
          </w:tcPr>
          <w:p>
            <w:pPr>
              <w:jc w:val="center"/>
            </w:pPr>
            <w:r>
              <w:rPr>
                <w:color w:val="000000"/>
                <w:sz w:val="24"/>
              </w:rPr>
              <w:t>108601</w:t>
            </w:r>
          </w:p>
        </w:tc>
        <w:tc>
          <w:tcPr>
            <w:vAlign w:val="center"/>
          </w:tcPr>
          <w:p>
            <w:pPr>
              <w:jc w:val="center"/>
            </w:pPr>
            <w:r>
              <w:rPr>
                <w:color w:val="000000"/>
                <w:sz w:val="24"/>
              </w:rPr>
              <w:t>国开1703</w:t>
            </w:r>
          </w:p>
        </w:tc>
        <w:tc>
          <w:tcPr>
            <w:vAlign w:val="center"/>
          </w:tcPr>
          <w:p>
            <w:pPr>
              <w:jc w:val="right"/>
            </w:pPr>
            <w:r>
              <w:rPr>
                <w:color w:val="000000"/>
                <w:sz w:val="24"/>
              </w:rPr>
              <w:t>6,000</w:t>
            </w:r>
          </w:p>
        </w:tc>
        <w:tc>
          <w:tcPr>
            <w:vAlign w:val="center"/>
          </w:tcPr>
          <w:p>
            <w:pPr>
              <w:jc w:val="right"/>
            </w:pPr>
            <w:r>
              <w:rPr>
                <w:color w:val="000000"/>
                <w:sz w:val="24"/>
              </w:rPr>
              <w:t>598,800.00</w:t>
            </w:r>
          </w:p>
        </w:tc>
        <w:tc>
          <w:tcPr>
            <w:vAlign w:val="center"/>
          </w:tcPr>
          <w:p>
            <w:pPr>
              <w:jc w:val="right"/>
            </w:pPr>
            <w:r>
              <w:rPr>
                <w:color w:val="000000"/>
                <w:sz w:val="24"/>
              </w:rPr>
              <w:t>5.77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A621E1" w:rsidP="007C14DF">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60"/>
        <w:gridCol w:w="2706"/>
        <w:gridCol w:w="4902"/>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1,353.92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260,643.31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261,997.23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 xml:space="preserve">交银丰泽收益债券A </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 xml:space="preserve">交银丰泽收益债券C </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13,710,259.69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250.00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23,516.35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89.73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3,474,581.56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Pr="007F52FA">
              <w:rPr>
                <w:rFonts w:eastAsiaTheme="minorEastAsia"/>
                <w:color w:val="000000"/>
                <w:sz w:val="24"/>
              </w:rPr>
              <w:lastRenderedPageBreak/>
              <w:t/>
            </w:r>
            <w:r w:rsidR="0042785F" w:rsidRPr="007F52FA">
              <w:rPr>
                <w:rFonts w:eastAsiaTheme="minorEastAsia"/>
                <w:color w:val="000000"/>
                <w:sz w:val="24"/>
              </w:rPr>
              <w:t>10,259,194.48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
            </w:r>
            <w:r w:rsidR="004D614E" w:rsidRPr="007F52FA">
              <w:rPr>
                <w:rFonts w:eastAsiaTheme="minorEastAsia"/>
                <w:color w:val="000000"/>
                <w:sz w:val="24"/>
              </w:rPr>
              <w:t/>
            </w:r>
            <w:r w:rsidR="0042785F" w:rsidRPr="007F52FA">
              <w:rPr>
                <w:rFonts w:eastAsiaTheme="minorEastAsia"/>
                <w:color w:val="000000"/>
                <w:sz w:val="24"/>
              </w:rPr>
              <w:t>239.73</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Chars="200" w:firstLine="480"/>
        <w:rPr>
          <w:rFonts w:eastAsiaTheme="minorEastAsia"/>
          <w:color w:val="000000"/>
          <w:sz w:val="24"/>
        </w:rPr>
      </w:pPr>
      <w:r>
        <w:rPr>
          <w:rFonts w:eastAsiaTheme="minorEastAsia"/>
          <w:color w:val="000000"/>
          <w:sz w:val="24"/>
        </w:rPr>
        <w:t xml:space="preserve">1、中国证监会准予交银施罗德丰泽收益债券型证券投资基金募集注册的文件； </w:t>
      </w:r>
    </w:p>
    <w:p>
      <w:pPr>
        <w:spacing w:before="29" w:line="288" w:lineRule="auto"/>
        <w:ind w:firstLineChars="200" w:firstLine="480"/>
        <w:rPr>
          <w:rFonts w:eastAsiaTheme="minorEastAsia"/>
          <w:color w:val="000000"/>
          <w:sz w:val="24"/>
        </w:rPr>
      </w:pPr>
      <w:r>
        <w:rPr>
          <w:rFonts w:eastAsiaTheme="minorEastAsia"/>
          <w:color w:val="000000"/>
          <w:sz w:val="24"/>
        </w:rPr>
        <w:t>2、《交银施罗德丰泽收益债券型证券投资基金基金合同》；</w:t>
      </w:r>
    </w:p>
    <w:p>
      <w:pPr>
        <w:spacing w:before="29" w:line="288" w:lineRule="auto"/>
        <w:ind w:firstLineChars="200" w:firstLine="480"/>
        <w:rPr>
          <w:rFonts w:eastAsiaTheme="minorEastAsia"/>
          <w:color w:val="000000"/>
          <w:sz w:val="24"/>
        </w:rPr>
      </w:pPr>
      <w:r>
        <w:rPr>
          <w:rFonts w:eastAsiaTheme="minorEastAsia"/>
          <w:color w:val="000000"/>
          <w:sz w:val="24"/>
        </w:rPr>
        <w:t xml:space="preserve">3、《交银施罗德丰泽收益债券型证券投资基金招募说明书》； </w:t>
      </w:r>
    </w:p>
    <w:p>
      <w:pPr>
        <w:spacing w:before="29" w:line="288" w:lineRule="auto"/>
        <w:ind w:firstLineChars="200" w:firstLine="480"/>
        <w:rPr>
          <w:rFonts w:eastAsiaTheme="minorEastAsia"/>
          <w:color w:val="000000"/>
          <w:sz w:val="24"/>
        </w:rPr>
      </w:pPr>
      <w:r>
        <w:rPr>
          <w:rFonts w:eastAsiaTheme="minorEastAsia"/>
          <w:color w:val="000000"/>
          <w:sz w:val="24"/>
        </w:rPr>
        <w:t xml:space="preserve">4、《交银施罗德丰泽收益债券型证券投资基金托管协议》； </w:t>
      </w:r>
    </w:p>
    <w:p>
      <w:pPr>
        <w:spacing w:before="29" w:line="288" w:lineRule="auto"/>
        <w:ind w:firstLineChars="200" w:firstLine="48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Chars="200" w:firstLine="48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Chars="200" w:firstLine="480"/>
        <w:rPr>
          <w:rFonts w:eastAsiaTheme="minorEastAsia"/>
          <w:color w:val="000000"/>
          <w:sz w:val="24"/>
        </w:rPr>
      </w:pPr>
      <w:r>
        <w:rPr>
          <w:rFonts w:eastAsiaTheme="minorEastAsia"/>
          <w:color w:val="000000"/>
          <w:sz w:val="24"/>
        </w:rPr>
        <w:t>7、关于申请募集注册交银施罗德丰泽收益债券型证券投资基金的法律意见书；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8、报告期内交银施罗德丰泽收益债券型证券投资基金在指定报刊上各项公告的原稿。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Chars="200" w:firstLine="48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83" w:rsidRDefault="00307783">
      <w:r>
        <w:separator/>
      </w:r>
    </w:p>
  </w:endnote>
  <w:endnote w:type="continuationSeparator" w:id="1">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BE251D">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BE251D">
      <w:rPr>
        <w:noProof/>
        <w:kern w:val="0"/>
        <w:szCs w:val="21"/>
      </w:rPr>
      <w:t>27</w:t>
    </w:r>
    <w:r w:rsidR="007866A0">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83" w:rsidRDefault="00307783">
      <w:r>
        <w:separator/>
      </w:r>
    </w:p>
  </w:footnote>
  <w:footnote w:type="continuationSeparator" w:id="1">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7866A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media/image3.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0FB8-E59B-4A47-8590-67E2D70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27</Pages>
  <Words>4246</Words>
  <Characters>24205</Characters>
  <Application>Microsoft Office Word</Application>
  <DocSecurity>0</DocSecurity>
  <Lines>201</Lines>
  <Paragraphs>56</Paragraphs>
  <ScaleCrop>false</ScaleCrop>
  <Company>TRT. Ltd. Co.</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China</cp:lastModifiedBy>
  <cp:lastPrinted>2007-07-19T00:46:00Z</cp:lastPrinted>
  <dcterms:modified xsi:type="dcterms:W3CDTF">2017-07-10T10:11:00Z</dcterms:modified>
  <cp:revision>369</cp:revision>
</cp:coreProperties>
</file>