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交银施罗德丰盈收益债券型证券投资基金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2017</w:t>
      </w:r>
      <w:r w:rsidRPr="005858C2">
        <w:rPr>
          <w:rFonts w:eastAsiaTheme="minorEastAsia"/>
          <w:b/>
          <w:sz w:val="36"/>
          <w:szCs w:val="36"/>
        </w:rPr>
        <w:t>年第</w:t>
      </w:r>
      <w:r w:rsidRPr="005858C2">
        <w:rPr>
          <w:rFonts w:eastAsiaTheme="minorEastAsia"/>
          <w:b/>
          <w:sz w:val="36"/>
          <w:szCs w:val="36"/>
        </w:rPr>
        <w:t>3</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2017</w:t>
      </w:r>
      <w:r w:rsidRPr="005858C2">
        <w:rPr>
          <w:b/>
          <w:sz w:val="36"/>
          <w:szCs w:val="36"/>
        </w:rPr>
        <w:t>年</w:t>
      </w:r>
      <w:r w:rsidRPr="005858C2">
        <w:rPr>
          <w:b/>
          <w:sz w:val="36"/>
          <w:szCs w:val="36"/>
        </w:rPr>
        <w:t>9</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中信银行股份有限公司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二〇一七年十月二十五日</w:t>
      </w:r>
    </w:p>
    <w:p w:rsidR="009238DB" w:rsidRPr="007F52FA" w:rsidRDefault="009238DB" w:rsidP="00BE251D">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763099" w:rsidRDefault="000A4E87">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763099" w:rsidRDefault="000A4E87">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2017</w:t>
      </w:r>
      <w:r>
        <w:rPr>
          <w:rFonts w:eastAsiaTheme="minorEastAsia"/>
          <w:color w:val="000000"/>
          <w:sz w:val="24"/>
        </w:rPr>
        <w:t>年</w:t>
      </w:r>
      <w:r>
        <w:rPr>
          <w:rFonts w:eastAsiaTheme="minorEastAsia"/>
          <w:color w:val="000000"/>
          <w:sz w:val="24"/>
        </w:rPr>
        <w:t>10</w:t>
      </w:r>
      <w:r>
        <w:rPr>
          <w:rFonts w:eastAsiaTheme="minorEastAsia"/>
          <w:color w:val="000000"/>
          <w:sz w:val="24"/>
        </w:rPr>
        <w:t>月</w:t>
      </w:r>
      <w:r>
        <w:rPr>
          <w:rFonts w:eastAsiaTheme="minorEastAsia"/>
          <w:color w:val="000000"/>
          <w:sz w:val="24"/>
        </w:rPr>
        <w:t>24</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763099" w:rsidRDefault="000A4E87">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763099" w:rsidRDefault="000A4E87">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763099" w:rsidRDefault="000A4E87">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2017</w:t>
      </w:r>
      <w:r w:rsidRPr="007F52FA">
        <w:rPr>
          <w:rFonts w:eastAsiaTheme="minorEastAsia"/>
          <w:color w:val="000000"/>
          <w:sz w:val="24"/>
        </w:rPr>
        <w:t>年</w:t>
      </w:r>
      <w:r w:rsidRPr="007F52FA">
        <w:rPr>
          <w:rFonts w:eastAsiaTheme="minorEastAsia"/>
          <w:color w:val="000000"/>
          <w:sz w:val="24"/>
        </w:rPr>
        <w:t>7</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9</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交银丰盈收益债券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519740</w:t>
            </w:r>
          </w:p>
        </w:tc>
      </w:tr>
      <w:tr w:rsidR="001B5C37" w:rsidRPr="007F52FA" w:rsidTr="00E96817">
        <w:trPr>
          <w:jc w:val="center"/>
        </w:trPr>
        <w:tc>
          <w:tcPr>
            <w:tcW w:w="3023" w:type="dxa"/>
            <w:vAlign w:val="center"/>
          </w:tcPr>
          <w:p w:rsidR="001B5C37" w:rsidRPr="007F52FA" w:rsidRDefault="001B5C37" w:rsidP="007C14DF">
            <w:pPr>
              <w:adjustRightInd w:val="0"/>
              <w:spacing w:before="29" w:line="288" w:lineRule="auto"/>
              <w:ind w:left="17"/>
              <w:jc w:val="left"/>
              <w:rPr>
                <w:kern w:val="0"/>
                <w:sz w:val="24"/>
              </w:rPr>
            </w:pPr>
            <w:r w:rsidRPr="007F52FA">
              <w:rPr>
                <w:kern w:val="0"/>
                <w:sz w:val="24"/>
              </w:rPr>
              <w:t>交易代码</w:t>
            </w:r>
          </w:p>
        </w:tc>
        <w:tc>
          <w:tcPr>
            <w:tcW w:w="5970" w:type="dxa"/>
            <w:gridSpan w:val="2"/>
            <w:tcBorders>
              <w:bottom w:val="single" w:sz="4" w:space="0" w:color="auto"/>
            </w:tcBorders>
            <w:vAlign w:val="center"/>
          </w:tcPr>
          <w:p w:rsidR="001B5C37" w:rsidRPr="007F52FA" w:rsidRDefault="001B5C37">
            <w:pPr>
              <w:adjustRightInd w:val="0"/>
              <w:spacing w:before="29" w:line="288" w:lineRule="auto"/>
              <w:ind w:left="17"/>
              <w:jc w:val="left"/>
              <w:rPr>
                <w:color w:val="000000"/>
                <w:kern w:val="0"/>
                <w:sz w:val="24"/>
              </w:rPr>
            </w:pPr>
            <w:r w:rsidRPr="007F52FA">
              <w:rPr>
                <w:color w:val="000000"/>
                <w:kern w:val="0"/>
                <w:sz w:val="24"/>
              </w:rPr>
              <w:t>519740</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契约型，本基金在基金合同生效之日起三年（含三年）的期间内封闭式运作（按照基金合同的约定提前转换基金运作方式的除外），封闭期结束后转为开放式运作</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2014</w:t>
            </w:r>
            <w:r w:rsidRPr="007F52FA">
              <w:rPr>
                <w:color w:val="000000"/>
                <w:kern w:val="0"/>
                <w:sz w:val="24"/>
              </w:rPr>
              <w:t>年</w:t>
            </w:r>
            <w:r w:rsidRPr="007F52FA">
              <w:rPr>
                <w:color w:val="000000"/>
                <w:kern w:val="0"/>
                <w:sz w:val="24"/>
              </w:rPr>
              <w:t>8</w:t>
            </w:r>
            <w:r w:rsidRPr="007F52FA">
              <w:rPr>
                <w:color w:val="000000"/>
                <w:kern w:val="0"/>
                <w:sz w:val="24"/>
              </w:rPr>
              <w:t>月</w:t>
            </w:r>
            <w:r w:rsidRPr="007F52FA">
              <w:rPr>
                <w:color w:val="000000"/>
                <w:kern w:val="0"/>
                <w:sz w:val="24"/>
              </w:rPr>
              <w:t>11</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95,828,506.46</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追求在有效控制风险的前提下，力争为基金资产获得稳健的投资收益和超额回报。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763099" w:rsidRDefault="000A4E87">
            <w:pPr>
              <w:adjustRightInd w:val="0"/>
              <w:spacing w:before="29" w:line="288" w:lineRule="auto"/>
              <w:ind w:left="17"/>
              <w:jc w:val="left"/>
              <w:rPr>
                <w:color w:val="000000"/>
                <w:sz w:val="24"/>
              </w:rPr>
            </w:pPr>
            <w:r>
              <w:rPr>
                <w:color w:val="000000"/>
                <w:kern w:val="0"/>
                <w:sz w:val="24"/>
              </w:rPr>
              <w:t>封闭期内投资策略：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个券。</w:t>
            </w:r>
          </w:p>
          <w:p w:rsidR="00763099" w:rsidRDefault="00763099">
            <w:pPr>
              <w:adjustRightInd w:val="0"/>
              <w:spacing w:before="29" w:line="288" w:lineRule="auto"/>
              <w:ind w:left="17"/>
              <w:jc w:val="left"/>
              <w:rPr>
                <w:color w:val="000000"/>
                <w:sz w:val="24"/>
              </w:rPr>
            </w:pPr>
          </w:p>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开放期内投资策略：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个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业绩比较基准</w:t>
            </w:r>
          </w:p>
        </w:tc>
        <w:tc>
          <w:tcPr>
            <w:tcW w:w="5970" w:type="dxa"/>
            <w:gridSpan w:val="2"/>
            <w:vAlign w:val="center"/>
          </w:tcPr>
          <w:p w:rsidR="00763099" w:rsidRDefault="000A4E87">
            <w:pPr>
              <w:adjustRightInd w:val="0"/>
              <w:spacing w:before="29" w:line="288" w:lineRule="auto"/>
              <w:ind w:left="17"/>
              <w:jc w:val="left"/>
              <w:rPr>
                <w:color w:val="000000"/>
                <w:sz w:val="24"/>
              </w:rPr>
            </w:pPr>
            <w:r>
              <w:rPr>
                <w:color w:val="000000"/>
                <w:kern w:val="0"/>
                <w:sz w:val="24"/>
              </w:rPr>
              <w:t>封闭期内业绩比较基准：三年期银行定期存款税后收益率</w:t>
            </w:r>
          </w:p>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开放期内业绩比较基准：中债综合全价指数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本基金是一只债券型基金，其风险与预期收益高于货币市场基金，低于混合型基金和股票型基金，属于证券投资基金中中等风险的品种。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交银丰盈收益债券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交银丰盈收益债券</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519740</w:t>
            </w:r>
          </w:p>
        </w:tc>
        <w:tc>
          <w:tcPr>
            <w:tcW w:w="3048" w:type="dxa"/>
            <w:vAlign w:val="center"/>
          </w:tcPr>
          <w:p w:rsidR="00C23B30" w:rsidRPr="000E4C40" w:rsidRDefault="00C23B30" w:rsidP="00A52A9E">
            <w:pPr>
              <w:spacing w:before="29" w:line="288" w:lineRule="auto"/>
              <w:jc w:val="left"/>
              <w:rPr>
                <w:sz w:val="24"/>
              </w:rPr>
            </w:pPr>
            <w:r w:rsidRPr="000E4C40">
              <w:rPr>
                <w:sz w:val="24"/>
              </w:rPr>
              <w:t>005025</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95,801,968.12</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26,538.34</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注：本基金自</w:t>
      </w:r>
      <w:r w:rsidR="004567B0" w:rsidRPr="007F52FA">
        <w:rPr>
          <w:rFonts w:eastAsiaTheme="minorEastAsia"/>
          <w:color w:val="000000"/>
          <w:sz w:val="24"/>
        </w:rPr>
        <w:t>2017</w:t>
      </w:r>
      <w:r w:rsidR="004567B0" w:rsidRPr="007F52FA">
        <w:rPr>
          <w:rFonts w:eastAsiaTheme="minorEastAsia"/>
          <w:color w:val="000000"/>
          <w:sz w:val="24"/>
        </w:rPr>
        <w:t>年</w:t>
      </w:r>
      <w:r w:rsidR="004567B0" w:rsidRPr="007F52FA">
        <w:rPr>
          <w:rFonts w:eastAsiaTheme="minorEastAsia"/>
          <w:color w:val="000000"/>
          <w:sz w:val="24"/>
        </w:rPr>
        <w:t>8</w:t>
      </w:r>
      <w:r w:rsidR="004567B0" w:rsidRPr="007F52FA">
        <w:rPr>
          <w:rFonts w:eastAsiaTheme="minorEastAsia"/>
          <w:color w:val="000000"/>
          <w:sz w:val="24"/>
        </w:rPr>
        <w:t>月</w:t>
      </w:r>
      <w:r w:rsidR="004567B0">
        <w:rPr>
          <w:rFonts w:eastAsiaTheme="minorEastAsia"/>
          <w:color w:val="000000"/>
          <w:sz w:val="24"/>
        </w:rPr>
        <w:t>14</w:t>
      </w:r>
      <w:r w:rsidRPr="007F52FA">
        <w:rPr>
          <w:rFonts w:eastAsiaTheme="minorEastAsia"/>
          <w:color w:val="000000"/>
          <w:sz w:val="24"/>
        </w:rPr>
        <w:t>日起转为开放式运作。</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(2017</w:t>
            </w:r>
            <w:r w:rsidRPr="00414345">
              <w:rPr>
                <w:color w:val="000000"/>
                <w:sz w:val="24"/>
              </w:rPr>
              <w:t>年</w:t>
            </w:r>
            <w:r w:rsidRPr="00414345">
              <w:rPr>
                <w:color w:val="000000"/>
                <w:sz w:val="24"/>
              </w:rPr>
              <w:t>7</w:t>
            </w:r>
            <w:r w:rsidRPr="00414345">
              <w:rPr>
                <w:color w:val="000000"/>
                <w:sz w:val="24"/>
              </w:rPr>
              <w:t>月</w:t>
            </w:r>
            <w:r w:rsidRPr="00414345">
              <w:rPr>
                <w:color w:val="000000"/>
                <w:sz w:val="24"/>
              </w:rPr>
              <w:t>1</w:t>
            </w:r>
            <w:r w:rsidRPr="00414345">
              <w:rPr>
                <w:color w:val="000000"/>
                <w:sz w:val="24"/>
              </w:rPr>
              <w:t>日</w:t>
            </w:r>
            <w:r w:rsidRPr="00414345">
              <w:rPr>
                <w:color w:val="000000"/>
                <w:sz w:val="24"/>
              </w:rPr>
              <w:t>-2017</w:t>
            </w:r>
            <w:r w:rsidRPr="00414345">
              <w:rPr>
                <w:color w:val="000000"/>
                <w:sz w:val="24"/>
              </w:rPr>
              <w:t>年</w:t>
            </w:r>
            <w:r w:rsidRPr="00414345">
              <w:rPr>
                <w:color w:val="000000"/>
                <w:sz w:val="24"/>
              </w:rPr>
              <w:t>9</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交银丰盈收益债券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交银丰盈收益债券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0A4E87" w:rsidRDefault="000A4E87" w:rsidP="000A4E87">
            <w:pPr>
              <w:adjustRightInd w:val="0"/>
              <w:spacing w:before="29" w:line="288" w:lineRule="auto"/>
              <w:ind w:left="17"/>
              <w:jc w:val="right"/>
              <w:rPr>
                <w:color w:val="000000"/>
                <w:sz w:val="24"/>
              </w:rPr>
            </w:pPr>
            <w:r w:rsidRPr="000A4E87">
              <w:rPr>
                <w:rFonts w:hint="eastAsia"/>
                <w:color w:val="000000"/>
                <w:sz w:val="24"/>
              </w:rPr>
              <w:t>4</w:t>
            </w:r>
            <w:r>
              <w:rPr>
                <w:color w:val="000000"/>
                <w:sz w:val="24"/>
              </w:rPr>
              <w:t>,</w:t>
            </w:r>
            <w:r w:rsidRPr="000A4E87">
              <w:rPr>
                <w:rFonts w:hint="eastAsia"/>
                <w:color w:val="000000"/>
                <w:sz w:val="24"/>
              </w:rPr>
              <w:t>409</w:t>
            </w:r>
            <w:r>
              <w:rPr>
                <w:color w:val="000000"/>
                <w:sz w:val="24"/>
              </w:rPr>
              <w:t>,</w:t>
            </w:r>
            <w:r w:rsidRPr="000A4E87">
              <w:rPr>
                <w:rFonts w:hint="eastAsia"/>
                <w:color w:val="000000"/>
                <w:sz w:val="24"/>
              </w:rPr>
              <w:t>409.13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87.83</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1,526,393.13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85.68</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0.0049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0.0035</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lastRenderedPageBreak/>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98,514,060.38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27,287.21</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1.028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1.028</w:t>
            </w:r>
          </w:p>
        </w:tc>
      </w:tr>
    </w:tbl>
    <w:p w:rsidR="00763099" w:rsidRDefault="000A4E87">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交银丰盈收益债券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763099">
        <w:trPr>
          <w:jc w:val="center"/>
        </w:trPr>
        <w:tc>
          <w:tcPr>
            <w:tcW w:w="1266" w:type="dxa"/>
            <w:vAlign w:val="center"/>
          </w:tcPr>
          <w:p w:rsidR="00763099" w:rsidRDefault="000A4E87">
            <w:pPr>
              <w:jc w:val="left"/>
            </w:pPr>
            <w:r>
              <w:rPr>
                <w:color w:val="000000"/>
                <w:sz w:val="24"/>
              </w:rPr>
              <w:t>过去三个月</w:t>
            </w:r>
          </w:p>
        </w:tc>
        <w:tc>
          <w:tcPr>
            <w:tcW w:w="1267" w:type="dxa"/>
            <w:vAlign w:val="center"/>
          </w:tcPr>
          <w:p w:rsidR="00763099" w:rsidRDefault="000A4E87">
            <w:pPr>
              <w:jc w:val="center"/>
            </w:pPr>
            <w:r>
              <w:rPr>
                <w:color w:val="000000"/>
                <w:sz w:val="24"/>
              </w:rPr>
              <w:t>0.49%</w:t>
            </w:r>
          </w:p>
        </w:tc>
        <w:tc>
          <w:tcPr>
            <w:tcW w:w="1267" w:type="dxa"/>
            <w:vAlign w:val="center"/>
          </w:tcPr>
          <w:p w:rsidR="00763099" w:rsidRDefault="000A4E87">
            <w:pPr>
              <w:jc w:val="center"/>
            </w:pPr>
            <w:r>
              <w:rPr>
                <w:color w:val="000000"/>
                <w:sz w:val="24"/>
              </w:rPr>
              <w:t>0.04%</w:t>
            </w:r>
          </w:p>
        </w:tc>
        <w:tc>
          <w:tcPr>
            <w:tcW w:w="1267" w:type="dxa"/>
            <w:vAlign w:val="center"/>
          </w:tcPr>
          <w:p w:rsidR="00763099" w:rsidRDefault="000A4E87">
            <w:pPr>
              <w:jc w:val="center"/>
            </w:pPr>
            <w:r>
              <w:rPr>
                <w:color w:val="000000"/>
                <w:sz w:val="24"/>
              </w:rPr>
              <w:t>0.16%</w:t>
            </w:r>
          </w:p>
        </w:tc>
        <w:tc>
          <w:tcPr>
            <w:tcW w:w="1267" w:type="dxa"/>
            <w:vAlign w:val="center"/>
          </w:tcPr>
          <w:p w:rsidR="00763099" w:rsidRDefault="000A4E87">
            <w:pPr>
              <w:jc w:val="center"/>
            </w:pPr>
            <w:r>
              <w:rPr>
                <w:color w:val="000000"/>
                <w:sz w:val="24"/>
              </w:rPr>
              <w:t>0.03%</w:t>
            </w:r>
          </w:p>
        </w:tc>
        <w:tc>
          <w:tcPr>
            <w:tcW w:w="1267" w:type="dxa"/>
            <w:vAlign w:val="center"/>
          </w:tcPr>
          <w:p w:rsidR="00763099" w:rsidRDefault="000A4E87">
            <w:pPr>
              <w:jc w:val="center"/>
            </w:pPr>
            <w:r>
              <w:rPr>
                <w:color w:val="000000"/>
                <w:sz w:val="24"/>
              </w:rPr>
              <w:t>0.33%</w:t>
            </w:r>
          </w:p>
        </w:tc>
        <w:tc>
          <w:tcPr>
            <w:tcW w:w="1267" w:type="dxa"/>
            <w:vAlign w:val="center"/>
          </w:tcPr>
          <w:p w:rsidR="00763099" w:rsidRDefault="000A4E87">
            <w:pPr>
              <w:jc w:val="center"/>
            </w:pPr>
            <w:r>
              <w:rPr>
                <w:color w:val="000000"/>
                <w:sz w:val="24"/>
              </w:rPr>
              <w:t>0.01%</w:t>
            </w:r>
          </w:p>
        </w:tc>
      </w:tr>
    </w:tbl>
    <w:p w:rsidR="009238DB" w:rsidRPr="007F52FA" w:rsidRDefault="004425E8" w:rsidP="007C14DF">
      <w:pPr>
        <w:autoSpaceDE w:val="0"/>
        <w:autoSpaceDN w:val="0"/>
        <w:adjustRightInd w:val="0"/>
        <w:spacing w:before="29" w:line="288" w:lineRule="auto"/>
        <w:jc w:val="left"/>
        <w:rPr>
          <w:color w:val="000000"/>
          <w:sz w:val="24"/>
        </w:rPr>
      </w:pPr>
      <w:r w:rsidRPr="007F52FA">
        <w:rPr>
          <w:color w:val="000000"/>
          <w:sz w:val="24"/>
        </w:rPr>
        <w:t>注：本基金自</w:t>
      </w:r>
      <w:r w:rsidR="004567B0" w:rsidRPr="007F52FA">
        <w:rPr>
          <w:color w:val="000000"/>
          <w:sz w:val="24"/>
        </w:rPr>
        <w:t>2017</w:t>
      </w:r>
      <w:r w:rsidR="004567B0" w:rsidRPr="007F52FA">
        <w:rPr>
          <w:color w:val="000000"/>
          <w:sz w:val="24"/>
        </w:rPr>
        <w:t>年</w:t>
      </w:r>
      <w:r w:rsidR="004567B0" w:rsidRPr="007F52FA">
        <w:rPr>
          <w:color w:val="000000"/>
          <w:sz w:val="24"/>
        </w:rPr>
        <w:t>8</w:t>
      </w:r>
      <w:r w:rsidR="004567B0" w:rsidRPr="007F52FA">
        <w:rPr>
          <w:color w:val="000000"/>
          <w:sz w:val="24"/>
        </w:rPr>
        <w:t>月</w:t>
      </w:r>
      <w:r w:rsidR="004567B0">
        <w:rPr>
          <w:color w:val="000000"/>
          <w:sz w:val="24"/>
        </w:rPr>
        <w:t>14</w:t>
      </w:r>
      <w:r w:rsidRPr="007F52FA">
        <w:rPr>
          <w:color w:val="000000"/>
          <w:sz w:val="24"/>
        </w:rPr>
        <w:t>日起转为开放式运作，本基金的业绩比较基准由</w:t>
      </w:r>
      <w:r w:rsidRPr="007F52FA">
        <w:rPr>
          <w:color w:val="000000"/>
          <w:sz w:val="24"/>
        </w:rPr>
        <w:t>“</w:t>
      </w:r>
      <w:r w:rsidRPr="007F52FA">
        <w:rPr>
          <w:color w:val="000000"/>
          <w:sz w:val="24"/>
        </w:rPr>
        <w:t>三年期银行定期存款税后收益率</w:t>
      </w:r>
      <w:r w:rsidRPr="007F52FA">
        <w:rPr>
          <w:color w:val="000000"/>
          <w:sz w:val="24"/>
        </w:rPr>
        <w:t>”</w:t>
      </w:r>
      <w:r w:rsidRPr="007F52FA">
        <w:rPr>
          <w:color w:val="000000"/>
          <w:sz w:val="24"/>
        </w:rPr>
        <w:t>变更为</w:t>
      </w:r>
      <w:r w:rsidRPr="007F52FA">
        <w:rPr>
          <w:color w:val="000000"/>
          <w:sz w:val="24"/>
        </w:rPr>
        <w:t>“</w:t>
      </w:r>
      <w:r w:rsidRPr="007F52FA">
        <w:rPr>
          <w:color w:val="000000"/>
          <w:sz w:val="24"/>
        </w:rPr>
        <w:t>中债综合全价指数</w:t>
      </w:r>
      <w:r w:rsidRPr="007F52FA">
        <w:rPr>
          <w:color w:val="000000"/>
          <w:sz w:val="24"/>
        </w:rPr>
        <w:t>”</w:t>
      </w:r>
      <w:r w:rsidRPr="007F52FA">
        <w:rPr>
          <w:color w:val="000000"/>
          <w:sz w:val="24"/>
        </w:rPr>
        <w:t>，</w:t>
      </w:r>
      <w:r w:rsidRPr="007F52FA">
        <w:rPr>
          <w:color w:val="000000"/>
          <w:sz w:val="24"/>
        </w:rPr>
        <w:t>3.2.2</w:t>
      </w:r>
      <w:r w:rsidRPr="007F52FA">
        <w:rPr>
          <w:color w:val="000000"/>
          <w:sz w:val="24"/>
        </w:rPr>
        <w:t>同。</w:t>
      </w:r>
    </w:p>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交银丰盈收益债券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763099">
        <w:trPr>
          <w:jc w:val="center"/>
        </w:trPr>
        <w:tc>
          <w:tcPr>
            <w:tcW w:w="1266" w:type="dxa"/>
            <w:vAlign w:val="center"/>
          </w:tcPr>
          <w:p w:rsidR="00763099" w:rsidRDefault="000A4E87">
            <w:pPr>
              <w:jc w:val="left"/>
            </w:pPr>
            <w:r>
              <w:rPr>
                <w:color w:val="000000"/>
                <w:sz w:val="24"/>
              </w:rPr>
              <w:t>过去三个月</w:t>
            </w:r>
          </w:p>
        </w:tc>
        <w:tc>
          <w:tcPr>
            <w:tcW w:w="1267" w:type="dxa"/>
            <w:vAlign w:val="center"/>
          </w:tcPr>
          <w:p w:rsidR="00763099" w:rsidRDefault="000A4E87">
            <w:pPr>
              <w:jc w:val="center"/>
            </w:pPr>
            <w:r>
              <w:rPr>
                <w:color w:val="000000"/>
                <w:sz w:val="24"/>
              </w:rPr>
              <w:t>2.80%</w:t>
            </w:r>
          </w:p>
        </w:tc>
        <w:tc>
          <w:tcPr>
            <w:tcW w:w="1267" w:type="dxa"/>
            <w:vAlign w:val="center"/>
          </w:tcPr>
          <w:p w:rsidR="00763099" w:rsidRDefault="000A4E87">
            <w:pPr>
              <w:jc w:val="center"/>
            </w:pPr>
            <w:r>
              <w:rPr>
                <w:color w:val="000000"/>
                <w:sz w:val="24"/>
              </w:rPr>
              <w:t>0.42%</w:t>
            </w:r>
          </w:p>
        </w:tc>
        <w:tc>
          <w:tcPr>
            <w:tcW w:w="1267" w:type="dxa"/>
            <w:vAlign w:val="center"/>
          </w:tcPr>
          <w:p w:rsidR="00763099" w:rsidRDefault="000A4E87">
            <w:pPr>
              <w:jc w:val="center"/>
            </w:pPr>
            <w:r>
              <w:rPr>
                <w:color w:val="000000"/>
                <w:sz w:val="24"/>
              </w:rPr>
              <w:t>-0.18%</w:t>
            </w:r>
          </w:p>
        </w:tc>
        <w:tc>
          <w:tcPr>
            <w:tcW w:w="1267" w:type="dxa"/>
            <w:vAlign w:val="center"/>
          </w:tcPr>
          <w:p w:rsidR="00763099" w:rsidRDefault="000A4E87">
            <w:pPr>
              <w:jc w:val="center"/>
            </w:pPr>
            <w:r>
              <w:rPr>
                <w:color w:val="000000"/>
                <w:sz w:val="24"/>
              </w:rPr>
              <w:t>0.04%</w:t>
            </w:r>
          </w:p>
        </w:tc>
        <w:tc>
          <w:tcPr>
            <w:tcW w:w="1267" w:type="dxa"/>
            <w:vAlign w:val="center"/>
          </w:tcPr>
          <w:p w:rsidR="00763099" w:rsidRDefault="000A4E87">
            <w:pPr>
              <w:jc w:val="center"/>
            </w:pPr>
            <w:r>
              <w:rPr>
                <w:color w:val="000000"/>
                <w:sz w:val="24"/>
              </w:rPr>
              <w:t>2.98%</w:t>
            </w:r>
          </w:p>
        </w:tc>
        <w:tc>
          <w:tcPr>
            <w:tcW w:w="1267" w:type="dxa"/>
            <w:vAlign w:val="center"/>
          </w:tcPr>
          <w:p w:rsidR="00763099" w:rsidRDefault="001948DE">
            <w:pPr>
              <w:jc w:val="center"/>
            </w:pPr>
            <w:bookmarkStart w:id="0" w:name="_GoBack"/>
            <w:bookmarkEnd w:id="0"/>
            <w:r w:rsidRPr="001948DE">
              <w:rPr>
                <w:color w:val="000000"/>
                <w:sz w:val="24"/>
              </w:rPr>
              <w:t>0.38%</w:t>
            </w:r>
          </w:p>
        </w:tc>
      </w:tr>
    </w:tbl>
    <w:p w:rsidR="00E73221" w:rsidRPr="007F52FA" w:rsidRDefault="00FE7FBD" w:rsidP="007C14DF">
      <w:pPr>
        <w:autoSpaceDE w:val="0"/>
        <w:autoSpaceDN w:val="0"/>
        <w:adjustRightInd w:val="0"/>
        <w:spacing w:before="29" w:line="288" w:lineRule="auto"/>
        <w:jc w:val="left"/>
        <w:rPr>
          <w:color w:val="000000"/>
          <w:sz w:val="24"/>
        </w:rPr>
      </w:pPr>
      <w:r w:rsidRPr="007F52FA">
        <w:rPr>
          <w:color w:val="000000"/>
          <w:sz w:val="24"/>
        </w:rPr>
        <w:t>注：本基金自</w:t>
      </w:r>
      <w:r w:rsidRPr="007F52FA">
        <w:rPr>
          <w:color w:val="000000"/>
          <w:sz w:val="24"/>
        </w:rPr>
        <w:t>2017</w:t>
      </w:r>
      <w:r w:rsidRPr="007F52FA">
        <w:rPr>
          <w:color w:val="000000"/>
          <w:sz w:val="24"/>
        </w:rPr>
        <w:t>年</w:t>
      </w:r>
      <w:r w:rsidRPr="007F52FA">
        <w:rPr>
          <w:color w:val="000000"/>
          <w:sz w:val="24"/>
        </w:rPr>
        <w:t>8</w:t>
      </w:r>
      <w:r w:rsidRPr="007F52FA">
        <w:rPr>
          <w:color w:val="000000"/>
          <w:sz w:val="24"/>
        </w:rPr>
        <w:t>月</w:t>
      </w:r>
      <w:r w:rsidRPr="007F52FA">
        <w:rPr>
          <w:color w:val="000000"/>
          <w:sz w:val="24"/>
        </w:rPr>
        <w:t>1</w:t>
      </w:r>
      <w:r w:rsidR="007E70E6">
        <w:rPr>
          <w:color w:val="000000"/>
          <w:sz w:val="24"/>
        </w:rPr>
        <w:t>4</w:t>
      </w:r>
      <w:r w:rsidRPr="007F52FA">
        <w:rPr>
          <w:color w:val="000000"/>
          <w:sz w:val="24"/>
        </w:rPr>
        <w:t>日起转为开放式运作，本基金的业绩比较基准由</w:t>
      </w:r>
      <w:r w:rsidRPr="007F52FA">
        <w:rPr>
          <w:color w:val="000000"/>
          <w:sz w:val="24"/>
        </w:rPr>
        <w:t>“</w:t>
      </w:r>
      <w:r w:rsidRPr="007F52FA">
        <w:rPr>
          <w:color w:val="000000"/>
          <w:sz w:val="24"/>
        </w:rPr>
        <w:t>三年期银行定期存款税后收益率</w:t>
      </w:r>
      <w:r w:rsidRPr="007F52FA">
        <w:rPr>
          <w:color w:val="000000"/>
          <w:sz w:val="24"/>
        </w:rPr>
        <w:t>”</w:t>
      </w:r>
      <w:r w:rsidRPr="007F52FA">
        <w:rPr>
          <w:color w:val="000000"/>
          <w:sz w:val="24"/>
        </w:rPr>
        <w:t>变更为</w:t>
      </w:r>
      <w:r w:rsidRPr="007F52FA">
        <w:rPr>
          <w:color w:val="000000"/>
          <w:sz w:val="24"/>
        </w:rPr>
        <w:t>“</w:t>
      </w:r>
      <w:r w:rsidRPr="007F52FA">
        <w:rPr>
          <w:color w:val="000000"/>
          <w:sz w:val="24"/>
        </w:rPr>
        <w:t>中债综合全价指数</w:t>
      </w:r>
      <w:r w:rsidRPr="007F52FA">
        <w:rPr>
          <w:color w:val="000000"/>
          <w:sz w:val="24"/>
        </w:rPr>
        <w:t>”</w:t>
      </w:r>
      <w:r w:rsidRPr="007F52FA">
        <w:rPr>
          <w:color w:val="000000"/>
          <w:sz w:val="24"/>
        </w:rPr>
        <w:t>，</w:t>
      </w:r>
      <w:r w:rsidRPr="007F52FA">
        <w:rPr>
          <w:color w:val="000000"/>
          <w:sz w:val="24"/>
        </w:rPr>
        <w:t>3.2.2</w:t>
      </w:r>
      <w:r w:rsidRPr="007F52FA">
        <w:rPr>
          <w:color w:val="000000"/>
          <w:sz w:val="24"/>
        </w:rPr>
        <w:t>同。</w:t>
      </w:r>
    </w:p>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交银施罗德丰盈收益债券型证券投资基金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2014</w:t>
      </w:r>
      <w:r w:rsidR="00D04410" w:rsidRPr="007F52FA">
        <w:rPr>
          <w:rFonts w:ascii="Times New Roman" w:hAnsi="Times New Roman"/>
          <w:sz w:val="24"/>
          <w:szCs w:val="24"/>
        </w:rPr>
        <w:t>年</w:t>
      </w:r>
      <w:r w:rsidR="00D04410" w:rsidRPr="007F52FA">
        <w:rPr>
          <w:rFonts w:ascii="Times New Roman" w:hAnsi="Times New Roman"/>
          <w:sz w:val="24"/>
          <w:szCs w:val="24"/>
        </w:rPr>
        <w:t>8</w:t>
      </w:r>
      <w:r w:rsidR="00D04410" w:rsidRPr="007F52FA">
        <w:rPr>
          <w:rFonts w:ascii="Times New Roman" w:hAnsi="Times New Roman"/>
          <w:sz w:val="24"/>
          <w:szCs w:val="24"/>
        </w:rPr>
        <w:t>月</w:t>
      </w:r>
      <w:r w:rsidR="00D04410" w:rsidRPr="007F52FA">
        <w:rPr>
          <w:rFonts w:ascii="Times New Roman" w:hAnsi="Times New Roman"/>
          <w:sz w:val="24"/>
          <w:szCs w:val="24"/>
        </w:rPr>
        <w:t>11</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2017</w:t>
      </w:r>
      <w:r w:rsidRPr="007F52FA">
        <w:rPr>
          <w:rFonts w:ascii="Times New Roman" w:hAnsi="Times New Roman"/>
          <w:sz w:val="24"/>
          <w:szCs w:val="24"/>
        </w:rPr>
        <w:t>年</w:t>
      </w:r>
      <w:r w:rsidRPr="007F52FA">
        <w:rPr>
          <w:rFonts w:ascii="Times New Roman" w:hAnsi="Times New Roman"/>
          <w:sz w:val="24"/>
          <w:szCs w:val="24"/>
        </w:rPr>
        <w:t>9</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lastRenderedPageBreak/>
        <w:t>1</w:t>
      </w:r>
      <w:r w:rsidRPr="007F52FA">
        <w:rPr>
          <w:color w:val="000000"/>
          <w:sz w:val="24"/>
        </w:rPr>
        <w:t>．</w:t>
      </w:r>
      <w:r w:rsidR="0042785F" w:rsidRPr="007F52FA">
        <w:rPr>
          <w:color w:val="000000"/>
          <w:sz w:val="24"/>
        </w:rPr>
        <w:t>交银丰盈收益债券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交银丰盈收益债券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注：本基金自</w:t>
      </w:r>
      <w:r w:rsidRPr="007F52FA">
        <w:rPr>
          <w:color w:val="000000"/>
          <w:sz w:val="24"/>
        </w:rPr>
        <w:t>2017</w:t>
      </w:r>
      <w:r w:rsidRPr="007F52FA">
        <w:rPr>
          <w:color w:val="000000"/>
          <w:sz w:val="24"/>
        </w:rPr>
        <w:t>年</w:t>
      </w:r>
      <w:r w:rsidRPr="007F52FA">
        <w:rPr>
          <w:color w:val="000000"/>
          <w:sz w:val="24"/>
        </w:rPr>
        <w:t>8</w:t>
      </w:r>
      <w:r w:rsidRPr="007F52FA">
        <w:rPr>
          <w:color w:val="000000"/>
          <w:sz w:val="24"/>
        </w:rPr>
        <w:t>月</w:t>
      </w:r>
      <w:r w:rsidRPr="007F52FA">
        <w:rPr>
          <w:color w:val="000000"/>
          <w:sz w:val="24"/>
        </w:rPr>
        <w:t>14</w:t>
      </w:r>
      <w:r w:rsidRPr="007F52FA">
        <w:rPr>
          <w:color w:val="000000"/>
          <w:sz w:val="24"/>
        </w:rPr>
        <w:t>日起增加</w:t>
      </w:r>
      <w:r w:rsidRPr="007F52FA">
        <w:rPr>
          <w:color w:val="000000"/>
          <w:sz w:val="24"/>
        </w:rPr>
        <w:t>C</w:t>
      </w:r>
      <w:r w:rsidRPr="007F52FA">
        <w:rPr>
          <w:color w:val="000000"/>
          <w:sz w:val="24"/>
        </w:rPr>
        <w:t>类份额，投资者提交的申购申请于</w:t>
      </w:r>
      <w:r w:rsidRPr="007F52FA">
        <w:rPr>
          <w:color w:val="000000"/>
          <w:sz w:val="24"/>
        </w:rPr>
        <w:t>2017</w:t>
      </w:r>
      <w:r w:rsidRPr="007F52FA">
        <w:rPr>
          <w:color w:val="000000"/>
          <w:sz w:val="24"/>
        </w:rPr>
        <w:t>年</w:t>
      </w:r>
      <w:r w:rsidRPr="007F52FA">
        <w:rPr>
          <w:color w:val="000000"/>
          <w:sz w:val="24"/>
        </w:rPr>
        <w:t>8</w:t>
      </w:r>
      <w:r w:rsidRPr="007F52FA">
        <w:rPr>
          <w:color w:val="000000"/>
          <w:sz w:val="24"/>
        </w:rPr>
        <w:t>月</w:t>
      </w:r>
      <w:r w:rsidRPr="007F52FA">
        <w:rPr>
          <w:color w:val="000000"/>
          <w:sz w:val="24"/>
        </w:rPr>
        <w:t>15</w:t>
      </w:r>
      <w:r w:rsidRPr="007F52FA">
        <w:rPr>
          <w:color w:val="000000"/>
          <w:sz w:val="24"/>
        </w:rPr>
        <w:t>日被确认并将有效份额登记在册。图示日期为</w:t>
      </w:r>
      <w:r w:rsidRPr="007F52FA">
        <w:rPr>
          <w:color w:val="000000"/>
          <w:sz w:val="24"/>
        </w:rPr>
        <w:t>2017</w:t>
      </w:r>
      <w:r w:rsidRPr="007F52FA">
        <w:rPr>
          <w:color w:val="000000"/>
          <w:sz w:val="24"/>
        </w:rPr>
        <w:t>年</w:t>
      </w:r>
      <w:r w:rsidRPr="007F52FA">
        <w:rPr>
          <w:color w:val="000000"/>
          <w:sz w:val="24"/>
        </w:rPr>
        <w:t>8</w:t>
      </w:r>
      <w:r w:rsidRPr="007F52FA">
        <w:rPr>
          <w:color w:val="000000"/>
          <w:sz w:val="24"/>
        </w:rPr>
        <w:t>月</w:t>
      </w:r>
      <w:r w:rsidRPr="007F52FA">
        <w:rPr>
          <w:color w:val="000000"/>
          <w:sz w:val="24"/>
        </w:rPr>
        <w:t>15</w:t>
      </w:r>
      <w:r w:rsidRPr="007F52FA">
        <w:rPr>
          <w:color w:val="000000"/>
          <w:sz w:val="24"/>
        </w:rPr>
        <w:t>日至</w:t>
      </w:r>
      <w:r w:rsidRPr="007F52FA">
        <w:rPr>
          <w:color w:val="000000"/>
          <w:sz w:val="24"/>
        </w:rPr>
        <w:t>2017</w:t>
      </w:r>
      <w:r w:rsidRPr="007F52FA">
        <w:rPr>
          <w:color w:val="000000"/>
          <w:sz w:val="24"/>
        </w:rPr>
        <w:t>年</w:t>
      </w:r>
      <w:r w:rsidRPr="007F52FA">
        <w:rPr>
          <w:color w:val="000000"/>
          <w:sz w:val="24"/>
        </w:rPr>
        <w:t>9</w:t>
      </w:r>
      <w:r w:rsidRPr="007F52FA">
        <w:rPr>
          <w:color w:val="000000"/>
          <w:sz w:val="24"/>
        </w:rPr>
        <w:t>月</w:t>
      </w:r>
      <w:r w:rsidRPr="007F52FA">
        <w:rPr>
          <w:color w:val="000000"/>
          <w:sz w:val="24"/>
        </w:rPr>
        <w:t>30</w:t>
      </w:r>
      <w:r w:rsidRPr="007F52FA">
        <w:rPr>
          <w:color w:val="000000"/>
          <w:sz w:val="24"/>
        </w:rPr>
        <w:t>日。</w:t>
      </w: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763099">
        <w:trPr>
          <w:jc w:val="center"/>
        </w:trPr>
        <w:tc>
          <w:tcPr>
            <w:tcW w:w="946" w:type="dxa"/>
            <w:vAlign w:val="center"/>
          </w:tcPr>
          <w:p w:rsidR="00763099" w:rsidRDefault="000A4E87">
            <w:pPr>
              <w:jc w:val="center"/>
            </w:pPr>
            <w:r>
              <w:rPr>
                <w:color w:val="000000"/>
                <w:sz w:val="24"/>
              </w:rPr>
              <w:t>连端清</w:t>
            </w:r>
          </w:p>
        </w:tc>
        <w:tc>
          <w:tcPr>
            <w:tcW w:w="924" w:type="dxa"/>
            <w:vAlign w:val="center"/>
          </w:tcPr>
          <w:p w:rsidR="00763099" w:rsidRDefault="000A4E87">
            <w:pPr>
              <w:jc w:val="center"/>
            </w:pPr>
            <w:r>
              <w:rPr>
                <w:color w:val="000000"/>
                <w:sz w:val="24"/>
              </w:rPr>
              <w:t>交银货币、交银理财</w:t>
            </w:r>
            <w:r>
              <w:rPr>
                <w:color w:val="000000"/>
                <w:sz w:val="24"/>
              </w:rPr>
              <w:t>60</w:t>
            </w:r>
            <w:r>
              <w:rPr>
                <w:color w:val="000000"/>
                <w:sz w:val="24"/>
              </w:rPr>
              <w:t>天债券、交银丰盈收益债券、交银现金宝货币、交银丰润收益债券、交银活期通货币、交银天利宝货币、交银裕兴纯债债券、交银裕盈纯债债券、交银裕</w:t>
            </w:r>
            <w:r>
              <w:rPr>
                <w:color w:val="000000"/>
                <w:sz w:val="24"/>
              </w:rPr>
              <w:lastRenderedPageBreak/>
              <w:t>利纯债债券、交银裕隆纯债债券、交银天鑫宝货币、交银天益宝货币、交银境尚收益债券的基金经理</w:t>
            </w:r>
          </w:p>
        </w:tc>
        <w:tc>
          <w:tcPr>
            <w:tcW w:w="1202" w:type="dxa"/>
            <w:vAlign w:val="center"/>
          </w:tcPr>
          <w:p w:rsidR="00763099" w:rsidRDefault="000A4E87">
            <w:pPr>
              <w:jc w:val="center"/>
            </w:pPr>
            <w:r>
              <w:rPr>
                <w:color w:val="000000"/>
                <w:sz w:val="24"/>
              </w:rPr>
              <w:lastRenderedPageBreak/>
              <w:t>2015-08-04</w:t>
            </w:r>
          </w:p>
        </w:tc>
        <w:tc>
          <w:tcPr>
            <w:tcW w:w="1300" w:type="dxa"/>
            <w:vAlign w:val="center"/>
          </w:tcPr>
          <w:p w:rsidR="00763099" w:rsidRDefault="000A4E87">
            <w:pPr>
              <w:jc w:val="center"/>
            </w:pPr>
            <w:r>
              <w:rPr>
                <w:color w:val="000000"/>
                <w:sz w:val="24"/>
              </w:rPr>
              <w:t>-</w:t>
            </w:r>
          </w:p>
        </w:tc>
        <w:tc>
          <w:tcPr>
            <w:tcW w:w="1245" w:type="dxa"/>
            <w:vAlign w:val="center"/>
          </w:tcPr>
          <w:p w:rsidR="00763099" w:rsidRDefault="000A4E87">
            <w:pPr>
              <w:jc w:val="center"/>
            </w:pPr>
            <w:r>
              <w:rPr>
                <w:color w:val="000000"/>
                <w:sz w:val="24"/>
              </w:rPr>
              <w:t>4</w:t>
            </w:r>
            <w:r>
              <w:rPr>
                <w:color w:val="000000"/>
                <w:sz w:val="24"/>
              </w:rPr>
              <w:t>年</w:t>
            </w:r>
          </w:p>
        </w:tc>
        <w:tc>
          <w:tcPr>
            <w:tcW w:w="3251" w:type="dxa"/>
            <w:vAlign w:val="center"/>
          </w:tcPr>
          <w:p w:rsidR="00763099" w:rsidRDefault="000A4E87">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p>
        </w:tc>
      </w:tr>
      <w:tr w:rsidR="00763099">
        <w:trPr>
          <w:jc w:val="center"/>
        </w:trPr>
        <w:tc>
          <w:tcPr>
            <w:tcW w:w="946" w:type="dxa"/>
            <w:vAlign w:val="center"/>
          </w:tcPr>
          <w:p w:rsidR="00763099" w:rsidRDefault="000A4E87">
            <w:pPr>
              <w:jc w:val="center"/>
            </w:pPr>
            <w:r>
              <w:rPr>
                <w:color w:val="000000"/>
                <w:sz w:val="24"/>
              </w:rPr>
              <w:lastRenderedPageBreak/>
              <w:t>于海颖</w:t>
            </w:r>
          </w:p>
        </w:tc>
        <w:tc>
          <w:tcPr>
            <w:tcW w:w="924" w:type="dxa"/>
            <w:vAlign w:val="center"/>
          </w:tcPr>
          <w:p w:rsidR="00763099" w:rsidRDefault="000A4E87">
            <w:pPr>
              <w:jc w:val="center"/>
            </w:pPr>
            <w:r>
              <w:rPr>
                <w:color w:val="000000"/>
                <w:sz w:val="24"/>
              </w:rPr>
              <w:t>交银增利债券、交银纯债债券发起、交银荣祥保本混合、交银定期支付月月丰债券、交银增强收益债券、交银强化回</w:t>
            </w:r>
            <w:r>
              <w:rPr>
                <w:color w:val="000000"/>
                <w:sz w:val="24"/>
              </w:rPr>
              <w:lastRenderedPageBreak/>
              <w:t>报债券、交银丰盈收益债券、交银丰硕收益债券、交银荣鑫保本混合、交银增利增强债券的基金经理，公司固定收益（公募）投资总监</w:t>
            </w:r>
          </w:p>
        </w:tc>
        <w:tc>
          <w:tcPr>
            <w:tcW w:w="1202" w:type="dxa"/>
            <w:vAlign w:val="center"/>
          </w:tcPr>
          <w:p w:rsidR="00763099" w:rsidRDefault="000A4E87">
            <w:pPr>
              <w:jc w:val="center"/>
            </w:pPr>
            <w:r>
              <w:rPr>
                <w:color w:val="000000"/>
                <w:sz w:val="24"/>
              </w:rPr>
              <w:lastRenderedPageBreak/>
              <w:t>2016-12-29</w:t>
            </w:r>
          </w:p>
        </w:tc>
        <w:tc>
          <w:tcPr>
            <w:tcW w:w="1300" w:type="dxa"/>
            <w:vAlign w:val="center"/>
          </w:tcPr>
          <w:p w:rsidR="00763099" w:rsidRDefault="000A4E87">
            <w:pPr>
              <w:jc w:val="center"/>
            </w:pPr>
            <w:r>
              <w:rPr>
                <w:color w:val="000000"/>
                <w:sz w:val="24"/>
              </w:rPr>
              <w:t>-</w:t>
            </w:r>
          </w:p>
        </w:tc>
        <w:tc>
          <w:tcPr>
            <w:tcW w:w="1245" w:type="dxa"/>
            <w:vAlign w:val="center"/>
          </w:tcPr>
          <w:p w:rsidR="00763099" w:rsidRDefault="000A4E87">
            <w:pPr>
              <w:jc w:val="center"/>
            </w:pPr>
            <w:r>
              <w:rPr>
                <w:color w:val="000000"/>
                <w:sz w:val="24"/>
              </w:rPr>
              <w:t>11</w:t>
            </w:r>
            <w:r>
              <w:rPr>
                <w:color w:val="000000"/>
                <w:sz w:val="24"/>
              </w:rPr>
              <w:t>年</w:t>
            </w:r>
          </w:p>
        </w:tc>
        <w:tc>
          <w:tcPr>
            <w:tcW w:w="3251" w:type="dxa"/>
            <w:vAlign w:val="center"/>
          </w:tcPr>
          <w:p w:rsidR="00763099" w:rsidRDefault="000A4E87">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w:t>
            </w:r>
            <w:r>
              <w:rPr>
                <w:color w:val="000000"/>
                <w:sz w:val="24"/>
              </w:rPr>
              <w:lastRenderedPageBreak/>
              <w:t>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年加入交银施罗德基金管理有限公司。</w:t>
            </w:r>
          </w:p>
        </w:tc>
      </w:tr>
    </w:tbl>
    <w:p w:rsidR="00763099" w:rsidRDefault="000A4E87">
      <w:pPr>
        <w:autoSpaceDE w:val="0"/>
        <w:autoSpaceDN w:val="0"/>
        <w:adjustRightInd w:val="0"/>
        <w:spacing w:before="29" w:line="288" w:lineRule="auto"/>
        <w:jc w:val="left"/>
        <w:rPr>
          <w:color w:val="000000"/>
          <w:sz w:val="24"/>
        </w:rPr>
      </w:pPr>
      <w:r>
        <w:rPr>
          <w:color w:val="000000"/>
          <w:sz w:val="24"/>
        </w:rPr>
        <w:lastRenderedPageBreak/>
        <w:t>注：</w:t>
      </w:r>
      <w:r>
        <w:rPr>
          <w:color w:val="000000"/>
          <w:sz w:val="24"/>
        </w:rPr>
        <w:t>1</w:t>
      </w:r>
      <w:r>
        <w:rPr>
          <w:color w:val="000000"/>
          <w:sz w:val="24"/>
        </w:rPr>
        <w:t>、本表所列基金经理（助理）任职日期和离职日期均以基金合同生效日或公司作出决定并公告</w:t>
      </w:r>
      <w:r>
        <w:rPr>
          <w:color w:val="000000"/>
          <w:sz w:val="24"/>
        </w:rPr>
        <w:t>(</w:t>
      </w:r>
      <w:r>
        <w:rPr>
          <w:color w:val="000000"/>
          <w:sz w:val="24"/>
        </w:rPr>
        <w:t>如适用</w:t>
      </w:r>
      <w:r>
        <w:rPr>
          <w:color w:val="000000"/>
          <w:sz w:val="24"/>
        </w:rPr>
        <w:t>)</w:t>
      </w:r>
      <w:r>
        <w:rPr>
          <w:color w:val="000000"/>
          <w:sz w:val="24"/>
        </w:rPr>
        <w:t>之日为准；</w:t>
      </w:r>
    </w:p>
    <w:p w:rsidR="00763099" w:rsidRDefault="000A4E87" w:rsidP="0080740E">
      <w:pPr>
        <w:autoSpaceDE w:val="0"/>
        <w:autoSpaceDN w:val="0"/>
        <w:adjustRightInd w:val="0"/>
        <w:spacing w:before="29" w:line="288" w:lineRule="auto"/>
        <w:ind w:firstLineChars="200" w:firstLine="480"/>
        <w:jc w:val="left"/>
        <w:rPr>
          <w:color w:val="000000"/>
          <w:sz w:val="24"/>
        </w:rPr>
      </w:pPr>
      <w:r>
        <w:rPr>
          <w:color w:val="000000"/>
          <w:sz w:val="24"/>
        </w:rPr>
        <w:t>2</w:t>
      </w:r>
      <w:r>
        <w:rPr>
          <w:color w:val="000000"/>
          <w:sz w:val="24"/>
        </w:rPr>
        <w:t>、本表所列基金经理（助理）证券从业年限中的</w:t>
      </w:r>
      <w:r>
        <w:rPr>
          <w:color w:val="000000"/>
          <w:sz w:val="24"/>
        </w:rPr>
        <w:t>“</w:t>
      </w:r>
      <w:r>
        <w:rPr>
          <w:color w:val="000000"/>
          <w:sz w:val="24"/>
        </w:rPr>
        <w:t>证券从业</w:t>
      </w:r>
      <w:r>
        <w:rPr>
          <w:color w:val="000000"/>
          <w:sz w:val="24"/>
        </w:rPr>
        <w:t>”</w:t>
      </w:r>
      <w:r>
        <w:rPr>
          <w:color w:val="000000"/>
          <w:sz w:val="24"/>
        </w:rPr>
        <w:t>的含义遵从中国证券业协会《证券业从业人员资格管理办法》的相关规定；</w:t>
      </w:r>
      <w:r>
        <w:rPr>
          <w:color w:val="000000"/>
          <w:sz w:val="24"/>
        </w:rPr>
        <w:t xml:space="preserve"> </w:t>
      </w:r>
    </w:p>
    <w:p w:rsidR="009238DB" w:rsidRPr="007F52FA" w:rsidRDefault="00062E1F" w:rsidP="0080740E">
      <w:pPr>
        <w:autoSpaceDE w:val="0"/>
        <w:autoSpaceDN w:val="0"/>
        <w:adjustRightInd w:val="0"/>
        <w:spacing w:before="29" w:line="288" w:lineRule="auto"/>
        <w:ind w:firstLineChars="200" w:firstLine="480"/>
        <w:jc w:val="left"/>
        <w:rPr>
          <w:color w:val="000000"/>
          <w:sz w:val="24"/>
        </w:rPr>
      </w:pPr>
      <w:r w:rsidRPr="007F52FA">
        <w:rPr>
          <w:color w:val="000000"/>
          <w:sz w:val="24"/>
        </w:rPr>
        <w:t>3</w:t>
      </w:r>
      <w:r w:rsidRPr="007F52FA">
        <w:rPr>
          <w:color w:val="000000"/>
          <w:sz w:val="24"/>
        </w:rPr>
        <w:t>、基金经理（或基金经理小组）期后变动（如有）敬请关注基金管理人发布的相关公告。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lastRenderedPageBreak/>
          <w:t>4.3.1</w:t>
        </w:r>
      </w:smartTag>
      <w:r w:rsidRPr="007F52FA">
        <w:rPr>
          <w:sz w:val="24"/>
        </w:rPr>
        <w:t>公平交易制度的执行情况</w:t>
      </w:r>
    </w:p>
    <w:p w:rsidR="00763099" w:rsidRDefault="000A4E87">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763099" w:rsidRDefault="000A4E87">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763099" w:rsidRDefault="000A4E87">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763099" w:rsidRDefault="000A4E87">
      <w:pPr>
        <w:spacing w:before="29" w:line="288" w:lineRule="auto"/>
        <w:ind w:firstLineChars="200" w:firstLine="480"/>
        <w:rPr>
          <w:color w:val="000000"/>
          <w:sz w:val="24"/>
        </w:rPr>
      </w:pPr>
      <w:r>
        <w:rPr>
          <w:color w:val="000000"/>
          <w:sz w:val="24"/>
        </w:rPr>
        <w:t>2017</w:t>
      </w:r>
      <w:r>
        <w:rPr>
          <w:color w:val="000000"/>
          <w:sz w:val="24"/>
        </w:rPr>
        <w:t>年三季度，国内经济边际上呈下行之势，但韧劲好于预期，下行压力不大。随着更多城市加码调控，广州等地租售同权政策出台，三季度楼市调控力度有增无减，同时环保督察深化，政府加强了高污染企业整治。在此背景下，房地产投资增速延续逐步下行态势，工业增加值与制造业投资增速也呈下行走势。但是受国内供给侧结构性改革及海外发达经济体维持复苏势头等因素的拉动，部分企业受益明显，三季度国内中采制造业</w:t>
      </w:r>
      <w:r>
        <w:rPr>
          <w:color w:val="000000"/>
          <w:sz w:val="24"/>
        </w:rPr>
        <w:t>PMI</w:t>
      </w:r>
      <w:r>
        <w:rPr>
          <w:color w:val="000000"/>
          <w:sz w:val="24"/>
        </w:rPr>
        <w:t>均在</w:t>
      </w:r>
      <w:r>
        <w:rPr>
          <w:color w:val="000000"/>
          <w:sz w:val="24"/>
        </w:rPr>
        <w:t>51.4%</w:t>
      </w:r>
      <w:r>
        <w:rPr>
          <w:color w:val="000000"/>
          <w:sz w:val="24"/>
        </w:rPr>
        <w:t>以上且呈高位继续扩张态势。三季度</w:t>
      </w:r>
      <w:r>
        <w:rPr>
          <w:color w:val="000000"/>
          <w:sz w:val="24"/>
        </w:rPr>
        <w:t>CPI</w:t>
      </w:r>
      <w:r>
        <w:rPr>
          <w:color w:val="000000"/>
          <w:sz w:val="24"/>
        </w:rPr>
        <w:t>低位略升，</w:t>
      </w:r>
      <w:r>
        <w:rPr>
          <w:color w:val="000000"/>
          <w:sz w:val="24"/>
        </w:rPr>
        <w:t>PPI</w:t>
      </w:r>
      <w:r>
        <w:rPr>
          <w:color w:val="000000"/>
          <w:sz w:val="24"/>
        </w:rPr>
        <w:t>维持在高位运行。三季度央行货币政策保持</w:t>
      </w:r>
      <w:r>
        <w:rPr>
          <w:color w:val="000000"/>
          <w:sz w:val="24"/>
        </w:rPr>
        <w:t>“</w:t>
      </w:r>
      <w:r>
        <w:rPr>
          <w:color w:val="000000"/>
          <w:sz w:val="24"/>
        </w:rPr>
        <w:t>不松不紧</w:t>
      </w:r>
      <w:r>
        <w:rPr>
          <w:color w:val="000000"/>
          <w:sz w:val="24"/>
        </w:rPr>
        <w:t>”</w:t>
      </w:r>
      <w:r>
        <w:rPr>
          <w:color w:val="000000"/>
          <w:sz w:val="24"/>
        </w:rPr>
        <w:t>，但与二季度相比无论公开市场还是</w:t>
      </w:r>
      <w:r>
        <w:rPr>
          <w:color w:val="000000"/>
          <w:sz w:val="24"/>
        </w:rPr>
        <w:t>MLF</w:t>
      </w:r>
      <w:r>
        <w:rPr>
          <w:color w:val="000000"/>
          <w:sz w:val="24"/>
        </w:rPr>
        <w:t>的投放力度都显著减弱，三季度央行公开市场净回笼</w:t>
      </w:r>
      <w:r>
        <w:rPr>
          <w:color w:val="000000"/>
          <w:sz w:val="24"/>
        </w:rPr>
        <w:t>800</w:t>
      </w:r>
      <w:r>
        <w:rPr>
          <w:color w:val="000000"/>
          <w:sz w:val="24"/>
        </w:rPr>
        <w:t>亿元，更重要的是央行在</w:t>
      </w:r>
      <w:r>
        <w:rPr>
          <w:color w:val="000000"/>
          <w:sz w:val="24"/>
        </w:rPr>
        <w:t>9</w:t>
      </w:r>
      <w:r>
        <w:rPr>
          <w:color w:val="000000"/>
          <w:sz w:val="24"/>
        </w:rPr>
        <w:t>月</w:t>
      </w:r>
      <w:r>
        <w:rPr>
          <w:color w:val="000000"/>
          <w:sz w:val="24"/>
        </w:rPr>
        <w:t>30</w:t>
      </w:r>
      <w:r>
        <w:rPr>
          <w:color w:val="000000"/>
          <w:sz w:val="24"/>
        </w:rPr>
        <w:t>日突然宣布远期定向降准，意味着监管层开始为明年的经济增长压力做未雨绸缪了。</w:t>
      </w:r>
    </w:p>
    <w:p w:rsidR="00763099" w:rsidRDefault="000A4E87">
      <w:pPr>
        <w:spacing w:before="29" w:line="288" w:lineRule="auto"/>
        <w:ind w:firstLineChars="200" w:firstLine="480"/>
        <w:rPr>
          <w:color w:val="000000"/>
          <w:sz w:val="24"/>
        </w:rPr>
      </w:pPr>
      <w:r>
        <w:rPr>
          <w:color w:val="000000"/>
          <w:sz w:val="24"/>
        </w:rPr>
        <w:t>资金面上，受央行投放力度减弱等影响，三季度市场资金面有所趋紧，资金价格中枢继续上移，三季度</w:t>
      </w:r>
      <w:r>
        <w:rPr>
          <w:color w:val="000000"/>
          <w:sz w:val="24"/>
        </w:rPr>
        <w:t>R001</w:t>
      </w:r>
      <w:r>
        <w:rPr>
          <w:color w:val="000000"/>
          <w:sz w:val="24"/>
        </w:rPr>
        <w:t>均值较二季度上升</w:t>
      </w:r>
      <w:r>
        <w:rPr>
          <w:color w:val="000000"/>
          <w:sz w:val="24"/>
        </w:rPr>
        <w:t>10BP</w:t>
      </w:r>
      <w:r>
        <w:rPr>
          <w:color w:val="000000"/>
          <w:sz w:val="24"/>
        </w:rPr>
        <w:t>以上。但同业存单一级发行利率自六月中上旬触及高点后，三季度整体上呈下行态势。受经济韧劲较强，资金面宽松不及</w:t>
      </w:r>
      <w:r>
        <w:rPr>
          <w:color w:val="000000"/>
          <w:sz w:val="24"/>
        </w:rPr>
        <w:lastRenderedPageBreak/>
        <w:t>预期等影响，三季度债市在七月中旬至八月下旬再次经历回调，直至九月份才有所回暖。其中，九月底</w:t>
      </w:r>
      <w:r>
        <w:rPr>
          <w:color w:val="000000"/>
          <w:sz w:val="24"/>
        </w:rPr>
        <w:t>3</w:t>
      </w:r>
      <w:r>
        <w:rPr>
          <w:color w:val="000000"/>
          <w:sz w:val="24"/>
        </w:rPr>
        <w:t>年期</w:t>
      </w:r>
      <w:r>
        <w:rPr>
          <w:color w:val="000000"/>
          <w:sz w:val="24"/>
        </w:rPr>
        <w:t>AAA</w:t>
      </w:r>
      <w:r>
        <w:rPr>
          <w:color w:val="000000"/>
          <w:sz w:val="24"/>
        </w:rPr>
        <w:t>中票</w:t>
      </w:r>
      <w:r>
        <w:rPr>
          <w:color w:val="000000"/>
          <w:sz w:val="24"/>
        </w:rPr>
        <w:t>YTM</w:t>
      </w:r>
      <w:r>
        <w:rPr>
          <w:color w:val="000000"/>
          <w:sz w:val="24"/>
        </w:rPr>
        <w:t>较二季末上升</w:t>
      </w:r>
      <w:r>
        <w:rPr>
          <w:color w:val="000000"/>
          <w:sz w:val="24"/>
        </w:rPr>
        <w:t>15</w:t>
      </w:r>
      <w:r>
        <w:rPr>
          <w:color w:val="000000"/>
          <w:sz w:val="24"/>
        </w:rPr>
        <w:t>个</w:t>
      </w:r>
      <w:r>
        <w:rPr>
          <w:color w:val="000000"/>
          <w:sz w:val="24"/>
        </w:rPr>
        <w:t>BP</w:t>
      </w:r>
      <w:r>
        <w:rPr>
          <w:color w:val="000000"/>
          <w:sz w:val="24"/>
        </w:rPr>
        <w:t>。</w:t>
      </w:r>
    </w:p>
    <w:p w:rsidR="00763099" w:rsidRDefault="000A4E87">
      <w:pPr>
        <w:spacing w:before="29" w:line="288" w:lineRule="auto"/>
        <w:ind w:firstLineChars="200" w:firstLine="480"/>
        <w:rPr>
          <w:color w:val="000000"/>
          <w:sz w:val="24"/>
        </w:rPr>
      </w:pPr>
      <w:r>
        <w:rPr>
          <w:color w:val="000000"/>
          <w:sz w:val="24"/>
        </w:rPr>
        <w:t>基金操作方面，报告期内本基金加强流动性管理，卖出债券回笼资金，满足投资人赎回需求，降低了组合杠杆与久期，为持有人创造稳健的回报。</w:t>
      </w:r>
    </w:p>
    <w:p w:rsidR="00952A72" w:rsidRPr="007F52FA" w:rsidRDefault="00323F25" w:rsidP="007C14DF">
      <w:pPr>
        <w:spacing w:before="29" w:line="288" w:lineRule="auto"/>
        <w:ind w:firstLineChars="200" w:firstLine="480"/>
        <w:rPr>
          <w:color w:val="000000"/>
          <w:sz w:val="24"/>
        </w:rPr>
      </w:pPr>
      <w:r w:rsidRPr="007F52FA">
        <w:rPr>
          <w:color w:val="000000"/>
          <w:sz w:val="24"/>
        </w:rPr>
        <w:t>展望四季度，考虑近一年来楼市调控累积效应以及政府加强环保政策执行力度等因素，国内经济短期内边际上有继续下行压力。但是由于本轮楼市调控因城施策特色、国内消费对经济增长贡献的提升，以及发达经济体继续保持复苏势头等因素，国内经济年内可能压力不大。我们预计短期内央行将以</w:t>
      </w:r>
      <w:r w:rsidRPr="007F52FA">
        <w:rPr>
          <w:color w:val="000000"/>
          <w:sz w:val="24"/>
        </w:rPr>
        <w:t>“</w:t>
      </w:r>
      <w:r w:rsidRPr="007F52FA">
        <w:rPr>
          <w:color w:val="000000"/>
          <w:sz w:val="24"/>
        </w:rPr>
        <w:t>不松不紧</w:t>
      </w:r>
      <w:r w:rsidRPr="007F52FA">
        <w:rPr>
          <w:color w:val="000000"/>
          <w:sz w:val="24"/>
        </w:rPr>
        <w:t>”</w:t>
      </w:r>
      <w:r w:rsidRPr="007F52FA">
        <w:rPr>
          <w:color w:val="000000"/>
          <w:sz w:val="24"/>
        </w:rPr>
        <w:t>的货币政策为主，既抑制资产价格泡沫再度膨胀，又维稳金融市场，但需关注监管层防备实体融资成本进一步上升及对明年经济增速的担忧，提前储备预调微调政策的可能性及其对市场的影响。组合管理方面，本基金将积极研判宏观经济走势，密切跟踪央行货币政策操作及监管政策动态，控制信用风险，积极跟踪把握市场节奏，努力为份额持有人创造稳健的回报。</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2017</w:t>
      </w:r>
      <w:r w:rsidRPr="007F52FA">
        <w:rPr>
          <w:color w:val="000000"/>
          <w:sz w:val="24"/>
        </w:rPr>
        <w:t>年</w:t>
      </w:r>
      <w:r w:rsidRPr="007F52FA">
        <w:rPr>
          <w:color w:val="000000"/>
          <w:sz w:val="24"/>
        </w:rPr>
        <w:t>9</w:t>
      </w:r>
      <w:r w:rsidRPr="007F52FA">
        <w:rPr>
          <w:color w:val="000000"/>
          <w:sz w:val="24"/>
        </w:rPr>
        <w:t>月</w:t>
      </w:r>
      <w:r w:rsidRPr="007F52FA">
        <w:rPr>
          <w:color w:val="000000"/>
          <w:sz w:val="24"/>
        </w:rPr>
        <w:t>30</w:t>
      </w:r>
      <w:r w:rsidRPr="007F52FA">
        <w:rPr>
          <w:color w:val="000000"/>
          <w:sz w:val="24"/>
        </w:rPr>
        <w:t>日，交银丰盈收益债券</w:t>
      </w:r>
      <w:r w:rsidRPr="007F52FA">
        <w:rPr>
          <w:color w:val="000000"/>
          <w:sz w:val="24"/>
        </w:rPr>
        <w:t>A</w:t>
      </w:r>
      <w:r w:rsidRPr="007F52FA">
        <w:rPr>
          <w:color w:val="000000"/>
          <w:sz w:val="24"/>
        </w:rPr>
        <w:t>份额净值为</w:t>
      </w:r>
      <w:r w:rsidRPr="007F52FA">
        <w:rPr>
          <w:color w:val="000000"/>
          <w:sz w:val="24"/>
        </w:rPr>
        <w:t>1.028</w:t>
      </w:r>
      <w:r w:rsidRPr="007F52FA">
        <w:rPr>
          <w:color w:val="000000"/>
          <w:sz w:val="24"/>
        </w:rPr>
        <w:t>元，本报告期份额净值增长率为</w:t>
      </w:r>
      <w:r w:rsidRPr="007F52FA">
        <w:rPr>
          <w:color w:val="000000"/>
          <w:sz w:val="24"/>
        </w:rPr>
        <w:t>0.49%</w:t>
      </w:r>
      <w:r w:rsidRPr="007F52FA">
        <w:rPr>
          <w:color w:val="000000"/>
          <w:sz w:val="24"/>
        </w:rPr>
        <w:t>，同期业绩比较基准增长率为</w:t>
      </w:r>
      <w:r w:rsidRPr="007F52FA">
        <w:rPr>
          <w:color w:val="000000"/>
          <w:sz w:val="24"/>
        </w:rPr>
        <w:t>0.16%</w:t>
      </w:r>
      <w:r w:rsidRPr="007F52FA">
        <w:rPr>
          <w:color w:val="000000"/>
          <w:sz w:val="24"/>
        </w:rPr>
        <w:t>；交银丰盈收益债券</w:t>
      </w:r>
      <w:r w:rsidRPr="007F52FA">
        <w:rPr>
          <w:color w:val="000000"/>
          <w:sz w:val="24"/>
        </w:rPr>
        <w:t>C</w:t>
      </w:r>
      <w:r w:rsidRPr="007F52FA">
        <w:rPr>
          <w:color w:val="000000"/>
          <w:sz w:val="24"/>
        </w:rPr>
        <w:t>份额净值为</w:t>
      </w:r>
      <w:r w:rsidRPr="007F52FA">
        <w:rPr>
          <w:color w:val="000000"/>
          <w:sz w:val="24"/>
        </w:rPr>
        <w:t>1.028</w:t>
      </w:r>
      <w:r w:rsidRPr="007F52FA">
        <w:rPr>
          <w:color w:val="000000"/>
          <w:sz w:val="24"/>
        </w:rPr>
        <w:t>元，本报告期份额净值增长率为</w:t>
      </w:r>
      <w:r w:rsidRPr="007F52FA">
        <w:rPr>
          <w:color w:val="000000"/>
          <w:sz w:val="24"/>
        </w:rPr>
        <w:t>2.80%</w:t>
      </w:r>
      <w:r w:rsidRPr="007F52FA">
        <w:rPr>
          <w:color w:val="000000"/>
          <w:sz w:val="24"/>
        </w:rPr>
        <w:t>，同期业绩比较基准增长率为</w:t>
      </w:r>
      <w:r w:rsidRPr="007F52FA">
        <w:rPr>
          <w:color w:val="000000"/>
          <w:sz w:val="24"/>
        </w:rPr>
        <w:t>-0.18%</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F52FA" w:rsidRDefault="00FF5FC7" w:rsidP="00BE251D">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19,305,475.00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19.43</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19,305,475.00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19.43</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autoSpaceDE w:val="0"/>
              <w:autoSpaceDN w:val="0"/>
              <w:adjustRightInd w:val="0"/>
              <w:spacing w:before="29" w:line="288" w:lineRule="auto"/>
              <w:ind w:leftChars="8" w:left="17" w:firstLineChars="250" w:firstLine="600"/>
              <w:jc w:val="left"/>
              <w:rPr>
                <w:color w:val="000000"/>
                <w:sz w:val="24"/>
              </w:rPr>
            </w:pPr>
            <w:r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55,000,000.00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55.37</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24,575,135.85</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24.74</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457,377.99</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0.46</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99,337,988.84</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4567B0" w:rsidRPr="007F52FA" w:rsidRDefault="004567B0" w:rsidP="007C14DF">
      <w:pPr>
        <w:autoSpaceDE w:val="0"/>
        <w:autoSpaceDN w:val="0"/>
        <w:adjustRightInd w:val="0"/>
        <w:spacing w:before="29" w:line="288" w:lineRule="auto"/>
        <w:jc w:val="left"/>
        <w:rPr>
          <w:color w:val="000000"/>
          <w:sz w:val="24"/>
        </w:rPr>
      </w:pP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16,241,875.00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16.48</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3,063,600.00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3.11</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3,063,600.00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3.11</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19,305,475.00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19.59</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lastRenderedPageBreak/>
              <w:t>例</w:t>
            </w:r>
            <w:r w:rsidRPr="007F52FA">
              <w:rPr>
                <w:color w:val="000000"/>
                <w:kern w:val="0"/>
                <w:sz w:val="24"/>
              </w:rPr>
              <w:t>（％）</w:t>
            </w:r>
          </w:p>
        </w:tc>
      </w:tr>
      <w:tr w:rsidR="00763099">
        <w:trPr>
          <w:jc w:val="center"/>
        </w:trPr>
        <w:tc>
          <w:tcPr>
            <w:tcW w:w="1075" w:type="dxa"/>
            <w:vAlign w:val="center"/>
          </w:tcPr>
          <w:p w:rsidR="00763099" w:rsidRDefault="000A4E87">
            <w:pPr>
              <w:jc w:val="center"/>
            </w:pPr>
            <w:r>
              <w:rPr>
                <w:color w:val="000000"/>
                <w:sz w:val="24"/>
              </w:rPr>
              <w:lastRenderedPageBreak/>
              <w:t>1</w:t>
            </w:r>
          </w:p>
        </w:tc>
        <w:tc>
          <w:tcPr>
            <w:tcW w:w="1533" w:type="dxa"/>
            <w:vAlign w:val="center"/>
          </w:tcPr>
          <w:p w:rsidR="00763099" w:rsidRDefault="000A4E87">
            <w:pPr>
              <w:jc w:val="center"/>
            </w:pPr>
            <w:r>
              <w:rPr>
                <w:color w:val="000000"/>
                <w:sz w:val="24"/>
              </w:rPr>
              <w:t>019563</w:t>
            </w:r>
          </w:p>
        </w:tc>
        <w:tc>
          <w:tcPr>
            <w:tcW w:w="1533" w:type="dxa"/>
            <w:vAlign w:val="center"/>
          </w:tcPr>
          <w:p w:rsidR="00763099" w:rsidRDefault="000A4E87">
            <w:pPr>
              <w:jc w:val="center"/>
            </w:pPr>
            <w:r>
              <w:rPr>
                <w:color w:val="000000"/>
                <w:sz w:val="24"/>
              </w:rPr>
              <w:t>17</w:t>
            </w:r>
            <w:r>
              <w:rPr>
                <w:color w:val="000000"/>
                <w:sz w:val="24"/>
              </w:rPr>
              <w:t>国债</w:t>
            </w:r>
            <w:r>
              <w:rPr>
                <w:color w:val="000000"/>
                <w:sz w:val="24"/>
              </w:rPr>
              <w:t>09</w:t>
            </w:r>
          </w:p>
        </w:tc>
        <w:tc>
          <w:tcPr>
            <w:tcW w:w="1394" w:type="dxa"/>
            <w:vAlign w:val="center"/>
          </w:tcPr>
          <w:p w:rsidR="00763099" w:rsidRDefault="000A4E87">
            <w:pPr>
              <w:jc w:val="right"/>
            </w:pPr>
            <w:r>
              <w:rPr>
                <w:color w:val="000000"/>
                <w:sz w:val="24"/>
              </w:rPr>
              <w:t>162,500</w:t>
            </w:r>
          </w:p>
        </w:tc>
        <w:tc>
          <w:tcPr>
            <w:tcW w:w="1944" w:type="dxa"/>
            <w:vAlign w:val="center"/>
          </w:tcPr>
          <w:p w:rsidR="00763099" w:rsidRDefault="000A4E87">
            <w:pPr>
              <w:jc w:val="right"/>
            </w:pPr>
            <w:r>
              <w:rPr>
                <w:color w:val="000000"/>
                <w:sz w:val="24"/>
              </w:rPr>
              <w:t>16,241,875.00</w:t>
            </w:r>
          </w:p>
        </w:tc>
        <w:tc>
          <w:tcPr>
            <w:tcW w:w="1389" w:type="dxa"/>
            <w:vAlign w:val="center"/>
          </w:tcPr>
          <w:p w:rsidR="00763099" w:rsidRDefault="000A4E87">
            <w:pPr>
              <w:jc w:val="right"/>
            </w:pPr>
            <w:r>
              <w:rPr>
                <w:color w:val="000000"/>
                <w:sz w:val="24"/>
              </w:rPr>
              <w:t>16.48</w:t>
            </w:r>
          </w:p>
        </w:tc>
      </w:tr>
      <w:tr w:rsidR="00763099">
        <w:trPr>
          <w:jc w:val="center"/>
        </w:trPr>
        <w:tc>
          <w:tcPr>
            <w:tcW w:w="1075" w:type="dxa"/>
            <w:vAlign w:val="center"/>
          </w:tcPr>
          <w:p w:rsidR="00763099" w:rsidRDefault="000A4E87">
            <w:pPr>
              <w:jc w:val="center"/>
            </w:pPr>
            <w:r>
              <w:rPr>
                <w:color w:val="000000"/>
                <w:sz w:val="24"/>
              </w:rPr>
              <w:t>2</w:t>
            </w:r>
          </w:p>
        </w:tc>
        <w:tc>
          <w:tcPr>
            <w:tcW w:w="1533" w:type="dxa"/>
            <w:vAlign w:val="center"/>
          </w:tcPr>
          <w:p w:rsidR="00763099" w:rsidRDefault="000A4E87">
            <w:pPr>
              <w:jc w:val="center"/>
            </w:pPr>
            <w:r>
              <w:rPr>
                <w:color w:val="000000"/>
                <w:sz w:val="24"/>
              </w:rPr>
              <w:t>018002</w:t>
            </w:r>
          </w:p>
        </w:tc>
        <w:tc>
          <w:tcPr>
            <w:tcW w:w="1533" w:type="dxa"/>
            <w:vAlign w:val="center"/>
          </w:tcPr>
          <w:p w:rsidR="00763099" w:rsidRDefault="000A4E87">
            <w:pPr>
              <w:jc w:val="center"/>
            </w:pPr>
            <w:r>
              <w:rPr>
                <w:color w:val="000000"/>
                <w:sz w:val="24"/>
              </w:rPr>
              <w:t>国开</w:t>
            </w:r>
            <w:r>
              <w:rPr>
                <w:color w:val="000000"/>
                <w:sz w:val="24"/>
              </w:rPr>
              <w:t>1302</w:t>
            </w:r>
          </w:p>
        </w:tc>
        <w:tc>
          <w:tcPr>
            <w:tcW w:w="1394" w:type="dxa"/>
            <w:vAlign w:val="center"/>
          </w:tcPr>
          <w:p w:rsidR="00763099" w:rsidRDefault="000A4E87">
            <w:pPr>
              <w:jc w:val="right"/>
            </w:pPr>
            <w:r>
              <w:rPr>
                <w:color w:val="000000"/>
                <w:sz w:val="24"/>
              </w:rPr>
              <w:t>30,000</w:t>
            </w:r>
          </w:p>
        </w:tc>
        <w:tc>
          <w:tcPr>
            <w:tcW w:w="1944" w:type="dxa"/>
            <w:vAlign w:val="center"/>
          </w:tcPr>
          <w:p w:rsidR="00763099" w:rsidRDefault="000A4E87">
            <w:pPr>
              <w:jc w:val="right"/>
            </w:pPr>
            <w:r>
              <w:rPr>
                <w:color w:val="000000"/>
                <w:sz w:val="24"/>
              </w:rPr>
              <w:t>3,063,600.00</w:t>
            </w:r>
          </w:p>
        </w:tc>
        <w:tc>
          <w:tcPr>
            <w:tcW w:w="1389" w:type="dxa"/>
            <w:vAlign w:val="center"/>
          </w:tcPr>
          <w:p w:rsidR="00763099" w:rsidRDefault="000A4E87">
            <w:pPr>
              <w:jc w:val="right"/>
            </w:pPr>
            <w:r>
              <w:rPr>
                <w:color w:val="000000"/>
                <w:sz w:val="24"/>
              </w:rPr>
              <w:t>3.11</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7"/>
        <w:gridCol w:w="4845"/>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20,034.92</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98,095.89</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284,106.90</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55,140.28</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lastRenderedPageBreak/>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457,377.99</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本基金本报告期末未持有股票。</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交银丰盈收益债券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交银丰盈收益债券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510,658,140.93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742,101.71</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41,294.98</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415,598,274.52</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14,756.64</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95,801,968.12</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26,538.34</w:t>
            </w:r>
          </w:p>
        </w:tc>
      </w:tr>
    </w:tbl>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BE251D">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Pr="0080740E" w:rsidRDefault="00ED0E09" w:rsidP="00BE251D">
      <w:pPr>
        <w:pStyle w:val="1"/>
        <w:spacing w:beforeLines="100" w:before="312" w:afterLines="100" w:after="312" w:line="360" w:lineRule="auto"/>
        <w:jc w:val="center"/>
        <w:rPr>
          <w:rFonts w:eastAsiaTheme="minorEastAsia"/>
          <w:color w:val="000000" w:themeColor="text1"/>
          <w:kern w:val="0"/>
          <w:sz w:val="24"/>
          <w:szCs w:val="21"/>
        </w:rPr>
      </w:pPr>
      <w:r w:rsidRPr="0080740E">
        <w:rPr>
          <w:rFonts w:eastAsiaTheme="minorEastAsia"/>
          <w:color w:val="000000" w:themeColor="text1"/>
          <w:kern w:val="0"/>
          <w:sz w:val="24"/>
          <w:szCs w:val="21"/>
        </w:rPr>
        <w:lastRenderedPageBreak/>
        <w:t xml:space="preserve">§8 </w:t>
      </w:r>
      <w:r w:rsidRPr="0080740E">
        <w:rPr>
          <w:rFonts w:eastAsiaTheme="minorEastAsia" w:hint="eastAsia"/>
          <w:color w:val="000000" w:themeColor="text1"/>
          <w:kern w:val="0"/>
          <w:sz w:val="24"/>
          <w:szCs w:val="21"/>
        </w:rPr>
        <w:t>影响投资者决策的其他重要信息</w:t>
      </w:r>
    </w:p>
    <w:p w:rsidR="00ED0E09" w:rsidRPr="0080740E" w:rsidRDefault="00ED0E09" w:rsidP="00ED0E09">
      <w:pPr>
        <w:autoSpaceDE w:val="0"/>
        <w:autoSpaceDN w:val="0"/>
        <w:adjustRightInd w:val="0"/>
        <w:spacing w:line="360" w:lineRule="auto"/>
        <w:jc w:val="left"/>
        <w:rPr>
          <w:b/>
          <w:bCs/>
          <w:color w:val="000000"/>
          <w:kern w:val="0"/>
          <w:sz w:val="24"/>
          <w:szCs w:val="21"/>
        </w:rPr>
      </w:pPr>
      <w:r w:rsidRPr="0080740E">
        <w:rPr>
          <w:b/>
          <w:bCs/>
          <w:color w:val="000000"/>
          <w:kern w:val="0"/>
          <w:sz w:val="24"/>
          <w:szCs w:val="21"/>
        </w:rPr>
        <w:t xml:space="preserve">8.1 </w:t>
      </w:r>
      <w:r w:rsidRPr="0080740E">
        <w:rPr>
          <w:rFonts w:hint="eastAsia"/>
          <w:b/>
          <w:bCs/>
          <w:color w:val="000000"/>
          <w:kern w:val="0"/>
          <w:sz w:val="24"/>
          <w:szCs w:val="21"/>
        </w:rPr>
        <w:t>影响投资者决策的其他重要信息</w:t>
      </w:r>
    </w:p>
    <w:p w:rsidR="00ED0E09" w:rsidRPr="0080740E" w:rsidRDefault="00ED0E09" w:rsidP="00ED0E09">
      <w:pPr>
        <w:spacing w:line="360" w:lineRule="auto"/>
        <w:ind w:firstLineChars="200" w:firstLine="480"/>
        <w:rPr>
          <w:color w:val="000000"/>
          <w:sz w:val="24"/>
          <w:szCs w:val="21"/>
        </w:rPr>
      </w:pPr>
      <w:r w:rsidRPr="0080740E">
        <w:rPr>
          <w:rFonts w:hint="eastAsia"/>
          <w:color w:val="000000"/>
          <w:sz w:val="24"/>
          <w:szCs w:val="21"/>
        </w:rPr>
        <w:t>根据本基金基金合同的规定，本基金在基金合同生效之日起三年（含三年）的期间内封闭式运作（按照基金合同的约定提前转换基金运作方式的除外），封闭期结束后转为开放式运作。本基金的封闭期自</w:t>
      </w:r>
      <w:r w:rsidRPr="0080740E">
        <w:rPr>
          <w:color w:val="000000"/>
          <w:sz w:val="24"/>
          <w:szCs w:val="21"/>
        </w:rPr>
        <w:t>2014</w:t>
      </w:r>
      <w:r w:rsidRPr="0080740E">
        <w:rPr>
          <w:rFonts w:hint="eastAsia"/>
          <w:color w:val="000000"/>
          <w:sz w:val="24"/>
          <w:szCs w:val="21"/>
        </w:rPr>
        <w:t>年</w:t>
      </w:r>
      <w:r w:rsidRPr="0080740E">
        <w:rPr>
          <w:color w:val="000000"/>
          <w:sz w:val="24"/>
          <w:szCs w:val="21"/>
        </w:rPr>
        <w:t>8</w:t>
      </w:r>
      <w:r w:rsidRPr="0080740E">
        <w:rPr>
          <w:rFonts w:hint="eastAsia"/>
          <w:color w:val="000000"/>
          <w:sz w:val="24"/>
          <w:szCs w:val="21"/>
        </w:rPr>
        <w:t>月</w:t>
      </w:r>
      <w:r w:rsidRPr="0080740E">
        <w:rPr>
          <w:color w:val="000000"/>
          <w:sz w:val="24"/>
          <w:szCs w:val="21"/>
        </w:rPr>
        <w:t>11</w:t>
      </w:r>
      <w:r w:rsidRPr="0080740E">
        <w:rPr>
          <w:rFonts w:hint="eastAsia"/>
          <w:color w:val="000000"/>
          <w:sz w:val="24"/>
          <w:szCs w:val="21"/>
        </w:rPr>
        <w:t>日开始至</w:t>
      </w:r>
      <w:r w:rsidRPr="0080740E">
        <w:rPr>
          <w:color w:val="000000"/>
          <w:sz w:val="24"/>
          <w:szCs w:val="21"/>
        </w:rPr>
        <w:t>2017</w:t>
      </w:r>
      <w:r w:rsidRPr="0080740E">
        <w:rPr>
          <w:rFonts w:hint="eastAsia"/>
          <w:color w:val="000000"/>
          <w:sz w:val="24"/>
          <w:szCs w:val="21"/>
        </w:rPr>
        <w:t>年</w:t>
      </w:r>
      <w:r w:rsidRPr="0080740E">
        <w:rPr>
          <w:color w:val="000000"/>
          <w:sz w:val="24"/>
          <w:szCs w:val="21"/>
        </w:rPr>
        <w:t>8</w:t>
      </w:r>
      <w:r w:rsidRPr="0080740E">
        <w:rPr>
          <w:rFonts w:hint="eastAsia"/>
          <w:color w:val="000000"/>
          <w:sz w:val="24"/>
          <w:szCs w:val="21"/>
        </w:rPr>
        <w:t>月</w:t>
      </w:r>
      <w:r w:rsidRPr="0080740E">
        <w:rPr>
          <w:color w:val="000000"/>
          <w:sz w:val="24"/>
          <w:szCs w:val="21"/>
        </w:rPr>
        <w:t>11</w:t>
      </w:r>
      <w:r w:rsidRPr="0080740E">
        <w:rPr>
          <w:rFonts w:hint="eastAsia"/>
          <w:color w:val="000000"/>
          <w:sz w:val="24"/>
          <w:szCs w:val="21"/>
        </w:rPr>
        <w:t>日止，自</w:t>
      </w:r>
      <w:r w:rsidRPr="0080740E">
        <w:rPr>
          <w:color w:val="000000"/>
          <w:sz w:val="24"/>
          <w:szCs w:val="21"/>
        </w:rPr>
        <w:t>2017</w:t>
      </w:r>
      <w:r w:rsidRPr="0080740E">
        <w:rPr>
          <w:rFonts w:hint="eastAsia"/>
          <w:color w:val="000000"/>
          <w:sz w:val="24"/>
          <w:szCs w:val="21"/>
        </w:rPr>
        <w:t>年</w:t>
      </w:r>
      <w:r w:rsidRPr="0080740E">
        <w:rPr>
          <w:color w:val="000000"/>
          <w:sz w:val="24"/>
          <w:szCs w:val="21"/>
        </w:rPr>
        <w:t>8</w:t>
      </w:r>
      <w:r w:rsidRPr="0080740E">
        <w:rPr>
          <w:rFonts w:hint="eastAsia"/>
          <w:color w:val="000000"/>
          <w:sz w:val="24"/>
          <w:szCs w:val="21"/>
        </w:rPr>
        <w:t>月</w:t>
      </w:r>
      <w:r w:rsidRPr="0080740E">
        <w:rPr>
          <w:color w:val="000000"/>
          <w:sz w:val="24"/>
          <w:szCs w:val="21"/>
        </w:rPr>
        <w:t>14</w:t>
      </w:r>
      <w:r w:rsidRPr="0080740E">
        <w:rPr>
          <w:rFonts w:hint="eastAsia"/>
          <w:color w:val="000000"/>
          <w:sz w:val="24"/>
          <w:szCs w:val="21"/>
        </w:rPr>
        <w:t>日起转为开放式运作。本基金在转为开放式运作后，同时增加开通</w:t>
      </w:r>
      <w:r w:rsidRPr="0080740E">
        <w:rPr>
          <w:color w:val="000000"/>
          <w:sz w:val="24"/>
          <w:szCs w:val="21"/>
        </w:rPr>
        <w:t>C</w:t>
      </w:r>
      <w:r w:rsidRPr="0080740E">
        <w:rPr>
          <w:rFonts w:hint="eastAsia"/>
          <w:color w:val="000000"/>
          <w:sz w:val="24"/>
          <w:szCs w:val="21"/>
        </w:rPr>
        <w:t>类基金份额，并自</w:t>
      </w:r>
      <w:r w:rsidRPr="0080740E">
        <w:rPr>
          <w:color w:val="000000"/>
          <w:sz w:val="24"/>
          <w:szCs w:val="21"/>
        </w:rPr>
        <w:t>2017</w:t>
      </w:r>
      <w:r w:rsidRPr="0080740E">
        <w:rPr>
          <w:rFonts w:hint="eastAsia"/>
          <w:color w:val="000000"/>
          <w:sz w:val="24"/>
          <w:szCs w:val="21"/>
        </w:rPr>
        <w:t>年</w:t>
      </w:r>
      <w:r w:rsidRPr="0080740E">
        <w:rPr>
          <w:color w:val="000000"/>
          <w:sz w:val="24"/>
          <w:szCs w:val="21"/>
        </w:rPr>
        <w:t>8</w:t>
      </w:r>
      <w:r w:rsidRPr="0080740E">
        <w:rPr>
          <w:rFonts w:hint="eastAsia"/>
          <w:color w:val="000000"/>
          <w:sz w:val="24"/>
          <w:szCs w:val="21"/>
        </w:rPr>
        <w:t>月</w:t>
      </w:r>
      <w:r w:rsidRPr="0080740E">
        <w:rPr>
          <w:color w:val="000000"/>
          <w:sz w:val="24"/>
          <w:szCs w:val="21"/>
        </w:rPr>
        <w:t>14</w:t>
      </w:r>
      <w:r w:rsidRPr="0080740E">
        <w:rPr>
          <w:rFonts w:hint="eastAsia"/>
          <w:color w:val="000000"/>
          <w:sz w:val="24"/>
          <w:szCs w:val="21"/>
        </w:rPr>
        <w:t>日起开始办理</w:t>
      </w:r>
      <w:r w:rsidRPr="0080740E">
        <w:rPr>
          <w:color w:val="000000"/>
          <w:sz w:val="24"/>
          <w:szCs w:val="21"/>
        </w:rPr>
        <w:t>A</w:t>
      </w:r>
      <w:r w:rsidRPr="0080740E">
        <w:rPr>
          <w:rFonts w:hint="eastAsia"/>
          <w:color w:val="000000"/>
          <w:sz w:val="24"/>
          <w:szCs w:val="21"/>
        </w:rPr>
        <w:t>类基金份额和</w:t>
      </w:r>
      <w:r w:rsidRPr="0080740E">
        <w:rPr>
          <w:color w:val="000000"/>
          <w:sz w:val="24"/>
          <w:szCs w:val="21"/>
        </w:rPr>
        <w:t>C</w:t>
      </w:r>
      <w:r w:rsidRPr="0080740E">
        <w:rPr>
          <w:rFonts w:hint="eastAsia"/>
          <w:color w:val="000000"/>
          <w:sz w:val="24"/>
          <w:szCs w:val="21"/>
        </w:rPr>
        <w:t>类基金份额的日常申购、赎回等业务，并适用基金合同中关于转为开放式运作后的有关规定。详情请查阅本基金管理人于</w:t>
      </w:r>
      <w:r w:rsidRPr="0080740E">
        <w:rPr>
          <w:color w:val="000000"/>
          <w:sz w:val="24"/>
          <w:szCs w:val="21"/>
        </w:rPr>
        <w:t>2017</w:t>
      </w:r>
      <w:r w:rsidRPr="0080740E">
        <w:rPr>
          <w:rFonts w:hint="eastAsia"/>
          <w:color w:val="000000"/>
          <w:sz w:val="24"/>
          <w:szCs w:val="21"/>
        </w:rPr>
        <w:t>年</w:t>
      </w:r>
      <w:r w:rsidRPr="0080740E">
        <w:rPr>
          <w:color w:val="000000"/>
          <w:sz w:val="24"/>
          <w:szCs w:val="21"/>
        </w:rPr>
        <w:t>8</w:t>
      </w:r>
      <w:r w:rsidRPr="0080740E">
        <w:rPr>
          <w:rFonts w:hint="eastAsia"/>
          <w:color w:val="000000"/>
          <w:sz w:val="24"/>
          <w:szCs w:val="21"/>
        </w:rPr>
        <w:t>月</w:t>
      </w:r>
      <w:r w:rsidRPr="0080740E">
        <w:rPr>
          <w:color w:val="000000"/>
          <w:sz w:val="24"/>
          <w:szCs w:val="21"/>
        </w:rPr>
        <w:t>7</w:t>
      </w:r>
      <w:r w:rsidRPr="0080740E">
        <w:rPr>
          <w:rFonts w:hint="eastAsia"/>
          <w:color w:val="000000"/>
          <w:sz w:val="24"/>
          <w:szCs w:val="21"/>
        </w:rPr>
        <w:t>日发布的《交银施罗德基金管理有限公司关于交银施罗德丰盈收益债券型证券投资基金封闭期结束转为开放式运作并同时增加开通</w:t>
      </w:r>
      <w:r w:rsidRPr="0080740E">
        <w:rPr>
          <w:color w:val="000000"/>
          <w:sz w:val="24"/>
          <w:szCs w:val="21"/>
        </w:rPr>
        <w:t>C</w:t>
      </w:r>
      <w:r w:rsidRPr="0080740E">
        <w:rPr>
          <w:rFonts w:hint="eastAsia"/>
          <w:color w:val="000000"/>
          <w:sz w:val="24"/>
          <w:szCs w:val="21"/>
        </w:rPr>
        <w:t>类基金份额的提示性公告》以及</w:t>
      </w:r>
      <w:r w:rsidRPr="0080740E">
        <w:rPr>
          <w:color w:val="000000"/>
          <w:sz w:val="24"/>
          <w:szCs w:val="21"/>
        </w:rPr>
        <w:t>2017</w:t>
      </w:r>
      <w:r w:rsidRPr="0080740E">
        <w:rPr>
          <w:rFonts w:hint="eastAsia"/>
          <w:color w:val="000000"/>
          <w:sz w:val="24"/>
          <w:szCs w:val="21"/>
        </w:rPr>
        <w:t>年</w:t>
      </w:r>
      <w:r w:rsidRPr="0080740E">
        <w:rPr>
          <w:color w:val="000000"/>
          <w:sz w:val="24"/>
          <w:szCs w:val="21"/>
        </w:rPr>
        <w:t>8</w:t>
      </w:r>
      <w:r w:rsidRPr="0080740E">
        <w:rPr>
          <w:rFonts w:hint="eastAsia"/>
          <w:color w:val="000000"/>
          <w:sz w:val="24"/>
          <w:szCs w:val="21"/>
        </w:rPr>
        <w:t>月</w:t>
      </w:r>
      <w:r w:rsidRPr="0080740E">
        <w:rPr>
          <w:color w:val="000000"/>
          <w:sz w:val="24"/>
          <w:szCs w:val="21"/>
        </w:rPr>
        <w:t>10</w:t>
      </w:r>
      <w:r w:rsidRPr="0080740E">
        <w:rPr>
          <w:rFonts w:hint="eastAsia"/>
          <w:color w:val="000000"/>
          <w:sz w:val="24"/>
          <w:szCs w:val="21"/>
        </w:rPr>
        <w:t>日发布的《交银施罗德基金管理有限公司关于交银施罗德丰盈收益债券型证券投资基金封闭期结束转为开放式运作并同时增加开通</w:t>
      </w:r>
      <w:r w:rsidRPr="0080740E">
        <w:rPr>
          <w:color w:val="000000"/>
          <w:sz w:val="24"/>
          <w:szCs w:val="21"/>
        </w:rPr>
        <w:t>C</w:t>
      </w:r>
      <w:r w:rsidRPr="0080740E">
        <w:rPr>
          <w:rFonts w:hint="eastAsia"/>
          <w:color w:val="000000"/>
          <w:sz w:val="24"/>
          <w:szCs w:val="21"/>
        </w:rPr>
        <w:t>类基金份额暨开放基金日常申购、赎回、定期定额投资业务并参与部分销售机构申购费率优惠活动的公告》。</w:t>
      </w:r>
    </w:p>
    <w:p w:rsidR="00BB1033" w:rsidRPr="007F52FA" w:rsidRDefault="00BB1033" w:rsidP="007C14DF">
      <w:pPr>
        <w:spacing w:before="29" w:line="288" w:lineRule="auto"/>
        <w:ind w:firstLineChars="200" w:firstLine="480"/>
        <w:rPr>
          <w:rFonts w:eastAsiaTheme="minorEastAsia"/>
          <w:color w:val="000000"/>
          <w:sz w:val="24"/>
        </w:rPr>
      </w:pPr>
    </w:p>
    <w:p w:rsidR="00175E3A" w:rsidRPr="007032A6" w:rsidRDefault="009238DB" w:rsidP="00BE251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763099" w:rsidRDefault="000A4E87">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、中国证监会准予交银施罗德丰盈收益债券型证券投资基金募集注册的文件；</w:t>
      </w:r>
      <w:r>
        <w:rPr>
          <w:rFonts w:eastAsiaTheme="minorEastAsia"/>
          <w:color w:val="000000"/>
          <w:sz w:val="24"/>
        </w:rPr>
        <w:t xml:space="preserve"> </w:t>
      </w:r>
    </w:p>
    <w:p w:rsidR="00763099" w:rsidRDefault="000A4E87">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、《交银施罗德丰盈收益债券型证券投资基金基金合同》；</w:t>
      </w:r>
      <w:r>
        <w:rPr>
          <w:rFonts w:eastAsiaTheme="minorEastAsia"/>
          <w:color w:val="000000"/>
          <w:sz w:val="24"/>
        </w:rPr>
        <w:t xml:space="preserve"> </w:t>
      </w:r>
    </w:p>
    <w:p w:rsidR="00763099" w:rsidRDefault="000A4E87">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、《交银施罗德丰盈收益债券型证券投资基金招募说明书》；</w:t>
      </w:r>
      <w:r>
        <w:rPr>
          <w:rFonts w:eastAsiaTheme="minorEastAsia"/>
          <w:color w:val="000000"/>
          <w:sz w:val="24"/>
        </w:rPr>
        <w:t xml:space="preserve"> </w:t>
      </w:r>
    </w:p>
    <w:p w:rsidR="00763099" w:rsidRDefault="000A4E87">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、《交银施罗德丰盈收益债券型证券投资基金托管协议》；</w:t>
      </w:r>
      <w:r>
        <w:rPr>
          <w:rFonts w:eastAsiaTheme="minorEastAsia"/>
          <w:color w:val="000000"/>
          <w:sz w:val="24"/>
        </w:rPr>
        <w:t xml:space="preserve"> </w:t>
      </w:r>
    </w:p>
    <w:p w:rsidR="00763099" w:rsidRDefault="000A4E87">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、关于申请募集注册交银施罗德丰盈收益债券型证券投资基金的法律意见书；</w:t>
      </w:r>
      <w:r>
        <w:rPr>
          <w:rFonts w:eastAsiaTheme="minorEastAsia"/>
          <w:color w:val="000000"/>
          <w:sz w:val="24"/>
        </w:rPr>
        <w:t xml:space="preserve"> </w:t>
      </w:r>
    </w:p>
    <w:p w:rsidR="00763099" w:rsidRDefault="000A4E87">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763099" w:rsidRDefault="000A4E87">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、报告期内交银施罗德丰盈收益债券型证券投资基金在指定报刊上各项公告的原稿。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lastRenderedPageBreak/>
        <w:t>9.3</w:t>
      </w:r>
      <w:r w:rsidR="00FB3C94" w:rsidRPr="007F52FA">
        <w:rPr>
          <w:rFonts w:eastAsiaTheme="minorEastAsia"/>
          <w:b/>
          <w:bCs/>
          <w:color w:val="000000"/>
          <w:kern w:val="0"/>
          <w:sz w:val="24"/>
        </w:rPr>
        <w:t>查阅方式</w:t>
      </w:r>
    </w:p>
    <w:p w:rsidR="00763099" w:rsidRDefault="000A4E87">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r w:rsidRPr="007F52FA">
        <w:rPr>
          <w:rFonts w:eastAsiaTheme="minorEastAsia"/>
          <w:color w:val="000000"/>
          <w:sz w:val="24"/>
        </w:rPr>
        <w:t xml:space="preserve"> </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891" w:rsidRDefault="00360891">
      <w:r>
        <w:separator/>
      </w:r>
    </w:p>
  </w:endnote>
  <w:endnote w:type="continuationSeparator" w:id="0">
    <w:p w:rsidR="00360891" w:rsidRDefault="00360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7866A0">
      <w:rPr>
        <w:kern w:val="0"/>
        <w:szCs w:val="21"/>
      </w:rPr>
      <w:fldChar w:fldCharType="begin"/>
    </w:r>
    <w:r>
      <w:rPr>
        <w:kern w:val="0"/>
        <w:szCs w:val="21"/>
      </w:rPr>
      <w:instrText xml:space="preserve"> PAGE </w:instrText>
    </w:r>
    <w:r w:rsidR="007866A0">
      <w:rPr>
        <w:kern w:val="0"/>
        <w:szCs w:val="21"/>
      </w:rPr>
      <w:fldChar w:fldCharType="separate"/>
    </w:r>
    <w:r w:rsidR="001948DE">
      <w:rPr>
        <w:noProof/>
        <w:kern w:val="0"/>
        <w:szCs w:val="21"/>
      </w:rPr>
      <w:t>4</w:t>
    </w:r>
    <w:r w:rsidR="007866A0">
      <w:rPr>
        <w:kern w:val="0"/>
        <w:szCs w:val="21"/>
      </w:rPr>
      <w:fldChar w:fldCharType="end"/>
    </w:r>
    <w:r>
      <w:rPr>
        <w:rFonts w:hint="eastAsia"/>
        <w:kern w:val="0"/>
        <w:szCs w:val="21"/>
      </w:rPr>
      <w:t>页共</w:t>
    </w:r>
    <w:r w:rsidR="007866A0">
      <w:rPr>
        <w:kern w:val="0"/>
        <w:szCs w:val="21"/>
      </w:rPr>
      <w:fldChar w:fldCharType="begin"/>
    </w:r>
    <w:r>
      <w:rPr>
        <w:kern w:val="0"/>
        <w:szCs w:val="21"/>
      </w:rPr>
      <w:instrText xml:space="preserve"> NUMPAGES </w:instrText>
    </w:r>
    <w:r w:rsidR="007866A0">
      <w:rPr>
        <w:kern w:val="0"/>
        <w:szCs w:val="21"/>
      </w:rPr>
      <w:fldChar w:fldCharType="separate"/>
    </w:r>
    <w:r w:rsidR="001948DE">
      <w:rPr>
        <w:noProof/>
        <w:kern w:val="0"/>
        <w:szCs w:val="21"/>
      </w:rPr>
      <w:t>15</w:t>
    </w:r>
    <w:r w:rsidR="007866A0">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7866A0">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891" w:rsidRDefault="00360891">
      <w:r>
        <w:separator/>
      </w:r>
    </w:p>
  </w:footnote>
  <w:footnote w:type="continuationSeparator" w:id="0">
    <w:p w:rsidR="00360891" w:rsidRDefault="003608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2567DB" w:rsidRDefault="001948DE"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64C22724"/>
    <w:multiLevelType w:val="multilevel"/>
    <w:tmpl w:val="0409001D"/>
    <w:numStyleLink w:val="5"/>
  </w:abstractNum>
  <w:abstractNum w:abstractNumId="6">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5858"/>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4E87"/>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8DE"/>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37"/>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0891"/>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567B0"/>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4EEB"/>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3099"/>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E70E6"/>
    <w:rsid w:val="007F063D"/>
    <w:rsid w:val="007F0D73"/>
    <w:rsid w:val="007F32F6"/>
    <w:rsid w:val="007F432A"/>
    <w:rsid w:val="007F50FB"/>
    <w:rsid w:val="007F52FA"/>
    <w:rsid w:val="007F63AA"/>
    <w:rsid w:val="008006B7"/>
    <w:rsid w:val="008032FD"/>
    <w:rsid w:val="00806461"/>
    <w:rsid w:val="008064CE"/>
    <w:rsid w:val="0080673A"/>
    <w:rsid w:val="00806C53"/>
    <w:rsid w:val="0080740E"/>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04FA"/>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27ED0"/>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75C986D1-0A53-4271-A148-C006C4A0C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0849474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0926B-AEA7-4B7F-BEFC-B8707BBBC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199</TotalTime>
  <Pages>15</Pages>
  <Words>1247</Words>
  <Characters>7110</Characters>
  <Application>Microsoft Office Word</Application>
  <DocSecurity>0</DocSecurity>
  <Lines>59</Lines>
  <Paragraphs>16</Paragraphs>
  <ScaleCrop>false</ScaleCrop>
  <Company>TRT. Ltd. Co.</Company>
  <LinksUpToDate>false</LinksUpToDate>
  <CharactersWithSpaces>8341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377</cp:revision>
  <cp:lastPrinted>2007-07-19T00:46:00Z</cp:lastPrinted>
  <dcterms:created xsi:type="dcterms:W3CDTF">2014-01-17T06:19:00Z</dcterms:created>
  <dcterms:modified xsi:type="dcterms:W3CDTF">2017-10-23T09:21:00Z</dcterms:modified>
</cp:coreProperties>
</file>